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2E75B6"/>
          <w:sz w:val="18"/>
          <w:szCs w:val="18"/>
        </w:rPr>
        <w:t xml:space="preserve">BUSINESS REQUIREMENTS DOCUMENT — v2.0</w:t>
      </w:r>
    </w:p>
    <w:p>
      <w:pPr>
        <w:pBdr>
          <w:bottom w:val="single" w:color="2E75B6" w:sz="20" w:space="4"/>
        </w:pBdr>
        <w:spacing w:after="180" w:before="0"/>
      </w:pPr>
      <w:r>
        <w:rPr>
          <w:rFonts w:ascii="Arial" w:cs="Arial" w:eastAsia="Arial" w:hAnsi="Arial"/>
          <w:b/>
          <w:bCs/>
          <w:color w:val="1F3864"/>
          <w:sz w:val="44"/>
          <w:szCs w:val="44"/>
        </w:rPr>
        <w:t xml:space="preserve">Ready or Left Behind?
AI in the Charity &amp; Nonprofit Sector: Adoption, Gaps, Bias &amp; Governance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Document Ref</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BRD-PORTFOLIO-002</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Version</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2.0 — Revised April 2026</w:t>
            </w:r>
          </w:p>
        </w:tc>
      </w:tr>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Author</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Elvira</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Status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Draft</w:t>
            </w:r>
          </w:p>
        </w:tc>
      </w:tr>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Project Type</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Personal Portfolio / Career Development</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Tool</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Power BI (work licence)</w:t>
            </w:r>
          </w:p>
        </w:tc>
      </w:tr>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Outputs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Dashboard + Written Analysis + LinkedIn Article + GitHub Portfolio</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Cost</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£0</w:t>
            </w:r>
          </w:p>
        </w:tc>
      </w:tr>
    </w:tbl>
    <w:p>
      <w:pPr>
        <w:spacing w:after="200" w:before="0"/>
      </w:pPr>
    </w:p>
    <w:p>
      <w:pPr>
        <w:spacing w:after="120" w:before="320"/>
      </w:pPr>
      <w:r>
        <w:rPr>
          <w:rFonts w:ascii="Arial" w:cs="Arial" w:eastAsia="Arial" w:hAnsi="Arial"/>
          <w:b/>
          <w:bCs/>
          <w:color w:val="1F3864"/>
          <w:sz w:val="28"/>
          <w:szCs w:val="28"/>
        </w:rPr>
        <w:t xml:space="preserve">1. Executive Summary</w:t>
      </w:r>
    </w:p>
    <w:p>
      <w:pPr>
        <w:pBdr>
          <w:bottom w:val="single" w:color="2E75B6" w:sz="12" w:space="1"/>
        </w:pBdr>
        <w:spacing w:after="60" w:before="60"/>
      </w:pPr>
    </w:p>
    <w:p>
      <w:pPr>
        <w:pBdr>
          <w:left w:val="single" w:color="2E75B6" w:sz="20" w:space="8"/>
        </w:pBdr>
        <w:shd w:fill="D6E4F0" w:val="clear"/>
        <w:spacing w:after="120" w:before="100"/>
        <w:ind w:left="160" w:right="120"/>
      </w:pPr>
      <w:r>
        <w:rPr>
          <w:rFonts w:ascii="Arial" w:cs="Arial" w:eastAsia="Arial" w:hAnsi="Arial"/>
          <w:i/>
          <w:iCs/>
          <w:color w:val="1F3864"/>
          <w:sz w:val="20"/>
          <w:szCs w:val="20"/>
        </w:rPr>
        <w:t xml:space="preserve">This is not a descriptive adoption tracker. It is an evidence-based analytical investigation into a structural problem: the charity and nonprofit sector is adopting AI faster than it can govern, understand, or use it responsibly — and the costs of that gap fall disproportionately on the most vulnerable people those organisations exist to serve.</w:t>
      </w:r>
    </w:p>
    <w:p>
      <w:pPr>
        <w:spacing w:after="80" w:before="0"/>
      </w:pPr>
    </w:p>
    <w:p>
      <w:pPr>
        <w:spacing w:after="80" w:before="40"/>
      </w:pPr>
      <w:r>
        <w:rPr>
          <w:rFonts w:ascii="Arial" w:cs="Arial" w:eastAsia="Arial" w:hAnsi="Arial"/>
          <w:b w:val="false"/>
          <w:bCs w:val="false"/>
          <w:i w:val="false"/>
          <w:iCs w:val="false"/>
          <w:color w:val="333333"/>
          <w:sz w:val="20"/>
          <w:szCs w:val="20"/>
        </w:rPr>
        <w:t xml:space="preserve">This BRD defines the full scope of a portfolio project that will produce multiple outputs: a Power BI dashboard, a written analytical piece, a LinkedIn article, and a structured GitHub portfolio. The project draws on published research from 2020–2026 across the UK, US, and global NGO sector to investigate five interconnected themes: AI adoption patterns, data and governance capacity gaps, AI literacy, ethical risks and bias, and the structural inequity between large and small organisations.</w:t>
      </w:r>
    </w:p>
    <w:p>
      <w:pPr>
        <w:spacing w:after="80" w:before="40"/>
      </w:pPr>
      <w:r>
        <w:rPr>
          <w:rFonts w:ascii="Arial" w:cs="Arial" w:eastAsia="Arial" w:hAnsi="Arial"/>
          <w:b w:val="false"/>
          <w:bCs w:val="false"/>
          <w:i w:val="false"/>
          <w:iCs w:val="false"/>
          <w:color w:val="333333"/>
          <w:sz w:val="20"/>
          <w:szCs w:val="20"/>
        </w:rPr>
        <w:t xml:space="preserve">The project uses Power BI (via Elvira's existing work licence for personal/learning use) with Power BI Public as the publication platform. All data sources are open access. No proprietary employer data is used at any point.</w:t>
      </w:r>
    </w:p>
    <w:p>
      <w:pPr>
        <w:spacing w:after="120" w:before="0"/>
      </w:pPr>
    </w:p>
    <w:p>
      <w:pPr>
        <w:spacing w:after="120" w:before="320"/>
      </w:pPr>
      <w:r>
        <w:rPr>
          <w:rFonts w:ascii="Arial" w:cs="Arial" w:eastAsia="Arial" w:hAnsi="Arial"/>
          <w:b/>
          <w:bCs/>
          <w:color w:val="1F3864"/>
          <w:sz w:val="28"/>
          <w:szCs w:val="28"/>
        </w:rPr>
        <w:t xml:space="preserve">2. Background &amp; Problem Statement</w:t>
      </w:r>
    </w:p>
    <w:p>
      <w:pPr>
        <w:pBdr>
          <w:bottom w:val="single" w:color="2E75B6" w:sz="12" w:space="1"/>
        </w:pBdr>
        <w:spacing w:after="60" w:before="60"/>
      </w:pPr>
    </w:p>
    <w:p>
      <w:pPr>
        <w:spacing w:after="80" w:before="200"/>
      </w:pPr>
      <w:r>
        <w:rPr>
          <w:rFonts w:ascii="Arial" w:cs="Arial" w:eastAsia="Arial" w:hAnsi="Arial"/>
          <w:b/>
          <w:bCs/>
          <w:color w:val="2E75B6"/>
          <w:sz w:val="22"/>
          <w:szCs w:val="22"/>
        </w:rPr>
        <w:t xml:space="preserve">2.1 The Surface Story</w:t>
      </w:r>
    </w:p>
    <w:p>
      <w:pPr>
        <w:spacing w:after="80" w:before="40"/>
      </w:pPr>
      <w:r>
        <w:rPr>
          <w:rFonts w:ascii="Arial" w:cs="Arial" w:eastAsia="Arial" w:hAnsi="Arial"/>
          <w:b w:val="false"/>
          <w:bCs w:val="false"/>
          <w:i w:val="false"/>
          <w:iCs w:val="false"/>
          <w:color w:val="333333"/>
          <w:sz w:val="20"/>
          <w:szCs w:val="20"/>
        </w:rPr>
        <w:t xml:space="preserve">AI adoption in the charity and NGO sector appears impressive on the surface. UK data from the 2026 Charity Digital Skills Report (interim) shows 88% of charities now use AI daily — up from 61% in 2024. Globally, the 2026 Nonprofit AI Adoption Report surveyed 346 nonprofits and found AI adoption at 92%. These headline figures are frequently cited by sector bodies as evidence of progress.</w:t>
      </w:r>
    </w:p>
    <w:p>
      <w:pPr>
        <w:spacing w:after="80" w:before="200"/>
      </w:pPr>
      <w:r>
        <w:rPr>
          <w:rFonts w:ascii="Arial" w:cs="Arial" w:eastAsia="Arial" w:hAnsi="Arial"/>
          <w:b/>
          <w:bCs/>
          <w:color w:val="2E75B6"/>
          <w:sz w:val="22"/>
          <w:szCs w:val="22"/>
        </w:rPr>
        <w:t xml:space="preserve">2.2 The Deeper Problem</w:t>
      </w:r>
    </w:p>
    <w:p>
      <w:pPr>
        <w:pBdr>
          <w:left w:val="single" w:color="C55A11" w:sz="20" w:space="8"/>
        </w:pBdr>
        <w:shd w:fill="FCE4D6" w:val="clear"/>
        <w:spacing w:after="120" w:before="100"/>
        <w:ind w:left="160" w:right="120"/>
      </w:pPr>
      <w:r>
        <w:rPr>
          <w:rFonts w:ascii="Arial" w:cs="Arial" w:eastAsia="Arial" w:hAnsi="Arial"/>
          <w:i/>
          <w:iCs/>
          <w:color w:val="1F3864"/>
          <w:sz w:val="20"/>
          <w:szCs w:val="20"/>
        </w:rPr>
        <w:t xml:space="preserve">Adoption is not the same as capability. Use is not the same as governance. Speed is not the same as safety.</w:t>
      </w:r>
    </w:p>
    <w:p>
      <w:pPr>
        <w:spacing w:after="60" w:before="0"/>
      </w:pPr>
    </w:p>
    <w:p>
      <w:pPr>
        <w:spacing w:after="80" w:before="40"/>
      </w:pPr>
      <w:r>
        <w:rPr>
          <w:rFonts w:ascii="Arial" w:cs="Arial" w:eastAsia="Arial" w:hAnsi="Arial"/>
          <w:b w:val="false"/>
          <w:bCs w:val="false"/>
          <w:i w:val="false"/>
          <w:iCs w:val="false"/>
          <w:color w:val="333333"/>
          <w:sz w:val="20"/>
          <w:szCs w:val="20"/>
        </w:rPr>
        <w:t xml:space="preserve">Below the adoption headline, the evidence reveals a more concerning picture across five dimensions: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Theme</w:t>
            </w:r>
          </w:p>
        </w:tc>
        <w:tc>
          <w:tcPr>
            <w:tcW w:type="dxa" w:w="7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Evidence of the Problem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Governance vacuum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Nearly half of nonprofits globally have no formal AI policy (2026 Nonprofit AI Adoption Report). In the UK, only 60% are developing one. Without governance, organisations cannot determine what AI is doing, whether it is accurate, or whether it is harming the people it is meant to help.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Capacity deficit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More than half of nonprofit leaders say staff lack expertise to use or learn about AI (Center for Effective Philanthropy / Fast Forward, 2025). 41% of AI-using nonprofits cite lack of in-house technical expertise as a barrier. Only 1% of nonprofit technology budgets go to training.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Literacy gap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 of UK charities report poor skills to engage with emerging technology trends (Zoe Amar, 2024). Over a third say their CEO has poor AI skills. 62% say board digital skills are low. This is a leadership problem as much as a staff 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Measurement failure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2026 Nonprofit AI Adoption Report describes outcome tracking as 'very rare,' with most organisations relying on informal observation. Without measurement, the sector cannot distinguish value creation from activity.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Equity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systematic literature review of NGO AI adoption (arxiv, 2025) finds AI adoption is biased towards larger organisations. Small charities — often serving the most marginalised communities — face the greatest barriers and the least support. This creates a compounding inequity: the organisations with the least capacity to govern AI serve the populations most at risk from unregulated AI.</w:t>
            </w:r>
          </w:p>
        </w:tc>
      </w:tr>
    </w:tbl>
    <w:p>
      <w:pPr>
        <w:spacing w:after="200" w:before="0"/>
      </w:pPr>
    </w:p>
    <w:p>
      <w:pPr>
        <w:spacing w:after="80" w:before="200"/>
      </w:pPr>
      <w:r>
        <w:rPr>
          <w:rFonts w:ascii="Arial" w:cs="Arial" w:eastAsia="Arial" w:hAnsi="Arial"/>
          <w:b/>
          <w:bCs/>
          <w:color w:val="2E75B6"/>
          <w:sz w:val="22"/>
          <w:szCs w:val="22"/>
        </w:rPr>
        <w:t xml:space="preserve">2.3 The Data Gap — An Honest Assessment</w:t>
      </w:r>
    </w:p>
    <w:p>
      <w:pPr>
        <w:spacing w:after="80" w:before="40"/>
      </w:pPr>
      <w:r>
        <w:rPr>
          <w:rFonts w:ascii="Arial" w:cs="Arial" w:eastAsia="Arial" w:hAnsi="Arial"/>
          <w:b w:val="false"/>
          <w:bCs w:val="false"/>
          <w:i w:val="false"/>
          <w:iCs w:val="false"/>
          <w:color w:val="333333"/>
          <w:sz w:val="20"/>
          <w:szCs w:val="20"/>
        </w:rPr>
        <w:t xml:space="preserve">A critical finding from the research phase of this project is that the sector's own data about AI is itself incomplete and methodologically inconsistent. This is not a minor footnote — it is a finding in its own right.</w:t>
      </w:r>
    </w:p>
    <w:p>
      <w:pPr>
        <w:pStyle w:val="ListParagraph"/>
        <w:numPr>
          <w:ilvl w:val="0"/>
          <w:numId w:val="2"/>
        </w:numPr>
        <w:spacing w:after="60" w:before="40"/>
      </w:pPr>
      <w:r>
        <w:rPr>
          <w:rFonts w:ascii="Arial" w:cs="Arial" w:eastAsia="Arial" w:hAnsi="Arial"/>
          <w:b w:val="false"/>
          <w:bCs w:val="false"/>
          <w:color w:val="333333"/>
          <w:sz w:val="20"/>
          <w:szCs w:val="20"/>
        </w:rPr>
        <w:t xml:space="preserve">Survey populations vary enormously: studies range from 65 respondents to 672. Most are self-selected, skewing towards digitally engaged organisations.</w:t>
      </w:r>
    </w:p>
    <w:p>
      <w:pPr>
        <w:pStyle w:val="ListParagraph"/>
        <w:numPr>
          <w:ilvl w:val="0"/>
          <w:numId w:val="2"/>
        </w:numPr>
        <w:spacing w:after="60" w:before="40"/>
      </w:pPr>
      <w:r>
        <w:rPr>
          <w:rFonts w:ascii="Arial" w:cs="Arial" w:eastAsia="Arial" w:hAnsi="Arial"/>
          <w:b w:val="false"/>
          <w:bCs w:val="false"/>
          <w:color w:val="333333"/>
          <w:sz w:val="20"/>
          <w:szCs w:val="20"/>
        </w:rPr>
        <w:t xml:space="preserve">There is almost no published data breaking down AI adoption or governance by charity type (e.g. food banks vs. education vs. employability vs. mental health). The Charity Commission register contains cause classifications but no AI data.</w:t>
      </w:r>
    </w:p>
    <w:p>
      <w:pPr>
        <w:pStyle w:val="ListParagraph"/>
        <w:numPr>
          <w:ilvl w:val="0"/>
          <w:numId w:val="2"/>
        </w:numPr>
        <w:spacing w:after="60" w:before="40"/>
      </w:pPr>
      <w:r>
        <w:rPr>
          <w:rFonts w:ascii="Arial" w:cs="Arial" w:eastAsia="Arial" w:hAnsi="Arial"/>
          <w:b w:val="false"/>
          <w:bCs w:val="false"/>
          <w:color w:val="333333"/>
          <w:sz w:val="20"/>
          <w:szCs w:val="20"/>
        </w:rPr>
        <w:t xml:space="preserve">Regional breakdowns within the UK are absent from most sector reports. The Charity Commission register can provide geographic data but only as a proxy (income and size by region, not AI adoption).</w:t>
      </w:r>
    </w:p>
    <w:p>
      <w:pPr>
        <w:pStyle w:val="ListParagraph"/>
        <w:numPr>
          <w:ilvl w:val="0"/>
          <w:numId w:val="2"/>
        </w:numPr>
        <w:spacing w:after="60" w:before="40"/>
      </w:pPr>
      <w:r>
        <w:rPr>
          <w:rFonts w:ascii="Arial" w:cs="Arial" w:eastAsia="Arial" w:hAnsi="Arial"/>
          <w:b w:val="false"/>
          <w:bCs w:val="false"/>
          <w:color w:val="333333"/>
          <w:sz w:val="20"/>
          <w:szCs w:val="20"/>
        </w:rPr>
        <w:t xml:space="preserve">Global comparisons are fragmented: the systematic NGO AI literature review (2025) covers only 65 studies from 2020–2025 in English, reflecting a significant publication bias towards high-income English-speaking countries.</w:t>
      </w:r>
    </w:p>
    <w:p>
      <w:pPr>
        <w:pStyle w:val="ListParagraph"/>
        <w:numPr>
          <w:ilvl w:val="0"/>
          <w:numId w:val="2"/>
        </w:numPr>
        <w:spacing w:after="60" w:before="40"/>
      </w:pPr>
      <w:r>
        <w:rPr>
          <w:rFonts w:ascii="Arial" w:cs="Arial" w:eastAsia="Arial" w:hAnsi="Arial"/>
          <w:b w:val="false"/>
          <w:bCs w:val="false"/>
          <w:color w:val="333333"/>
          <w:sz w:val="20"/>
          <w:szCs w:val="20"/>
        </w:rPr>
        <w:t xml:space="preserve">Ethical and bias data in the sector is almost entirely qualitative — drawn from case studies, governance frameworks, and advocacy reports rather than quantitative surveys.</w:t>
      </w:r>
    </w:p>
    <w:p>
      <w:pPr>
        <w:spacing w:after="80" w:before="0"/>
      </w:pPr>
    </w:p>
    <w:p>
      <w:pPr>
        <w:pBdr>
          <w:left w:val="single" w:color="8B0000" w:sz="20" w:space="8"/>
        </w:pBdr>
        <w:shd w:fill="FADBD8" w:val="clear"/>
        <w:spacing w:after="120" w:before="100"/>
        <w:ind w:left="160" w:right="120"/>
      </w:pPr>
      <w:r>
        <w:rPr>
          <w:rFonts w:ascii="Arial" w:cs="Arial" w:eastAsia="Arial" w:hAnsi="Arial"/>
          <w:i/>
          <w:iCs/>
          <w:color w:val="1F3864"/>
          <w:sz w:val="20"/>
          <w:szCs w:val="20"/>
        </w:rPr>
        <w:t xml:space="preserve">This data gap is itself a finding the project will surface explicitly. The sector cannot govern what it cannot measure — and currently, it cannot adequately measure AI's use, risks, or impact.</w:t>
      </w:r>
    </w:p>
    <w:p>
      <w:pPr>
        <w:spacing w:after="120" w:before="0"/>
      </w:pPr>
    </w:p>
    <w:p>
      <w:pPr>
        <w:spacing w:after="120" w:before="320"/>
      </w:pPr>
      <w:r>
        <w:rPr>
          <w:rFonts w:ascii="Arial" w:cs="Arial" w:eastAsia="Arial" w:hAnsi="Arial"/>
          <w:b/>
          <w:bCs/>
          <w:color w:val="1F3864"/>
          <w:sz w:val="28"/>
          <w:szCs w:val="28"/>
        </w:rPr>
        <w:t xml:space="preserve">3. Project Aims</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This project aims to:</w:t>
      </w:r>
    </w:p>
    <w:p>
      <w:pPr>
        <w:pStyle w:val="ListParagraph"/>
        <w:numPr>
          <w:ilvl w:val="0"/>
          <w:numId w:val="3"/>
        </w:numPr>
        <w:spacing w:after="60" w:before="40"/>
      </w:pPr>
      <w:r>
        <w:rPr>
          <w:rFonts w:ascii="Arial" w:cs="Arial" w:eastAsia="Arial" w:hAnsi="Arial"/>
          <w:b w:val="false"/>
          <w:bCs w:val="false"/>
          <w:color w:val="333333"/>
          <w:sz w:val="20"/>
          <w:szCs w:val="20"/>
        </w:rPr>
        <w:t xml:space="preserve">Synthesise published evidence across adoption, capacity, literacy, governance, ethics, and equity into a coherent analytical picture of where the charity and nonprofit sector actually stands with AI in 2026.</w:t>
      </w:r>
    </w:p>
    <w:p>
      <w:pPr>
        <w:pStyle w:val="ListParagraph"/>
        <w:numPr>
          <w:ilvl w:val="0"/>
          <w:numId w:val="3"/>
        </w:numPr>
        <w:spacing w:after="60" w:before="40"/>
      </w:pPr>
      <w:r>
        <w:rPr>
          <w:rFonts w:ascii="Arial" w:cs="Arial" w:eastAsia="Arial" w:hAnsi="Arial"/>
          <w:b w:val="false"/>
          <w:bCs w:val="false"/>
          <w:color w:val="333333"/>
          <w:sz w:val="20"/>
          <w:szCs w:val="20"/>
        </w:rPr>
        <w:t xml:space="preserve">Identify and make explicit the gaps in available data — including what cannot yet be answered with evidence, and why that matters.</w:t>
      </w:r>
    </w:p>
    <w:p>
      <w:pPr>
        <w:pStyle w:val="ListParagraph"/>
        <w:numPr>
          <w:ilvl w:val="0"/>
          <w:numId w:val="3"/>
        </w:numPr>
        <w:spacing w:after="60" w:before="40"/>
      </w:pPr>
      <w:r>
        <w:rPr>
          <w:rFonts w:ascii="Arial" w:cs="Arial" w:eastAsia="Arial" w:hAnsi="Arial"/>
          <w:b w:val="false"/>
          <w:bCs w:val="false"/>
          <w:color w:val="333333"/>
          <w:sz w:val="20"/>
          <w:szCs w:val="20"/>
        </w:rPr>
        <w:t xml:space="preserve">Produce a public-facing dashboard that is analytical and critical, not merely descriptive — asking 'so what?' of every data point.</w:t>
      </w:r>
    </w:p>
    <w:p>
      <w:pPr>
        <w:pStyle w:val="ListParagraph"/>
        <w:numPr>
          <w:ilvl w:val="0"/>
          <w:numId w:val="3"/>
        </w:numPr>
        <w:spacing w:after="60" w:before="40"/>
      </w:pPr>
      <w:r>
        <w:rPr>
          <w:rFonts w:ascii="Arial" w:cs="Arial" w:eastAsia="Arial" w:hAnsi="Arial"/>
          <w:b w:val="false"/>
          <w:bCs w:val="false"/>
          <w:color w:val="333333"/>
          <w:sz w:val="20"/>
          <w:szCs w:val="20"/>
        </w:rPr>
        <w:t xml:space="preserve">Accompany the dashboard with a written analysis (800–1,200 words) that makes the argument accessible to a non-specialist audience including charity leaders, funders, and policymakers.</w:t>
      </w:r>
    </w:p>
    <w:p>
      <w:pPr>
        <w:pStyle w:val="ListParagraph"/>
        <w:numPr>
          <w:ilvl w:val="0"/>
          <w:numId w:val="3"/>
        </w:numPr>
        <w:spacing w:after="60" w:before="40"/>
      </w:pPr>
      <w:r>
        <w:rPr>
          <w:rFonts w:ascii="Arial" w:cs="Arial" w:eastAsia="Arial" w:hAnsi="Arial"/>
          <w:b w:val="false"/>
          <w:bCs w:val="false"/>
          <w:color w:val="333333"/>
          <w:sz w:val="20"/>
          <w:szCs w:val="20"/>
        </w:rPr>
        <w:t xml:space="preserve">Publish a condensed LinkedIn article (500–600 words) that reaches a professional audience and establishes the author's voice in the charity-tech and AI governance space.</w:t>
      </w:r>
    </w:p>
    <w:p>
      <w:pPr>
        <w:pStyle w:val="ListParagraph"/>
        <w:numPr>
          <w:ilvl w:val="0"/>
          <w:numId w:val="3"/>
        </w:numPr>
        <w:spacing w:after="60" w:before="40"/>
      </w:pPr>
      <w:r>
        <w:rPr>
          <w:rFonts w:ascii="Arial" w:cs="Arial" w:eastAsia="Arial" w:hAnsi="Arial"/>
          <w:b w:val="false"/>
          <w:bCs w:val="false"/>
          <w:color w:val="333333"/>
          <w:sz w:val="20"/>
          <w:szCs w:val="20"/>
        </w:rPr>
        <w:t xml:space="preserve">Document the full project lifecycle on GitHub — including the BRD, project plan, data sources, and analytical notes — demonstrating BA practice as well as analytical output.</w:t>
      </w:r>
    </w:p>
    <w:p>
      <w:pPr>
        <w:spacing w:after="120" w:before="0"/>
      </w:pPr>
    </w:p>
    <w:p>
      <w:pPr>
        <w:spacing w:after="120" w:before="320"/>
      </w:pPr>
      <w:r>
        <w:rPr>
          <w:rFonts w:ascii="Arial" w:cs="Arial" w:eastAsia="Arial" w:hAnsi="Arial"/>
          <w:b/>
          <w:bCs/>
          <w:color w:val="1F3864"/>
          <w:sz w:val="28"/>
          <w:szCs w:val="28"/>
        </w:rPr>
        <w:t xml:space="preserve">4. Research Framework — Five Analytical Themes</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The project is structured around five interconnected themes. Each theme has its own research questions, data sources, and dashboard view. The themes are designed to build on each other, moving from description to analysis to critique.</w:t>
      </w:r>
    </w:p>
    <w:p>
      <w:pPr>
        <w:spacing w:after="80" w:before="0"/>
      </w:pPr>
    </w:p>
    <w:p>
      <w:pPr>
        <w:spacing w:after="80" w:before="0"/>
      </w:pPr>
    </w:p>
    <w:p>
      <w:pPr>
        <w:pBdr>
          <w:left w:val="single" w:color="2E75B6" w:sz="20" w:space="8"/>
        </w:pBdr>
        <w:shd w:fill="D6E4F0" w:val="clear"/>
        <w:spacing w:after="80" w:before="160"/>
        <w:ind w:left="160"/>
      </w:pPr>
      <w:r>
        <w:rPr>
          <w:rFonts w:ascii="Arial" w:cs="Arial" w:eastAsia="Arial" w:hAnsi="Arial"/>
          <w:b/>
          <w:bCs/>
          <w:color w:val="2E75B6"/>
          <w:sz w:val="26"/>
          <w:szCs w:val="26"/>
        </w:rPr>
        <w:t xml:space="preserve">Theme 1: Adoption Patterns</w:t>
      </w:r>
    </w:p>
    <w:p>
      <w:pPr>
        <w:spacing w:after="80" w:before="40"/>
      </w:pPr>
      <w:r>
        <w:rPr>
          <w:rFonts w:ascii="Arial" w:cs="Arial" w:eastAsia="Arial" w:hAnsi="Arial"/>
          <w:b/>
          <w:bCs/>
          <w:i w:val="false"/>
          <w:iCs w:val="false"/>
          <w:color w:val="2E75B6"/>
          <w:sz w:val="20"/>
          <w:szCs w:val="20"/>
        </w:rPr>
        <w:t xml:space="preserve">Research question: </w:t>
      </w:r>
      <w:r>
        <w:rPr>
          <w:rFonts w:ascii="Arial" w:cs="Arial" w:eastAsia="Arial" w:hAnsi="Arial"/>
          <w:b w:val="false"/>
          <w:bCs w:val="false"/>
          <w:i w:val="false"/>
          <w:iCs w:val="false"/>
          <w:color w:val="333333"/>
          <w:sz w:val="20"/>
          <w:szCs w:val="20"/>
        </w:rPr>
        <w:t xml:space="preserve">How fast is AI adoption growing, and is growth distributed evenly across the sector?</w:t>
      </w:r>
    </w:p>
    <w:p>
      <w:pPr>
        <w:spacing w:after="60" w:before="120"/>
      </w:pPr>
      <w:r>
        <w:rPr>
          <w:rFonts w:ascii="Arial" w:cs="Arial" w:eastAsia="Arial" w:hAnsi="Arial"/>
          <w:b/>
          <w:bCs/>
          <w:color w:val="2E75B6"/>
          <w:sz w:val="20"/>
          <w:szCs w:val="20"/>
        </w:rPr>
        <w:t xml:space="preserve">Key findings from published research</w:t>
      </w:r>
    </w:p>
    <w:p>
      <w:pPr>
        <w:pStyle w:val="ListParagraph"/>
        <w:numPr>
          <w:ilvl w:val="0"/>
          <w:numId w:val="2"/>
        </w:numPr>
        <w:spacing w:after="60" w:before="40"/>
      </w:pPr>
      <w:r>
        <w:rPr>
          <w:rFonts w:ascii="Arial" w:cs="Arial" w:eastAsia="Arial" w:hAnsi="Arial"/>
          <w:b w:val="false"/>
          <w:bCs w:val="false"/>
          <w:color w:val="333333"/>
          <w:sz w:val="20"/>
          <w:szCs w:val="20"/>
        </w:rPr>
        <w:t xml:space="preserve">88% of UK charities use AI daily (2026 interim) — up from 61% in 2024. Globally, 92% of surveyed nonprofits use AI.</w:t>
      </w:r>
    </w:p>
    <w:p>
      <w:pPr>
        <w:pStyle w:val="ListParagraph"/>
        <w:numPr>
          <w:ilvl w:val="0"/>
          <w:numId w:val="2"/>
        </w:numPr>
        <w:spacing w:after="60" w:before="40"/>
      </w:pPr>
      <w:r>
        <w:rPr>
          <w:rFonts w:ascii="Arial" w:cs="Arial" w:eastAsia="Arial" w:hAnsi="Arial"/>
          <w:b w:val="false"/>
          <w:bCs w:val="false"/>
          <w:color w:val="333333"/>
          <w:sz w:val="20"/>
          <w:szCs w:val="20"/>
        </w:rPr>
        <w:t xml:space="preserve">Growth is accelerating, but the gap between using AI and using it strategically is widening.</w:t>
      </w:r>
    </w:p>
    <w:p>
      <w:pPr>
        <w:pStyle w:val="ListParagraph"/>
        <w:numPr>
          <w:ilvl w:val="0"/>
          <w:numId w:val="2"/>
        </w:numPr>
        <w:spacing w:after="60" w:before="40"/>
      </w:pPr>
      <w:r>
        <w:rPr>
          <w:rFonts w:ascii="Arial" w:cs="Arial" w:eastAsia="Arial" w:hAnsi="Arial"/>
          <w:b w:val="false"/>
          <w:bCs w:val="false"/>
          <w:color w:val="333333"/>
          <w:sz w:val="20"/>
          <w:szCs w:val="20"/>
        </w:rPr>
        <w:t xml:space="preserve">Adoption among large charities (89%) historically outpaced small charities (72%) though 2026 data suggests convergence — the reasons for which are unclear.</w:t>
      </w:r>
    </w:p>
    <w:p>
      <w:pPr>
        <w:pStyle w:val="ListParagraph"/>
        <w:numPr>
          <w:ilvl w:val="0"/>
          <w:numId w:val="2"/>
        </w:numPr>
        <w:spacing w:after="60" w:before="40"/>
      </w:pPr>
      <w:r>
        <w:rPr>
          <w:rFonts w:ascii="Arial" w:cs="Arial" w:eastAsia="Arial" w:hAnsi="Arial"/>
          <w:b w:val="false"/>
          <w:bCs w:val="false"/>
          <w:color w:val="333333"/>
          <w:sz w:val="20"/>
          <w:szCs w:val="20"/>
        </w:rPr>
        <w:t xml:space="preserve">Global NGO AI literature review (2025): AI adoption remains 'uneven and biased towards larger organisations.'</w:t>
      </w:r>
    </w:p>
    <w:p>
      <w:pPr>
        <w:spacing w:after="60" w:before="120"/>
      </w:pPr>
      <w:r>
        <w:rPr>
          <w:rFonts w:ascii="Arial" w:cs="Arial" w:eastAsia="Arial" w:hAnsi="Arial"/>
          <w:b/>
          <w:bCs/>
          <w:color w:val="2E75B6"/>
          <w:sz w:val="20"/>
          <w:szCs w:val="20"/>
        </w:rPr>
        <w:t xml:space="preserve">Primary data sources</w:t>
      </w:r>
    </w:p>
    <w:p>
      <w:pPr>
        <w:spacing w:after="80" w:before="40"/>
      </w:pPr>
      <w:r>
        <w:rPr>
          <w:rFonts w:ascii="Arial" w:cs="Arial" w:eastAsia="Arial" w:hAnsi="Arial"/>
          <w:b w:val="false"/>
          <w:bCs w:val="false"/>
          <w:i/>
          <w:iCs/>
          <w:color w:val="333333"/>
          <w:sz w:val="20"/>
          <w:szCs w:val="20"/>
        </w:rPr>
        <w:t xml:space="preserve">Zoe Amar Digital Skills Reports 2024/2025/2026 interim; Phoenix/NCVO State of AI 2025; Virtuous 2026 Nonprofit AI Adoption Report; arxiv NGO systematic review 2025.</w:t>
      </w:r>
    </w:p>
    <w:p>
      <w:pPr>
        <w:spacing w:after="60" w:before="120"/>
      </w:pPr>
      <w:r>
        <w:rPr>
          <w:rFonts w:ascii="Arial" w:cs="Arial" w:eastAsia="Arial" w:hAnsi="Arial"/>
          <w:b/>
          <w:bCs/>
          <w:color w:val="2E75B6"/>
          <w:sz w:val="20"/>
          <w:szCs w:val="20"/>
        </w:rPr>
        <w:t xml:space="preserve">Dashboard view</w:t>
      </w:r>
    </w:p>
    <w:p>
      <w:pPr>
        <w:spacing w:after="80" w:before="40"/>
      </w:pPr>
      <w:r>
        <w:rPr>
          <w:rFonts w:ascii="Arial" w:cs="Arial" w:eastAsia="Arial" w:hAnsi="Arial"/>
          <w:b w:val="false"/>
          <w:bCs w:val="false"/>
          <w:i w:val="false"/>
          <w:iCs w:val="false"/>
          <w:color w:val="333333"/>
          <w:sz w:val="20"/>
          <w:szCs w:val="20"/>
        </w:rPr>
        <w:t xml:space="preserve">View 1: Adoption timeline + size segmentation + strategic vs. experimental split</w:t>
      </w:r>
    </w:p>
    <w:p>
      <w:pPr>
        <w:spacing w:after="80" w:before="0"/>
      </w:pPr>
    </w:p>
    <w:p>
      <w:pPr>
        <w:pBdr>
          <w:left w:val="single" w:color="1F6B75" w:sz="20" w:space="8"/>
        </w:pBdr>
        <w:shd w:fill="D6EEF0" w:val="clear"/>
        <w:spacing w:after="80" w:before="160"/>
        <w:ind w:left="160"/>
      </w:pPr>
      <w:r>
        <w:rPr>
          <w:rFonts w:ascii="Arial" w:cs="Arial" w:eastAsia="Arial" w:hAnsi="Arial"/>
          <w:b/>
          <w:bCs/>
          <w:color w:val="1F6B75"/>
          <w:sz w:val="26"/>
          <w:szCs w:val="26"/>
        </w:rPr>
        <w:t xml:space="preserve">Theme 2: Governance &amp; Strategy Gaps</w:t>
      </w:r>
    </w:p>
    <w:p>
      <w:pPr>
        <w:spacing w:after="80" w:before="40"/>
      </w:pPr>
      <w:r>
        <w:rPr>
          <w:rFonts w:ascii="Arial" w:cs="Arial" w:eastAsia="Arial" w:hAnsi="Arial"/>
          <w:b/>
          <w:bCs/>
          <w:i w:val="false"/>
          <w:iCs w:val="false"/>
          <w:color w:val="1F6B75"/>
          <w:sz w:val="20"/>
          <w:szCs w:val="20"/>
        </w:rPr>
        <w:t xml:space="preserve">Research question: </w:t>
      </w:r>
      <w:r>
        <w:rPr>
          <w:rFonts w:ascii="Arial" w:cs="Arial" w:eastAsia="Arial" w:hAnsi="Arial"/>
          <w:b w:val="false"/>
          <w:bCs w:val="false"/>
          <w:i w:val="false"/>
          <w:iCs w:val="false"/>
          <w:color w:val="333333"/>
          <w:sz w:val="20"/>
          <w:szCs w:val="20"/>
        </w:rPr>
        <w:t xml:space="preserve">Is adoption ahead of governance, and what are the structural consequences?</w:t>
      </w:r>
    </w:p>
    <w:p>
      <w:pPr>
        <w:spacing w:after="60" w:before="120"/>
      </w:pPr>
      <w:r>
        <w:rPr>
          <w:rFonts w:ascii="Arial" w:cs="Arial" w:eastAsia="Arial" w:hAnsi="Arial"/>
          <w:b/>
          <w:bCs/>
          <w:color w:val="1F6B75"/>
          <w:sz w:val="20"/>
          <w:szCs w:val="20"/>
        </w:rPr>
        <w:t xml:space="preserve">Key findings from published research</w:t>
      </w:r>
    </w:p>
    <w:p>
      <w:pPr>
        <w:pStyle w:val="ListParagraph"/>
        <w:numPr>
          <w:ilvl w:val="0"/>
          <w:numId w:val="2"/>
        </w:numPr>
        <w:spacing w:after="60" w:before="40"/>
      </w:pPr>
      <w:r>
        <w:rPr>
          <w:rFonts w:ascii="Arial" w:cs="Arial" w:eastAsia="Arial" w:hAnsi="Arial"/>
          <w:b w:val="false"/>
          <w:bCs w:val="false"/>
          <w:color w:val="333333"/>
          <w:sz w:val="20"/>
          <w:szCs w:val="20"/>
        </w:rPr>
        <w:t xml:space="preserve">Only 60% of UK charities have or are developing an AI policy (2026 interim) — despite 88% using AI daily.</w:t>
      </w:r>
    </w:p>
    <w:p>
      <w:pPr>
        <w:pStyle w:val="ListParagraph"/>
        <w:numPr>
          <w:ilvl w:val="0"/>
          <w:numId w:val="2"/>
        </w:numPr>
        <w:spacing w:after="60" w:before="40"/>
      </w:pPr>
      <w:r>
        <w:rPr>
          <w:rFonts w:ascii="Arial" w:cs="Arial" w:eastAsia="Arial" w:hAnsi="Arial"/>
          <w:b w:val="false"/>
          <w:bCs w:val="false"/>
          <w:color w:val="333333"/>
          <w:sz w:val="20"/>
          <w:szCs w:val="20"/>
        </w:rPr>
        <w:t xml:space="preserve">Globally: nearly half of nonprofits have no formal AI governance policy (Virtuous, 2026).</w:t>
      </w:r>
    </w:p>
    <w:p>
      <w:pPr>
        <w:pStyle w:val="ListParagraph"/>
        <w:numPr>
          <w:ilvl w:val="0"/>
          <w:numId w:val="2"/>
        </w:numPr>
        <w:spacing w:after="60" w:before="40"/>
      </w:pPr>
      <w:r>
        <w:rPr>
          <w:rFonts w:ascii="Arial" w:cs="Arial" w:eastAsia="Arial" w:hAnsi="Arial"/>
          <w:b w:val="false"/>
          <w:bCs w:val="false"/>
          <w:color w:val="333333"/>
          <w:sz w:val="20"/>
          <w:szCs w:val="20"/>
        </w:rPr>
        <w:t xml:space="preserve">82% of nonprofits use AI; less than 10% have formal policies governing its use (Nonprofit Standards Benchmarking Survey, 2024).</w:t>
      </w:r>
    </w:p>
    <w:p>
      <w:pPr>
        <w:pStyle w:val="ListParagraph"/>
        <w:numPr>
          <w:ilvl w:val="0"/>
          <w:numId w:val="2"/>
        </w:numPr>
        <w:spacing w:after="60" w:before="40"/>
      </w:pPr>
      <w:r>
        <w:rPr>
          <w:rFonts w:ascii="Arial" w:cs="Arial" w:eastAsia="Arial" w:hAnsi="Arial"/>
          <w:b w:val="false"/>
          <w:bCs w:val="false"/>
          <w:color w:val="333333"/>
          <w:sz w:val="20"/>
          <w:szCs w:val="20"/>
        </w:rPr>
        <w:t xml:space="preserve">76% of nonprofits globally lack any AI strategy (State of AI in Nonprofits 2025).</w:t>
      </w:r>
    </w:p>
    <w:p>
      <w:pPr>
        <w:pStyle w:val="ListParagraph"/>
        <w:numPr>
          <w:ilvl w:val="0"/>
          <w:numId w:val="2"/>
        </w:numPr>
        <w:spacing w:after="60" w:before="40"/>
      </w:pPr>
      <w:r>
        <w:rPr>
          <w:rFonts w:ascii="Arial" w:cs="Arial" w:eastAsia="Arial" w:hAnsi="Arial"/>
          <w:b w:val="false"/>
          <w:bCs w:val="false"/>
          <w:color w:val="333333"/>
          <w:sz w:val="20"/>
          <w:szCs w:val="20"/>
        </w:rPr>
        <w:t xml:space="preserve">'What we're seeing is AI being treated as a side experiment individuals run in isolation — that's not a strategy, it's a workaround.' — Virtuous CEO.</w:t>
      </w:r>
    </w:p>
    <w:p>
      <w:pPr>
        <w:spacing w:after="60" w:before="120"/>
      </w:pPr>
      <w:r>
        <w:rPr>
          <w:rFonts w:ascii="Arial" w:cs="Arial" w:eastAsia="Arial" w:hAnsi="Arial"/>
          <w:b/>
          <w:bCs/>
          <w:color w:val="1F6B75"/>
          <w:sz w:val="20"/>
          <w:szCs w:val="20"/>
        </w:rPr>
        <w:t xml:space="preserve">Primary data sources</w:t>
      </w:r>
    </w:p>
    <w:p>
      <w:pPr>
        <w:spacing w:after="80" w:before="40"/>
      </w:pPr>
      <w:r>
        <w:rPr>
          <w:rFonts w:ascii="Arial" w:cs="Arial" w:eastAsia="Arial" w:hAnsi="Arial"/>
          <w:b w:val="false"/>
          <w:bCs w:val="false"/>
          <w:i/>
          <w:iCs/>
          <w:color w:val="333333"/>
          <w:sz w:val="20"/>
          <w:szCs w:val="20"/>
        </w:rPr>
        <w:t xml:space="preserve">Whole Whale Nonprofit AI Policies 2025; Virtuous 2026 Nonprofit AI Adoption Report; Zoe Amar 2025/2026; Phoenix/NCVO 2025.</w:t>
      </w:r>
    </w:p>
    <w:p>
      <w:pPr>
        <w:spacing w:after="60" w:before="120"/>
      </w:pPr>
      <w:r>
        <w:rPr>
          <w:rFonts w:ascii="Arial" w:cs="Arial" w:eastAsia="Arial" w:hAnsi="Arial"/>
          <w:b/>
          <w:bCs/>
          <w:color w:val="1F6B75"/>
          <w:sz w:val="20"/>
          <w:szCs w:val="20"/>
        </w:rPr>
        <w:t xml:space="preserve">Dashboard view</w:t>
      </w:r>
    </w:p>
    <w:p>
      <w:pPr>
        <w:spacing w:after="80" w:before="40"/>
      </w:pPr>
      <w:r>
        <w:rPr>
          <w:rFonts w:ascii="Arial" w:cs="Arial" w:eastAsia="Arial" w:hAnsi="Arial"/>
          <w:b w:val="false"/>
          <w:bCs w:val="false"/>
          <w:i w:val="false"/>
          <w:iCs w:val="false"/>
          <w:color w:val="333333"/>
          <w:sz w:val="20"/>
          <w:szCs w:val="20"/>
        </w:rPr>
        <w:t xml:space="preserve">View 2: Governance gap matrix — adoption vs. policy vs. strategy vs. measurement</w:t>
      </w:r>
    </w:p>
    <w:p>
      <w:pPr>
        <w:spacing w:after="80" w:before="0"/>
      </w:pPr>
    </w:p>
    <w:p>
      <w:pPr>
        <w:pBdr>
          <w:left w:val="single" w:color="C55A11" w:sz="20" w:space="8"/>
        </w:pBdr>
        <w:shd w:fill="FCE4D6" w:val="clear"/>
        <w:spacing w:after="80" w:before="160"/>
        <w:ind w:left="160"/>
      </w:pPr>
      <w:r>
        <w:rPr>
          <w:rFonts w:ascii="Arial" w:cs="Arial" w:eastAsia="Arial" w:hAnsi="Arial"/>
          <w:b/>
          <w:bCs/>
          <w:color w:val="C55A11"/>
          <w:sz w:val="26"/>
          <w:szCs w:val="26"/>
        </w:rPr>
        <w:t xml:space="preserve">Theme 3: Capacity &amp; Literacy</w:t>
      </w:r>
    </w:p>
    <w:p>
      <w:pPr>
        <w:spacing w:after="80" w:before="40"/>
      </w:pPr>
      <w:r>
        <w:rPr>
          <w:rFonts w:ascii="Arial" w:cs="Arial" w:eastAsia="Arial" w:hAnsi="Arial"/>
          <w:b/>
          <w:bCs/>
          <w:i w:val="false"/>
          <w:iCs w:val="false"/>
          <w:color w:val="C55A11"/>
          <w:sz w:val="20"/>
          <w:szCs w:val="20"/>
        </w:rPr>
        <w:t xml:space="preserve">Research question: </w:t>
      </w:r>
      <w:r>
        <w:rPr>
          <w:rFonts w:ascii="Arial" w:cs="Arial" w:eastAsia="Arial" w:hAnsi="Arial"/>
          <w:b w:val="false"/>
          <w:bCs w:val="false"/>
          <w:i w:val="false"/>
          <w:iCs w:val="false"/>
          <w:color w:val="333333"/>
          <w:sz w:val="20"/>
          <w:szCs w:val="20"/>
        </w:rPr>
        <w:t xml:space="preserve">Do charities have the people, skills, and funding to use AI responsibly?</w:t>
      </w:r>
    </w:p>
    <w:p>
      <w:pPr>
        <w:spacing w:after="60" w:before="120"/>
      </w:pPr>
      <w:r>
        <w:rPr>
          <w:rFonts w:ascii="Arial" w:cs="Arial" w:eastAsia="Arial" w:hAnsi="Arial"/>
          <w:b/>
          <w:bCs/>
          <w:color w:val="C55A11"/>
          <w:sz w:val="20"/>
          <w:szCs w:val="20"/>
        </w:rPr>
        <w:t xml:space="preserve">Key findings from published research</w:t>
      </w:r>
    </w:p>
    <w:p>
      <w:pPr>
        <w:pStyle w:val="ListParagraph"/>
        <w:numPr>
          <w:ilvl w:val="0"/>
          <w:numId w:val="2"/>
        </w:numPr>
        <w:spacing w:after="60" w:before="40"/>
      </w:pPr>
      <w:r>
        <w:rPr>
          <w:rFonts w:ascii="Arial" w:cs="Arial" w:eastAsia="Arial" w:hAnsi="Arial"/>
          <w:b w:val="false"/>
          <w:bCs w:val="false"/>
          <w:color w:val="333333"/>
          <w:sz w:val="20"/>
          <w:szCs w:val="20"/>
        </w:rPr>
        <w:t xml:space="preserve">More than half of nonprofit leaders say staff lack expertise to use or learn about AI.</w:t>
      </w:r>
    </w:p>
    <w:p>
      <w:pPr>
        <w:pStyle w:val="ListParagraph"/>
        <w:numPr>
          <w:ilvl w:val="0"/>
          <w:numId w:val="2"/>
        </w:numPr>
        <w:spacing w:after="60" w:before="40"/>
      </w:pPr>
      <w:r>
        <w:rPr>
          <w:rFonts w:ascii="Arial" w:cs="Arial" w:eastAsia="Arial" w:hAnsi="Arial"/>
          <w:b w:val="false"/>
          <w:bCs w:val="false"/>
          <w:color w:val="333333"/>
          <w:sz w:val="20"/>
          <w:szCs w:val="20"/>
        </w:rPr>
        <w:t xml:space="preserve">41% of AI-using nonprofits cite lack of in-house technical expertise as their primary barrier.</w:t>
      </w:r>
    </w:p>
    <w:p>
      <w:pPr>
        <w:pStyle w:val="ListParagraph"/>
        <w:numPr>
          <w:ilvl w:val="0"/>
          <w:numId w:val="2"/>
        </w:numPr>
        <w:spacing w:after="60" w:before="40"/>
      </w:pPr>
      <w:r>
        <w:rPr>
          <w:rFonts w:ascii="Arial" w:cs="Arial" w:eastAsia="Arial" w:hAnsi="Arial"/>
          <w:b w:val="false"/>
          <w:bCs w:val="false"/>
          <w:color w:val="333333"/>
          <w:sz w:val="20"/>
          <w:szCs w:val="20"/>
        </w:rPr>
        <w:t xml:space="preserve">Only 1% of nonprofit technology budgets goes to training — 54% goes to hardware.</w:t>
      </w:r>
    </w:p>
    <w:p>
      <w:pPr>
        <w:pStyle w:val="ListParagraph"/>
        <w:numPr>
          <w:ilvl w:val="0"/>
          <w:numId w:val="2"/>
        </w:numPr>
        <w:spacing w:after="60" w:before="40"/>
      </w:pPr>
      <w:r>
        <w:rPr>
          <w:rFonts w:ascii="Arial" w:cs="Arial" w:eastAsia="Arial" w:hAnsi="Arial"/>
          <w:b w:val="false"/>
          <w:bCs w:val="false"/>
          <w:color w:val="333333"/>
          <w:sz w:val="20"/>
          <w:szCs w:val="20"/>
        </w:rPr>
        <w:t xml:space="preserve">35% of UK charity staff rate themselves poor at using AI tools; 29% don't use them at all.</w:t>
      </w:r>
    </w:p>
    <w:p>
      <w:pPr>
        <w:pStyle w:val="ListParagraph"/>
        <w:numPr>
          <w:ilvl w:val="0"/>
          <w:numId w:val="2"/>
        </w:numPr>
        <w:spacing w:after="60" w:before="40"/>
      </w:pPr>
      <w:r>
        <w:rPr>
          <w:rFonts w:ascii="Arial" w:cs="Arial" w:eastAsia="Arial" w:hAnsi="Arial"/>
          <w:b w:val="false"/>
          <w:bCs w:val="false"/>
          <w:color w:val="333333"/>
          <w:sz w:val="20"/>
          <w:szCs w:val="20"/>
        </w:rPr>
        <w:t xml:space="preserve">60% of boards have poor or improving digital skills; 34%+ of CEOs rated poor on AI skills.</w:t>
      </w:r>
    </w:p>
    <w:p>
      <w:pPr>
        <w:pStyle w:val="ListParagraph"/>
        <w:numPr>
          <w:ilvl w:val="0"/>
          <w:numId w:val="2"/>
        </w:numPr>
        <w:spacing w:after="60" w:before="40"/>
      </w:pPr>
      <w:r>
        <w:rPr>
          <w:rFonts w:ascii="Arial" w:cs="Arial" w:eastAsia="Arial" w:hAnsi="Arial"/>
          <w:b w:val="false"/>
          <w:bCs w:val="false"/>
          <w:color w:val="333333"/>
          <w:sz w:val="20"/>
          <w:szCs w:val="20"/>
        </w:rPr>
        <w:t xml:space="preserve">Only 9% of nonprofits feel ready to adopt AI responsibly (AI Equity Project, 2025).</w:t>
      </w:r>
    </w:p>
    <w:p>
      <w:pPr>
        <w:pStyle w:val="ListParagraph"/>
        <w:numPr>
          <w:ilvl w:val="0"/>
          <w:numId w:val="2"/>
        </w:numPr>
        <w:spacing w:after="60" w:before="40"/>
      </w:pPr>
      <w:r>
        <w:rPr>
          <w:rFonts w:ascii="Arial" w:cs="Arial" w:eastAsia="Arial" w:hAnsi="Arial"/>
          <w:b w:val="false"/>
          <w:bCs w:val="false"/>
          <w:color w:val="333333"/>
          <w:sz w:val="20"/>
          <w:szCs w:val="20"/>
        </w:rPr>
        <w:t xml:space="preserve">The sector is caught in a funding catch-22: need early capital to prove AI impact; can only attract funders after results are visible.</w:t>
      </w:r>
    </w:p>
    <w:p>
      <w:pPr>
        <w:spacing w:after="60" w:before="120"/>
      </w:pPr>
      <w:r>
        <w:rPr>
          <w:rFonts w:ascii="Arial" w:cs="Arial" w:eastAsia="Arial" w:hAnsi="Arial"/>
          <w:b/>
          <w:bCs/>
          <w:color w:val="C55A11"/>
          <w:sz w:val="20"/>
          <w:szCs w:val="20"/>
        </w:rPr>
        <w:t xml:space="preserve">Primary data sources</w:t>
      </w:r>
    </w:p>
    <w:p>
      <w:pPr>
        <w:spacing w:after="80" w:before="40"/>
      </w:pPr>
      <w:r>
        <w:rPr>
          <w:rFonts w:ascii="Arial" w:cs="Arial" w:eastAsia="Arial" w:hAnsi="Arial"/>
          <w:b w:val="false"/>
          <w:bCs w:val="false"/>
          <w:i/>
          <w:iCs/>
          <w:color w:val="333333"/>
          <w:sz w:val="20"/>
          <w:szCs w:val="20"/>
        </w:rPr>
        <w:t xml:space="preserve">Bridgespan 2025; NTEN 2024 Digital Investment Report; Zoe Amar 2024/2025; AI Equity Project 2025; Fast Forward/Chronicle of Philanthropy 2025; Center for Effective Philanthropy.</w:t>
      </w:r>
    </w:p>
    <w:p>
      <w:pPr>
        <w:spacing w:after="60" w:before="120"/>
      </w:pPr>
      <w:r>
        <w:rPr>
          <w:rFonts w:ascii="Arial" w:cs="Arial" w:eastAsia="Arial" w:hAnsi="Arial"/>
          <w:b/>
          <w:bCs/>
          <w:color w:val="C55A11"/>
          <w:sz w:val="20"/>
          <w:szCs w:val="20"/>
        </w:rPr>
        <w:t xml:space="preserve">Dashboard view</w:t>
      </w:r>
    </w:p>
    <w:p>
      <w:pPr>
        <w:spacing w:after="80" w:before="40"/>
      </w:pPr>
      <w:r>
        <w:rPr>
          <w:rFonts w:ascii="Arial" w:cs="Arial" w:eastAsia="Arial" w:hAnsi="Arial"/>
          <w:b w:val="false"/>
          <w:bCs w:val="false"/>
          <w:i w:val="false"/>
          <w:iCs w:val="false"/>
          <w:color w:val="333333"/>
          <w:sz w:val="20"/>
          <w:szCs w:val="20"/>
        </w:rPr>
        <w:t xml:space="preserve">View 3: Capacity gap — skills, budget allocation, training provision, readiness scores</w:t>
      </w:r>
    </w:p>
    <w:p>
      <w:pPr>
        <w:spacing w:after="80" w:before="0"/>
      </w:pPr>
    </w:p>
    <w:p>
      <w:pPr>
        <w:pBdr>
          <w:left w:val="single" w:color="4A235A" w:sz="20" w:space="8"/>
        </w:pBdr>
        <w:shd w:fill="E8DAEF" w:val="clear"/>
        <w:spacing w:after="80" w:before="160"/>
        <w:ind w:left="160"/>
      </w:pPr>
      <w:r>
        <w:rPr>
          <w:rFonts w:ascii="Arial" w:cs="Arial" w:eastAsia="Arial" w:hAnsi="Arial"/>
          <w:b/>
          <w:bCs/>
          <w:color w:val="4A235A"/>
          <w:sz w:val="26"/>
          <w:szCs w:val="26"/>
        </w:rPr>
        <w:t xml:space="preserve">Theme 4: Ethics, Bias &amp; Harm Risk</w:t>
      </w:r>
    </w:p>
    <w:p>
      <w:pPr>
        <w:spacing w:after="80" w:before="40"/>
      </w:pPr>
      <w:r>
        <w:rPr>
          <w:rFonts w:ascii="Arial" w:cs="Arial" w:eastAsia="Arial" w:hAnsi="Arial"/>
          <w:b/>
          <w:bCs/>
          <w:i w:val="false"/>
          <w:iCs w:val="false"/>
          <w:color w:val="4A235A"/>
          <w:sz w:val="20"/>
          <w:szCs w:val="20"/>
        </w:rPr>
        <w:t xml:space="preserve">Research question: </w:t>
      </w:r>
      <w:r>
        <w:rPr>
          <w:rFonts w:ascii="Arial" w:cs="Arial" w:eastAsia="Arial" w:hAnsi="Arial"/>
          <w:b w:val="false"/>
          <w:bCs w:val="false"/>
          <w:i w:val="false"/>
          <w:iCs w:val="false"/>
          <w:color w:val="333333"/>
          <w:sz w:val="20"/>
          <w:szCs w:val="20"/>
        </w:rPr>
        <w:t xml:space="preserve">Where is AI being used in ways that risk harming the communities charities serve?</w:t>
      </w:r>
    </w:p>
    <w:p>
      <w:pPr>
        <w:spacing w:after="60" w:before="120"/>
      </w:pPr>
      <w:r>
        <w:rPr>
          <w:rFonts w:ascii="Arial" w:cs="Arial" w:eastAsia="Arial" w:hAnsi="Arial"/>
          <w:b/>
          <w:bCs/>
          <w:color w:val="4A235A"/>
          <w:sz w:val="20"/>
          <w:szCs w:val="20"/>
        </w:rPr>
        <w:t xml:space="preserve">Key findings from published research</w:t>
      </w:r>
    </w:p>
    <w:p>
      <w:pPr>
        <w:pStyle w:val="ListParagraph"/>
        <w:numPr>
          <w:ilvl w:val="0"/>
          <w:numId w:val="2"/>
        </w:numPr>
        <w:spacing w:after="60" w:before="40"/>
      </w:pPr>
      <w:r>
        <w:rPr>
          <w:rFonts w:ascii="Arial" w:cs="Arial" w:eastAsia="Arial" w:hAnsi="Arial"/>
          <w:b w:val="false"/>
          <w:bCs w:val="false"/>
          <w:color w:val="333333"/>
          <w:sz w:val="20"/>
          <w:szCs w:val="20"/>
        </w:rPr>
        <w:t xml:space="preserve">AI models trained on data from specific regions or cultures misinterpret people outside the 'data default' — a direct risk for charities serving refugee, minority ethnic, or disabled communities.</w:t>
      </w:r>
    </w:p>
    <w:p>
      <w:pPr>
        <w:pStyle w:val="ListParagraph"/>
        <w:numPr>
          <w:ilvl w:val="0"/>
          <w:numId w:val="2"/>
        </w:numPr>
        <w:spacing w:after="60" w:before="40"/>
      </w:pPr>
      <w:r>
        <w:rPr>
          <w:rFonts w:ascii="Arial" w:cs="Arial" w:eastAsia="Arial" w:hAnsi="Arial"/>
          <w:b w:val="false"/>
          <w:bCs w:val="false"/>
          <w:color w:val="333333"/>
          <w:sz w:val="20"/>
          <w:szCs w:val="20"/>
        </w:rPr>
        <w:t xml:space="preserve">Facial recognition, triage systems, and content moderation tools have documented bias against disabled people, people of colour, and women.</w:t>
      </w:r>
    </w:p>
    <w:p>
      <w:pPr>
        <w:pStyle w:val="ListParagraph"/>
        <w:numPr>
          <w:ilvl w:val="0"/>
          <w:numId w:val="2"/>
        </w:numPr>
        <w:spacing w:after="60" w:before="40"/>
      </w:pPr>
      <w:r>
        <w:rPr>
          <w:rFonts w:ascii="Arial" w:cs="Arial" w:eastAsia="Arial" w:hAnsi="Arial"/>
          <w:b w:val="false"/>
          <w:bCs w:val="false"/>
          <w:color w:val="333333"/>
          <w:sz w:val="20"/>
          <w:szCs w:val="20"/>
        </w:rPr>
        <w:t xml:space="preserve">AI chatbots recommended lower salaries to women and minority candidates than equally qualified white men (LLM salary negotiation study, 2025).</w:t>
      </w:r>
    </w:p>
    <w:p>
      <w:pPr>
        <w:pStyle w:val="ListParagraph"/>
        <w:numPr>
          <w:ilvl w:val="0"/>
          <w:numId w:val="2"/>
        </w:numPr>
        <w:spacing w:after="60" w:before="40"/>
      </w:pPr>
      <w:r>
        <w:rPr>
          <w:rFonts w:ascii="Arial" w:cs="Arial" w:eastAsia="Arial" w:hAnsi="Arial"/>
          <w:b w:val="false"/>
          <w:bCs w:val="false"/>
          <w:color w:val="333333"/>
          <w:sz w:val="20"/>
          <w:szCs w:val="20"/>
        </w:rPr>
        <w:t xml:space="preserve">The EU AI Act (adopted 2024) classifies employment, education, and social welfare AI as 'high risk' — requiring conformity assessments that most charities do not know about.</w:t>
      </w:r>
    </w:p>
    <w:p>
      <w:pPr>
        <w:pStyle w:val="ListParagraph"/>
        <w:numPr>
          <w:ilvl w:val="0"/>
          <w:numId w:val="2"/>
        </w:numPr>
        <w:spacing w:after="60" w:before="40"/>
      </w:pPr>
      <w:r>
        <w:rPr>
          <w:rFonts w:ascii="Arial" w:cs="Arial" w:eastAsia="Arial" w:hAnsi="Arial"/>
          <w:b w:val="false"/>
          <w:bCs w:val="false"/>
          <w:color w:val="333333"/>
          <w:sz w:val="20"/>
          <w:szCs w:val="20"/>
        </w:rPr>
        <w:t xml:space="preserve">Charities that use AI for beneficiary-facing services (assessment, triage, content personalisation) face the highest ethical risk and have the least governance infrastructure.</w:t>
      </w:r>
    </w:p>
    <w:p>
      <w:pPr>
        <w:pStyle w:val="ListParagraph"/>
        <w:numPr>
          <w:ilvl w:val="0"/>
          <w:numId w:val="2"/>
        </w:numPr>
        <w:spacing w:after="60" w:before="40"/>
      </w:pPr>
      <w:r>
        <w:rPr>
          <w:rFonts w:ascii="Arial" w:cs="Arial" w:eastAsia="Arial" w:hAnsi="Arial"/>
          <w:b w:val="false"/>
          <w:bCs w:val="false"/>
          <w:color w:val="333333"/>
          <w:sz w:val="20"/>
          <w:szCs w:val="20"/>
        </w:rPr>
        <w:t xml:space="preserve">The sector lacks a shared framework for AI ethics that is practical, sector-specific, and accessible to small organisations.</w:t>
      </w:r>
    </w:p>
    <w:p>
      <w:pPr>
        <w:spacing w:after="60" w:before="120"/>
      </w:pPr>
      <w:r>
        <w:rPr>
          <w:rFonts w:ascii="Arial" w:cs="Arial" w:eastAsia="Arial" w:hAnsi="Arial"/>
          <w:b/>
          <w:bCs/>
          <w:color w:val="4A235A"/>
          <w:sz w:val="20"/>
          <w:szCs w:val="20"/>
        </w:rPr>
        <w:t xml:space="preserve">Primary data sources</w:t>
      </w:r>
    </w:p>
    <w:p>
      <w:pPr>
        <w:spacing w:after="80" w:before="40"/>
      </w:pPr>
      <w:r>
        <w:rPr>
          <w:rFonts w:ascii="Arial" w:cs="Arial" w:eastAsia="Arial" w:hAnsi="Arial"/>
          <w:b w:val="false"/>
          <w:bCs w:val="false"/>
          <w:i/>
          <w:iCs/>
          <w:color w:val="333333"/>
          <w:sz w:val="20"/>
          <w:szCs w:val="20"/>
        </w:rPr>
        <w:t xml:space="preserve">ISACA 2025 bias analysis; EU AI Act 2024; LLM salary study 2025; arxiv NGO review 2025; Charity Digital / Zoe Amar; Joy Buolamwini / Algorithmic Justice League; NIST AI Risk Management Framework.</w:t>
      </w:r>
    </w:p>
    <w:p>
      <w:pPr>
        <w:spacing w:after="60" w:before="120"/>
      </w:pPr>
      <w:r>
        <w:rPr>
          <w:rFonts w:ascii="Arial" w:cs="Arial" w:eastAsia="Arial" w:hAnsi="Arial"/>
          <w:b/>
          <w:bCs/>
          <w:color w:val="4A235A"/>
          <w:sz w:val="20"/>
          <w:szCs w:val="20"/>
        </w:rPr>
        <w:t xml:space="preserve">Dashboard view</w:t>
      </w:r>
    </w:p>
    <w:p>
      <w:pPr>
        <w:spacing w:after="80" w:before="40"/>
      </w:pPr>
      <w:r>
        <w:rPr>
          <w:rFonts w:ascii="Arial" w:cs="Arial" w:eastAsia="Arial" w:hAnsi="Arial"/>
          <w:b w:val="false"/>
          <w:bCs w:val="false"/>
          <w:i w:val="false"/>
          <w:iCs w:val="false"/>
          <w:color w:val="333333"/>
          <w:sz w:val="20"/>
          <w:szCs w:val="20"/>
        </w:rPr>
        <w:t xml:space="preserve">View 4: Qualitative risk map — use case categories vs. beneficiary harm potential vs. governance provision</w:t>
      </w:r>
    </w:p>
    <w:p>
      <w:pPr>
        <w:spacing w:after="80" w:before="0"/>
      </w:pPr>
    </w:p>
    <w:p>
      <w:pPr>
        <w:pBdr>
          <w:left w:val="single" w:color="375623" w:sz="20" w:space="8"/>
        </w:pBdr>
        <w:shd w:fill="E2EFDA" w:val="clear"/>
        <w:spacing w:after="80" w:before="160"/>
        <w:ind w:left="160"/>
      </w:pPr>
      <w:r>
        <w:rPr>
          <w:rFonts w:ascii="Arial" w:cs="Arial" w:eastAsia="Arial" w:hAnsi="Arial"/>
          <w:b/>
          <w:bCs/>
          <w:color w:val="375623"/>
          <w:sz w:val="26"/>
          <w:szCs w:val="26"/>
        </w:rPr>
        <w:t xml:space="preserve">Theme 5: Who Gets Left Behind</w:t>
      </w:r>
    </w:p>
    <w:p>
      <w:pPr>
        <w:spacing w:after="80" w:before="40"/>
      </w:pPr>
      <w:r>
        <w:rPr>
          <w:rFonts w:ascii="Arial" w:cs="Arial" w:eastAsia="Arial" w:hAnsi="Arial"/>
          <w:b/>
          <w:bCs/>
          <w:i w:val="false"/>
          <w:iCs w:val="false"/>
          <w:color w:val="375623"/>
          <w:sz w:val="20"/>
          <w:szCs w:val="20"/>
        </w:rPr>
        <w:t xml:space="preserve">Research question: </w:t>
      </w:r>
      <w:r>
        <w:rPr>
          <w:rFonts w:ascii="Arial" w:cs="Arial" w:eastAsia="Arial" w:hAnsi="Arial"/>
          <w:b w:val="false"/>
          <w:bCs w:val="false"/>
          <w:i w:val="false"/>
          <w:iCs w:val="false"/>
          <w:color w:val="333333"/>
          <w:sz w:val="20"/>
          <w:szCs w:val="20"/>
        </w:rPr>
        <w:t xml:space="preserve">Is AI in the sector widening the gap between large and small organisations — and between supported and unsupported communities?</w:t>
      </w:r>
    </w:p>
    <w:p>
      <w:pPr>
        <w:spacing w:after="60" w:before="120"/>
      </w:pPr>
      <w:r>
        <w:rPr>
          <w:rFonts w:ascii="Arial" w:cs="Arial" w:eastAsia="Arial" w:hAnsi="Arial"/>
          <w:b/>
          <w:bCs/>
          <w:color w:val="375623"/>
          <w:sz w:val="20"/>
          <w:szCs w:val="20"/>
        </w:rPr>
        <w:t xml:space="preserve">Key findings from published research</w:t>
      </w:r>
    </w:p>
    <w:p>
      <w:pPr>
        <w:pStyle w:val="ListParagraph"/>
        <w:numPr>
          <w:ilvl w:val="0"/>
          <w:numId w:val="2"/>
        </w:numPr>
        <w:spacing w:after="60" w:before="40"/>
      </w:pPr>
      <w:r>
        <w:rPr>
          <w:rFonts w:ascii="Arial" w:cs="Arial" w:eastAsia="Arial" w:hAnsi="Arial"/>
          <w:b w:val="false"/>
          <w:bCs w:val="false"/>
          <w:color w:val="333333"/>
          <w:sz w:val="20"/>
          <w:szCs w:val="20"/>
        </w:rPr>
        <w:t xml:space="preserve">The 'readiness divide': roughly one fifth of nonprofits have foundational governance and measurement in place; one fifth are at risk of plateauing; the majority use AI without structure to scale it.</w:t>
      </w:r>
    </w:p>
    <w:p>
      <w:pPr>
        <w:pStyle w:val="ListParagraph"/>
        <w:numPr>
          <w:ilvl w:val="0"/>
          <w:numId w:val="2"/>
        </w:numPr>
        <w:spacing w:after="60" w:before="40"/>
      </w:pPr>
      <w:r>
        <w:rPr>
          <w:rFonts w:ascii="Arial" w:cs="Arial" w:eastAsia="Arial" w:hAnsi="Arial"/>
          <w:b w:val="false"/>
          <w:bCs w:val="false"/>
          <w:color w:val="333333"/>
          <w:sz w:val="20"/>
          <w:szCs w:val="20"/>
        </w:rPr>
        <w:t xml:space="preserve">Small charities with budgets under £500k face the steepest barriers — yet often serve the most marginalised communities.</w:t>
      </w:r>
    </w:p>
    <w:p>
      <w:pPr>
        <w:pStyle w:val="ListParagraph"/>
        <w:numPr>
          <w:ilvl w:val="0"/>
          <w:numId w:val="2"/>
        </w:numPr>
        <w:spacing w:after="60" w:before="40"/>
      </w:pPr>
      <w:r>
        <w:rPr>
          <w:rFonts w:ascii="Arial" w:cs="Arial" w:eastAsia="Arial" w:hAnsi="Arial"/>
          <w:b w:val="false"/>
          <w:bCs w:val="false"/>
          <w:color w:val="333333"/>
          <w:sz w:val="20"/>
          <w:szCs w:val="20"/>
        </w:rPr>
        <w:t xml:space="preserve">Global South NGOs face infrastructure, language, and data representation barriers that high-income country charities do not.</w:t>
      </w:r>
    </w:p>
    <w:p>
      <w:pPr>
        <w:pStyle w:val="ListParagraph"/>
        <w:numPr>
          <w:ilvl w:val="0"/>
          <w:numId w:val="2"/>
        </w:numPr>
        <w:spacing w:after="60" w:before="40"/>
      </w:pPr>
      <w:r>
        <w:rPr>
          <w:rFonts w:ascii="Arial" w:cs="Arial" w:eastAsia="Arial" w:hAnsi="Arial"/>
          <w:b w:val="false"/>
          <w:bCs w:val="false"/>
          <w:color w:val="333333"/>
          <w:sz w:val="20"/>
          <w:szCs w:val="20"/>
        </w:rPr>
        <w:t xml:space="preserve">The AI Literacy gap is itself inequitably distributed: communities most affected by AI decisions are least equipped to challenge or interrogate them.</w:t>
      </w:r>
    </w:p>
    <w:p>
      <w:pPr>
        <w:pStyle w:val="ListParagraph"/>
        <w:numPr>
          <w:ilvl w:val="0"/>
          <w:numId w:val="2"/>
        </w:numPr>
        <w:spacing w:after="60" w:before="40"/>
      </w:pPr>
      <w:r>
        <w:rPr>
          <w:rFonts w:ascii="Arial" w:cs="Arial" w:eastAsia="Arial" w:hAnsi="Arial"/>
          <w:b w:val="false"/>
          <w:bCs w:val="false"/>
          <w:color w:val="333333"/>
          <w:sz w:val="20"/>
          <w:szCs w:val="20"/>
        </w:rPr>
        <w:t xml:space="preserve">Funding for AI in charities disproportionately flows to tech-forward, larger organisations — perpetuating the divide.</w:t>
      </w:r>
    </w:p>
    <w:p>
      <w:pPr>
        <w:pStyle w:val="ListParagraph"/>
        <w:numPr>
          <w:ilvl w:val="0"/>
          <w:numId w:val="2"/>
        </w:numPr>
        <w:spacing w:after="60" w:before="40"/>
      </w:pPr>
      <w:r>
        <w:rPr>
          <w:rFonts w:ascii="Arial" w:cs="Arial" w:eastAsia="Arial" w:hAnsi="Arial"/>
          <w:b w:val="false"/>
          <w:bCs w:val="false"/>
          <w:color w:val="333333"/>
          <w:sz w:val="20"/>
          <w:szCs w:val="20"/>
        </w:rPr>
        <w:t xml:space="preserve">UK regional data from the Charity Commission register can be used as a proxy to explore whether income distribution by region correlates with digital infrastructure gaps.</w:t>
      </w:r>
    </w:p>
    <w:p>
      <w:pPr>
        <w:spacing w:after="60" w:before="120"/>
      </w:pPr>
      <w:r>
        <w:rPr>
          <w:rFonts w:ascii="Arial" w:cs="Arial" w:eastAsia="Arial" w:hAnsi="Arial"/>
          <w:b/>
          <w:bCs/>
          <w:color w:val="375623"/>
          <w:sz w:val="20"/>
          <w:szCs w:val="20"/>
        </w:rPr>
        <w:t xml:space="preserve">Primary data sources</w:t>
      </w:r>
    </w:p>
    <w:p>
      <w:pPr>
        <w:spacing w:after="80" w:before="40"/>
      </w:pPr>
      <w:r>
        <w:rPr>
          <w:rFonts w:ascii="Arial" w:cs="Arial" w:eastAsia="Arial" w:hAnsi="Arial"/>
          <w:b w:val="false"/>
          <w:bCs w:val="false"/>
          <w:i/>
          <w:iCs/>
          <w:color w:val="333333"/>
          <w:sz w:val="20"/>
          <w:szCs w:val="20"/>
        </w:rPr>
        <w:t xml:space="preserve">Virtuous 2026; Fast Forward 2025; Bridgespan 2025; arxiv NGO review 2025; UNESCO AI literacy report 2024; Charity Commission full register; NCVO Road Ahead 2025.</w:t>
      </w:r>
    </w:p>
    <w:p>
      <w:pPr>
        <w:spacing w:after="60" w:before="120"/>
      </w:pPr>
      <w:r>
        <w:rPr>
          <w:rFonts w:ascii="Arial" w:cs="Arial" w:eastAsia="Arial" w:hAnsi="Arial"/>
          <w:b/>
          <w:bCs/>
          <w:color w:val="375623"/>
          <w:sz w:val="20"/>
          <w:szCs w:val="20"/>
        </w:rPr>
        <w:t xml:space="preserve">Dashboard view</w:t>
      </w:r>
    </w:p>
    <w:p>
      <w:pPr>
        <w:spacing w:after="80" w:before="40"/>
      </w:pPr>
      <w:r>
        <w:rPr>
          <w:rFonts w:ascii="Arial" w:cs="Arial" w:eastAsia="Arial" w:hAnsi="Arial"/>
          <w:b w:val="false"/>
          <w:bCs w:val="false"/>
          <w:i w:val="false"/>
          <w:iCs w:val="false"/>
          <w:color w:val="333333"/>
          <w:sz w:val="20"/>
          <w:szCs w:val="20"/>
        </w:rPr>
        <w:t xml:space="preserve">View 5: Equity lens — size vs. readiness; region vs. income; funding flow vs. gap</w:t>
      </w:r>
    </w:p>
    <w:p>
      <w:pPr>
        <w:spacing w:after="120" w:before="0"/>
      </w:pPr>
    </w:p>
    <w:p>
      <w:pPr>
        <w:spacing w:after="120" w:before="320"/>
      </w:pPr>
      <w:r>
        <w:rPr>
          <w:rFonts w:ascii="Arial" w:cs="Arial" w:eastAsia="Arial" w:hAnsi="Arial"/>
          <w:b/>
          <w:bCs/>
          <w:color w:val="1F3864"/>
          <w:sz w:val="28"/>
          <w:szCs w:val="28"/>
        </w:rPr>
        <w:t xml:space="preserve">5. Published Research &amp; Data Sources — Reading List</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The following sources should be read, annotated, and logged in the master research log as part of Session 1–2. Each is free to access unless noted.</w:t>
      </w:r>
    </w:p>
    <w:p>
      <w:pPr>
        <w:spacing w:after="80" w:before="0"/>
      </w:pPr>
    </w:p>
    <w:p>
      <w:pPr>
        <w:spacing w:after="60" w:before="0"/>
      </w:pPr>
    </w:p>
    <w:p>
      <w:pPr>
        <w:spacing w:after="80" w:before="120"/>
      </w:pPr>
      <w:r>
        <w:rPr>
          <w:rFonts w:ascii="Arial" w:cs="Arial" w:eastAsia="Arial" w:hAnsi="Arial"/>
          <w:b/>
          <w:bCs/>
          <w:color w:val="2E75B6"/>
          <w:sz w:val="22"/>
          <w:szCs w:val="22"/>
        </w:rPr>
        <w:t xml:space="preserve">UK Sector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Where to find it</w:t>
            </w:r>
          </w:p>
        </w:tc>
        <w:tc>
          <w:tcPr>
            <w:tcW w:type="dxa" w:w="3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What to read for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Zoe Amar Digital Skills Report 2024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zoeamar.com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PDF download. Core source for UK adoption, literacy, and skill gap data. Read in full.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Zoe Amar Digital Skills Report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zoeamar.com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 alongside 2024 for year-on-year comparisons. Pay attention to the methodology notes.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Zoe Amar / Civil Society 2026 Interim Findings (civilsociety.co.uk)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civilsociety.co.uk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web article. Treat as provisional — full report expected July 2026.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Phoenix / NCVO State of AI in Charities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phoenixs.co.uk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(registration required). Key source for governance, training, and policy data.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NCVO Road Ahead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ncvo.org.uk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Sector context: funding pressures, digital divide, volunteering decline.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Charity Commission Full Register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register-of-charities.charitycommission.gov.uk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daily download (JSON/TSV). 170k+ charities — income, region, cause, expenditure.</w:t>
            </w:r>
          </w:p>
        </w:tc>
      </w:tr>
    </w:tbl>
    <w:p>
      <w:pPr>
        <w:spacing w:after="60" w:before="0"/>
      </w:pPr>
    </w:p>
    <w:p>
      <w:pPr>
        <w:spacing w:after="80" w:before="120"/>
      </w:pPr>
      <w:r>
        <w:rPr>
          <w:rFonts w:ascii="Arial" w:cs="Arial" w:eastAsia="Arial" w:hAnsi="Arial"/>
          <w:b/>
          <w:bCs/>
          <w:color w:val="1F6B75"/>
          <w:sz w:val="22"/>
          <w:szCs w:val="22"/>
        </w:rPr>
        <w:t xml:space="preserve">Global / US Nonprofit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Where to find it</w:t>
            </w:r>
          </w:p>
        </w:tc>
        <w:tc>
          <w:tcPr>
            <w:tcW w:type="dxa" w:w="3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What to read for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Virtuous: 2026 Nonprofit AI Adoption Report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nonprofitpro.com (summary)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summary. 346 nonprofits surveyed. Key source for governance gaps and outcome tracking failure.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Bridgespan: Closing the Nonprofit Funding Gap in the Age of AI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bridgespan.org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Excellent on capacity, training budgets, and the funding catch-22.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Bridgespan: Exploring AI Opportunities for Nonprofits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bridgespan.org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Covers ethics, equity, and the risk of nonprofits being excluded from AI policy conversations.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 Forward / Chronicle of Philanthropy (Oct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philanthropy.com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On small nonprofits, AI funding gaps, chatbots as entry point.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2025 AI Equity Project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Various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Find via search. Key stat: 65% interested, only 9% feel ready to adopt responsibly.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Whole Whale: Top Nonprofit AI Policies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wholewhale.com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Analysis of major nonprofit AI policy approaches. Good for governance benchmarking.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NTEN 2024 Digital Investment Report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nten.org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(registration). Key data on technology budget allocation in nonprofits.</w:t>
            </w:r>
          </w:p>
        </w:tc>
      </w:tr>
    </w:tbl>
    <w:p>
      <w:pPr>
        <w:spacing w:after="60" w:before="0"/>
      </w:pPr>
    </w:p>
    <w:p>
      <w:pPr>
        <w:spacing w:after="80" w:before="120"/>
      </w:pPr>
      <w:r>
        <w:rPr>
          <w:rFonts w:ascii="Arial" w:cs="Arial" w:eastAsia="Arial" w:hAnsi="Arial"/>
          <w:b/>
          <w:bCs/>
          <w:color w:val="4A235A"/>
          <w:sz w:val="22"/>
          <w:szCs w:val="22"/>
        </w:rPr>
        <w:t xml:space="preserve">Academic &amp; Systematic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Where to find it</w:t>
            </w:r>
          </w:p>
        </w:tc>
        <w:tc>
          <w:tcPr>
            <w:tcW w:type="dxa" w:w="3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What to read for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AI Adoption in NGOs: A Systematic Literature Review (arxiv, Oct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arxiv.org/abs/2510.15509</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65 studies reviewed 2020–2025. Covers use case categories, size and geography effects. Read the abstract, findings, and discussion sections.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DataCamp: State of Data &amp; AI Literacy Report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datacamp.com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(registration). Cross-sector data literacy benchmarks. Useful for context.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NIST AI Risk Management Framework 1.0 + 2024 Generative AI Profile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nist.gov</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The key governance framework for AI risk. Skim the executive summary.</w:t>
            </w:r>
          </w:p>
        </w:tc>
      </w:tr>
    </w:tbl>
    <w:p>
      <w:pPr>
        <w:spacing w:after="60" w:before="0"/>
      </w:pPr>
    </w:p>
    <w:p>
      <w:pPr>
        <w:spacing w:after="80" w:before="120"/>
      </w:pPr>
      <w:r>
        <w:rPr>
          <w:rFonts w:ascii="Arial" w:cs="Arial" w:eastAsia="Arial" w:hAnsi="Arial"/>
          <w:b/>
          <w:bCs/>
          <w:color w:val="8B0000"/>
          <w:sz w:val="22"/>
          <w:szCs w:val="22"/>
        </w:rPr>
        <w:t xml:space="preserve">Ethics, Bias &amp;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Where to find it</w:t>
            </w:r>
          </w:p>
        </w:tc>
        <w:tc>
          <w:tcPr>
            <w:tcW w:type="dxa" w:w="3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What to read for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EU AI Act (2024) — Charity/NGO implications summary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Various charity law blogs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Act classifies employment, welfare, education AI as 'high risk.' Find a plain English summary for charities.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ISACA: Why Stopping at Gender and Race Makes AI Bias Worse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isaca.org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Good practical overview of multidimensional bias including cultural and disability bias.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Algorithmic Justice League resources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ajl.org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Joy Buolamwini's work on bias in AI systems. Directly relevant to beneficiary-facing charity AI.</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Charity Digital: AI Literacy and Digital Inclusion (2024)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charitydigital.org.uk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UK-specific coverage of bias in data collection and AI for charities.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salary negotiation bias study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Various — search 'LLM chatbot salary bias women 2025'</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Peer-reviewed. Shows AI recommending lower salaries to women/minorities. Relevant for charities using AI in HR or service assessment.</w:t>
            </w:r>
          </w:p>
        </w:tc>
      </w:tr>
    </w:tbl>
    <w:p>
      <w:pPr>
        <w:spacing w:after="120" w:before="0"/>
      </w:pPr>
    </w:p>
    <w:p>
      <w:pPr>
        <w:spacing w:after="120" w:before="320"/>
      </w:pPr>
      <w:r>
        <w:rPr>
          <w:rFonts w:ascii="Arial" w:cs="Arial" w:eastAsia="Arial" w:hAnsi="Arial"/>
          <w:b/>
          <w:bCs/>
          <w:color w:val="1F3864"/>
          <w:sz w:val="28"/>
          <w:szCs w:val="28"/>
        </w:rPr>
        <w:t xml:space="preserve">6. Tool Decision — Power BI vs Tableau Public</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You correctly identified that Tableau Public has limitations. Here is the honest comparison: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33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Tableau Public</w:t>
            </w:r>
          </w:p>
        </w:tc>
        <w:tc>
          <w:tcPr>
            <w:tcW w:type="dxa" w:w="33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Power BI (Work Licence)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Cost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(existing licence — personal use for learning)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Save locally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 must publish publicly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Publish publicly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free public URL</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Power BI Public (app.powerbi.com)</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sources</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 CSV, Google Sheets only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 CSV, web connectors, and more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Portfolio visibility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Tableau Public profile — widely recognised</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 BI Public link — equally shareable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Your familiarity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 — new tool to learn</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 — already proficient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Recommendation</w:t>
            </w:r>
          </w:p>
        </w:tc>
        <w:tc>
          <w:tcPr>
            <w:tcW w:type="dxa" w:w="33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C55A11"/>
                <w:sz w:val="17"/>
                <w:szCs w:val="17"/>
              </w:rPr>
              <w:t xml:space="preserve">⚠️ New tool overhead</w:t>
            </w:r>
          </w:p>
        </w:tc>
        <w:tc>
          <w:tcPr>
            <w:tcW w:type="dxa" w:w="33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17"/>
                <w:szCs w:val="17"/>
              </w:rPr>
              <w:t xml:space="preserve">✅ Use this</w:t>
            </w:r>
          </w:p>
        </w:tc>
      </w:tr>
    </w:tbl>
    <w:p>
      <w:pPr>
        <w:spacing w:after="80" w:before="0"/>
      </w:pPr>
    </w:p>
    <w:p>
      <w:pPr>
        <w:pBdr>
          <w:left w:val="single" w:color="375623" w:sz="20" w:space="8"/>
        </w:pBdr>
        <w:shd w:fill="E2EFDA" w:val="clear"/>
        <w:spacing w:after="120" w:before="100"/>
        <w:ind w:left="160" w:right="120"/>
      </w:pPr>
      <w:r>
        <w:rPr>
          <w:rFonts w:ascii="Arial" w:cs="Arial" w:eastAsia="Arial" w:hAnsi="Arial"/>
          <w:i/>
          <w:iCs/>
          <w:color w:val="1F3864"/>
          <w:sz w:val="20"/>
          <w:szCs w:val="20"/>
        </w:rPr>
        <w:t xml:space="preserve">Decision: Use Power BI with your existing work licence for personal/learning purposes. Publish to Power BI Public (app.powerbi.com) for a free, shareable URL. This saves significant learning time and produces equally strong portfolio evidence. Confirm with your employer's acceptable use policy that personal learning projects are permitted — this is standard practice but worth checking.</w:t>
      </w:r>
    </w:p>
    <w:p>
      <w:pPr>
        <w:spacing w:after="120" w:before="0"/>
      </w:pPr>
    </w:p>
    <w:p>
      <w:pPr>
        <w:spacing w:after="120" w:before="320"/>
      </w:pPr>
      <w:r>
        <w:rPr>
          <w:rFonts w:ascii="Arial" w:cs="Arial" w:eastAsia="Arial" w:hAnsi="Arial"/>
          <w:b/>
          <w:bCs/>
          <w:color w:val="1F3864"/>
          <w:sz w:val="28"/>
          <w:szCs w:val="28"/>
        </w:rPr>
        <w:t xml:space="preserve">7. Full Project Output Suite</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This project produces five distinct outputs. Each has a separate audience, purpose, and format.</w:t>
      </w:r>
    </w:p>
    <w:p>
      <w:pPr>
        <w:spacing w:after="80" w:before="0"/>
      </w:pPr>
    </w:p>
    <w:p>
      <w:pPr>
        <w:spacing w:after="80" w:before="0"/>
      </w:pPr>
    </w:p>
    <w:p>
      <w:pPr>
        <w:pBdr>
          <w:left w:val="single" w:color="2E75B6" w:sz="20" w:space="8"/>
        </w:pBdr>
        <w:shd w:fill="D6E4F0" w:val="clear"/>
        <w:spacing w:after="60" w:before="120"/>
        <w:ind w:left="160"/>
      </w:pPr>
      <w:r>
        <w:rPr>
          <w:rFonts w:ascii="Arial" w:cs="Arial" w:eastAsia="Arial" w:hAnsi="Arial"/>
          <w:b/>
          <w:bCs/>
          <w:color w:val="2E75B6"/>
          <w:sz w:val="22"/>
          <w:szCs w:val="22"/>
        </w:rPr>
        <w:t xml:space="preserve">Output 1: Power BI Dashboard — 5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7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Audience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Hiring managers, freelance clients, sector professionals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Format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Interactive dashboard, publicly accessible via Power BI Public URL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Purpose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Primary analytical artefact. Demonstrates data skills, sector knowledge, and critical thinking in a single URL that can be shared before an interview or included on a CV.</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Five views corresponding to the five analytical themes. Each view asks a question and answers it with data, charts, and callout insights.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Target date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Sessions 3–5 (Fridays 25 Apr – 9 May)</w:t>
            </w:r>
          </w:p>
        </w:tc>
      </w:tr>
    </w:tbl>
    <w:p>
      <w:pPr>
        <w:spacing w:after="80" w:before="0"/>
      </w:pPr>
    </w:p>
    <w:p>
      <w:pPr>
        <w:pBdr>
          <w:left w:val="single" w:color="1F6B75" w:sz="20" w:space="8"/>
        </w:pBdr>
        <w:shd w:fill="D6EEF0" w:val="clear"/>
        <w:spacing w:after="60" w:before="120"/>
        <w:ind w:left="160"/>
      </w:pPr>
      <w:r>
        <w:rPr>
          <w:rFonts w:ascii="Arial" w:cs="Arial" w:eastAsia="Arial" w:hAnsi="Arial"/>
          <w:b/>
          <w:bCs/>
          <w:color w:val="1F6B75"/>
          <w:sz w:val="22"/>
          <w:szCs w:val="22"/>
        </w:rPr>
        <w:t xml:space="preserve">Output 2: Written Analysis — 'Ready or Left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7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Audience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Charity leaders, funders, sector journalists, policymakers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Format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800–1,200 word document, published on GitHub and linked from LinkedIn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Purpose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Makes the analytical argument in prose. Goes deeper than the dashboard on the ethics and equity dimensions. Shows writing, synthesis, and communication skills.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Introduction framing the problem; section for each of the five themes; conclusion with recommendations for charities, funders, and policymakers; references section.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Target date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Session 5 (Friday 9 May)</w:t>
            </w:r>
          </w:p>
        </w:tc>
      </w:tr>
    </w:tbl>
    <w:p>
      <w:pPr>
        <w:spacing w:after="80" w:before="0"/>
      </w:pPr>
    </w:p>
    <w:p>
      <w:pPr>
        <w:pBdr>
          <w:left w:val="single" w:color="C55A11" w:sz="20" w:space="8"/>
        </w:pBdr>
        <w:shd w:fill="FCE4D6" w:val="clear"/>
        <w:spacing w:after="60" w:before="120"/>
        <w:ind w:left="160"/>
      </w:pPr>
      <w:r>
        <w:rPr>
          <w:rFonts w:ascii="Arial" w:cs="Arial" w:eastAsia="Arial" w:hAnsi="Arial"/>
          <w:b/>
          <w:bCs/>
          <w:color w:val="C55A11"/>
          <w:sz w:val="22"/>
          <w:szCs w:val="22"/>
        </w:rPr>
        <w:t xml:space="preserve">Output 3: LinkedIn Article — 500–600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7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Audience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BA/data/charity sector professional network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Format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LinkedIn native article (not a post — longer format, indexed by search)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Purpose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Establishes professional voice. Drives traffic to the dashboard and written analysis. Signals expertise to hiring managers and potential freelance clients.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Hook stat; brief framing of the problem; 3 key findings; 1 clear recommendation; link to dashboard and full analysis. Written in first person, accessible tone.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Target date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Session 6 (Friday 22 May)</w:t>
            </w:r>
          </w:p>
        </w:tc>
      </w:tr>
    </w:tbl>
    <w:p>
      <w:pPr>
        <w:spacing w:after="80" w:before="0"/>
      </w:pPr>
    </w:p>
    <w:p>
      <w:pPr>
        <w:pBdr>
          <w:left w:val="single" w:color="4A235A" w:sz="20" w:space="8"/>
        </w:pBdr>
        <w:shd w:fill="E8DAEF" w:val="clear"/>
        <w:spacing w:after="60" w:before="120"/>
        <w:ind w:left="160"/>
      </w:pPr>
      <w:r>
        <w:rPr>
          <w:rFonts w:ascii="Arial" w:cs="Arial" w:eastAsia="Arial" w:hAnsi="Arial"/>
          <w:b/>
          <w:bCs/>
          <w:color w:val="4A235A"/>
          <w:sz w:val="22"/>
          <w:szCs w:val="22"/>
        </w:rPr>
        <w:t xml:space="preserve">Output 4: GitHub Portfolio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7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Audience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Technical employers, freelance clients, peer data professionals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Format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Public GitHub repository with structured README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Purpose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Documents the full project lifecycle, including this BRD and project plan. Shows that you practice BA methodology, not just analysis. Increasingly expected for data-adjacent BA roles.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README.md (project overview, links to all outputs); /docs folder (BRD, project plan, research log); /data folder (cleaned Excel files, source list); /analysis folder (written analysis); link to Power BI Public dashboard.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Target date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Set up Session 1; finalise Session 6</w:t>
            </w:r>
          </w:p>
        </w:tc>
      </w:tr>
    </w:tbl>
    <w:p>
      <w:pPr>
        <w:spacing w:after="80" w:before="0"/>
      </w:pPr>
    </w:p>
    <w:p>
      <w:pPr>
        <w:pBdr>
          <w:left w:val="single" w:color="375623" w:sz="20" w:space="8"/>
        </w:pBdr>
        <w:shd w:fill="E2EFDA" w:val="clear"/>
        <w:spacing w:after="60" w:before="120"/>
        <w:ind w:left="160"/>
      </w:pPr>
      <w:r>
        <w:rPr>
          <w:rFonts w:ascii="Arial" w:cs="Arial" w:eastAsia="Arial" w:hAnsi="Arial"/>
          <w:b/>
          <w:bCs/>
          <w:color w:val="375623"/>
          <w:sz w:val="22"/>
          <w:szCs w:val="22"/>
        </w:rPr>
        <w:t xml:space="preserve">Output 5: Master Research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7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Audience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Internal (your own reference during the project)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Format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 spreadsheet — one row per data point used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Purpose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Academic rigour and auditability. Every statistic in the dashboard and written analysis must trace back to a logged source. Also demonstrates data governance practice.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Columns: Stat | Source | Year | URL | Methodology notes | Used in (which view) | Confidence (high/medium/low).</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Target date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Session 1 — build and maintain throughout</w:t>
            </w:r>
          </w:p>
        </w:tc>
      </w:tr>
    </w:tbl>
    <w:p>
      <w:pPr>
        <w:spacing w:after="120" w:before="0"/>
      </w:pPr>
    </w:p>
    <w:p>
      <w:pPr>
        <w:spacing w:after="120" w:before="320"/>
      </w:pPr>
      <w:r>
        <w:rPr>
          <w:rFonts w:ascii="Arial" w:cs="Arial" w:eastAsia="Arial" w:hAnsi="Arial"/>
          <w:b/>
          <w:bCs/>
          <w:color w:val="1F3864"/>
          <w:sz w:val="28"/>
          <w:szCs w:val="28"/>
        </w:rPr>
        <w:t xml:space="preserve">8. Business Requirements</w:t>
      </w:r>
    </w:p>
    <w:p>
      <w:pPr>
        <w:pBdr>
          <w:bottom w:val="single" w:color="2E75B6" w:sz="12"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67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BR-01</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project must produce a publicly accessible Power BI dashboard with five analytical views covering adoption, governance, capacity, ethics, and equity.</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BR-02</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data used must be from open-access published sources. No proprietary employer data may be used.</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BR-03</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dashboard must go beyond description — every view must pose and answer an analytical question.</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BR-04</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 written analysis (800–1,200 words) must accompany the dashboard on GitHub.</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BR-05</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 LinkedIn article (500–600 words) must be published and linked to the dashboard and written analysis.</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BR-06</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 GitHub repository must document the full project lifecycle including BRD, project plan, and data sources.</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BR-07</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 master research log must trace every statistic to a named, dated, accessible source.</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BR-08</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data gap — what cannot be answered with current evidence — must be explicitly named in both the dashboard and the written analysis.</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BR-09</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project must be completed within 8 Friday working sessions by 29 May 2026.</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BR-10</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cost must be £0. Power BI work licence used for personal learning only, within employer acceptable use policy.</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Must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BR-11</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dashboard should be readable and functional on mobile.</w:t>
            </w:r>
          </w:p>
        </w:tc>
        <w:tc>
          <w:tcPr>
            <w:tcW w:type="dxa" w:w="1600"/>
            <w:tcBorders>
              <w:top w:val="single" w:color="CCCCCC" w:sz="4"/>
              <w:left w:val="single" w:color="CCCCCC" w:sz="4"/>
              <w:bottom w:val="single" w:color="CCCCCC" w:sz="4"/>
              <w:right w:val="single" w:color="CCCCCC" w:sz="4"/>
            </w:tcBorders>
            <w:shd w:fill="D6EEF0" w:val="clear"/>
            <w:tcMar>
              <w:top w:type="dxa" w:w="80"/>
              <w:left w:type="dxa" w:w="120"/>
              <w:bottom w:type="dxa" w:w="80"/>
              <w:right w:type="dxa" w:w="120"/>
            </w:tcMar>
          </w:tcPr>
          <w:p>
            <w:pPr>
              <w:jc w:val="center"/>
            </w:pPr>
            <w:r>
              <w:rPr>
                <w:rFonts w:ascii="Arial" w:cs="Arial" w:eastAsia="Arial" w:hAnsi="Arial"/>
                <w:b/>
                <w:bCs/>
                <w:color w:val="1F6B75"/>
                <w:sz w:val="17"/>
                <w:szCs w:val="17"/>
              </w:rPr>
              <w:t xml:space="preserve">Should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BR-12</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written analysis could be submitted to a charity sector publication (e.g. Charity &amp; Nonprofit Sector, Charity Digital) after publication.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595959"/>
                <w:sz w:val="17"/>
                <w:szCs w:val="17"/>
              </w:rPr>
              <w:t xml:space="preserve">Could Have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BR-13</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project could include a follow-up LinkedIn post when the full Zoe Amar 2026 report publishes in July, updating the dashboard.</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595959"/>
                <w:sz w:val="17"/>
                <w:szCs w:val="17"/>
              </w:rPr>
              <w:t xml:space="preserve">Could Have</w:t>
            </w:r>
          </w:p>
        </w:tc>
      </w:tr>
    </w:tbl>
    <w:p>
      <w:pPr>
        <w:spacing w:after="120" w:before="0"/>
      </w:pPr>
    </w:p>
    <w:p>
      <w:pPr>
        <w:spacing w:after="120" w:before="320"/>
      </w:pPr>
      <w:r>
        <w:rPr>
          <w:rFonts w:ascii="Arial" w:cs="Arial" w:eastAsia="Arial" w:hAnsi="Arial"/>
          <w:b/>
          <w:bCs/>
          <w:color w:val="1F3864"/>
          <w:sz w:val="28"/>
          <w:szCs w:val="28"/>
        </w:rPr>
        <w:t xml:space="preserve">9. Functional Requirements</w:t>
      </w:r>
    </w:p>
    <w:p>
      <w:pPr>
        <w:pBdr>
          <w:bottom w:val="single" w:color="2E75B6" w:sz="12" w:space="1"/>
        </w:pBdr>
        <w:spacing w:after="60" w:before="60"/>
      </w:pPr>
    </w:p>
    <w:p>
      <w:pPr>
        <w:spacing w:after="80" w:before="200"/>
      </w:pPr>
      <w:r>
        <w:rPr>
          <w:rFonts w:ascii="Arial" w:cs="Arial" w:eastAsia="Arial" w:hAnsi="Arial"/>
          <w:b/>
          <w:bCs/>
          <w:color w:val="2E75B6"/>
          <w:sz w:val="22"/>
          <w:szCs w:val="22"/>
        </w:rPr>
        <w:t xml:space="preserve">9.1 Research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8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 master research log must be created in Session 1 with columns: Stat | Source | Year | URL | Methodology notes | View | Confidence level.</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FR-02</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five primary source categories must be read and logged before dashboard build begins (by end of Session 2).</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data gap analysis must identify at least five specific questions the current evidence cannot answer, with reasoning.</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FR-04</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from all sources must be cleaned and structured into five separate Excel tabs before Power BI import.</w:t>
            </w:r>
          </w:p>
        </w:tc>
      </w:tr>
    </w:tbl>
    <w:p>
      <w:pPr>
        <w:spacing w:after="60" w:before="0"/>
      </w:pPr>
    </w:p>
    <w:p>
      <w:pPr>
        <w:spacing w:after="80" w:before="200"/>
      </w:pPr>
      <w:r>
        <w:rPr>
          <w:rFonts w:ascii="Arial" w:cs="Arial" w:eastAsia="Arial" w:hAnsi="Arial"/>
          <w:b/>
          <w:bCs/>
          <w:color w:val="2E75B6"/>
          <w:sz w:val="22"/>
          <w:szCs w:val="22"/>
        </w:rPr>
        <w:t xml:space="preserve">9.2 Dashboard — All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8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Each view must have a title phrased as a question (e.g. 'Is the sector ready to govern what it uses?').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FR-06</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Each view must include at least one callout card highlighting the single most important finding.</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charts must include axis labels, data labels, and a source annotation.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FR-08</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 'Data Gaps &amp; Limitations' text card must appear on at least one view, acknowledging what the evidence cannot show.</w:t>
            </w:r>
          </w:p>
        </w:tc>
      </w:tr>
    </w:tbl>
    <w:p>
      <w:pPr>
        <w:spacing w:after="60" w:before="0"/>
      </w:pPr>
    </w:p>
    <w:p>
      <w:pPr>
        <w:spacing w:after="80" w:before="200"/>
      </w:pPr>
      <w:r>
        <w:rPr>
          <w:rFonts w:ascii="Arial" w:cs="Arial" w:eastAsia="Arial" w:hAnsi="Arial"/>
          <w:b/>
          <w:bCs/>
          <w:color w:val="2E75B6"/>
          <w:sz w:val="22"/>
          <w:szCs w:val="22"/>
        </w:rPr>
        <w:t xml:space="preserve">9.3 Dashboard — View-Specific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8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FR-09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View 1 must display year-on-year adoption data (2024/2025/2026) and size segmentation (large/small/micro).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FR-10</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View 2 must display a governance gap matrix comparing adoption %, policy %, strategy %, and measurement rates.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View 3 must display capacity data including budget allocation breakdown, skill self-assessment, and training provision.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FR-12</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View 4 must display a qualitative risk map plotting AI use case types against beneficiary harm potential and governance provision.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View 5 must use Charity Commission register data to display income/size distribution by UK region as an equity proxy.</w:t>
            </w:r>
          </w:p>
        </w:tc>
      </w:tr>
    </w:tbl>
    <w:p>
      <w:pPr>
        <w:spacing w:after="60" w:before="0"/>
      </w:pPr>
    </w:p>
    <w:p>
      <w:pPr>
        <w:spacing w:after="80" w:before="200"/>
      </w:pPr>
      <w:r>
        <w:rPr>
          <w:rFonts w:ascii="Arial" w:cs="Arial" w:eastAsia="Arial" w:hAnsi="Arial"/>
          <w:b/>
          <w:bCs/>
          <w:color w:val="2E75B6"/>
          <w:sz w:val="22"/>
          <w:szCs w:val="22"/>
        </w:rPr>
        <w:t xml:space="preserve">9.4 Written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8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FR-14</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written analysis must be 800–1,200 words and structured with an introduction, five thematic sections, and a conclusion with recommendations.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conclusion must include at least three specific, actionable recommendations — for charities, for funders, and for policymakers.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FR-16</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statistics cited must appear in the master research log.</w:t>
            </w:r>
          </w:p>
        </w:tc>
      </w:tr>
    </w:tbl>
    <w:p>
      <w:pPr>
        <w:spacing w:after="60" w:before="0"/>
      </w:pPr>
    </w:p>
    <w:p>
      <w:pPr>
        <w:spacing w:after="80" w:before="200"/>
      </w:pPr>
      <w:r>
        <w:rPr>
          <w:rFonts w:ascii="Arial" w:cs="Arial" w:eastAsia="Arial" w:hAnsi="Arial"/>
          <w:b/>
          <w:bCs/>
          <w:color w:val="2E75B6"/>
          <w:sz w:val="22"/>
          <w:szCs w:val="22"/>
        </w:rPr>
        <w:t xml:space="preserve">9.5 LinkedIn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8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LinkedIn article must be a native LinkedIn article (not a post) to maximise discoverability.</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FR-18</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It must include a direct link to the Power BI Public dashboard and the GitHub repository.</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FR-19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It must be written in first person and in a professional but accessible tone — no jargon.</w:t>
            </w:r>
          </w:p>
        </w:tc>
      </w:tr>
    </w:tbl>
    <w:p>
      <w:pPr>
        <w:spacing w:after="60" w:before="0"/>
      </w:pPr>
    </w:p>
    <w:p>
      <w:pPr>
        <w:spacing w:after="80" w:before="200"/>
      </w:pPr>
      <w:r>
        <w:rPr>
          <w:rFonts w:ascii="Arial" w:cs="Arial" w:eastAsia="Arial" w:hAnsi="Arial"/>
          <w:b/>
          <w:bCs/>
          <w:color w:val="2E75B6"/>
          <w:sz w:val="22"/>
          <w:szCs w:val="22"/>
        </w:rPr>
        <w:t xml:space="preserve">9.6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8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FR-20</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repository must have a clear README.md with project overview, links to all outputs, and a 'What I learned' section.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FR-21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/docs folder must contain the BRD and project plan (these documents, as PDFs or markdown).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FR-22</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/data folder must contain the cleaned Excel data files and the master research log.</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FR-23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repository must be public from day one — do not wait until the project is complete.</w:t>
            </w:r>
          </w:p>
        </w:tc>
      </w:tr>
    </w:tbl>
    <w:p>
      <w:pPr>
        <w:spacing w:after="60" w:before="0"/>
      </w:pPr>
    </w:p>
    <w:p>
      <w:pPr>
        <w:spacing w:after="120" w:before="0"/>
      </w:pPr>
    </w:p>
    <w:p>
      <w:pPr>
        <w:spacing w:after="120" w:before="320"/>
      </w:pPr>
      <w:r>
        <w:rPr>
          <w:rFonts w:ascii="Arial" w:cs="Arial" w:eastAsia="Arial" w:hAnsi="Arial"/>
          <w:b/>
          <w:bCs/>
          <w:color w:val="1F3864"/>
          <w:sz w:val="28"/>
          <w:szCs w:val="28"/>
        </w:rPr>
        <w:t xml:space="preserve">10. Acceptance Criteria</w:t>
      </w:r>
    </w:p>
    <w:p>
      <w:pPr>
        <w:pBdr>
          <w:bottom w:val="single" w:color="2E75B6" w:sz="12"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8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Acceptance Criterion</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 BI dashboard is live at a public URL with all five views displaying correctly</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AC-02</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Every statistic in the dashboard is traceable to a logged source in the research log</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data gap is explicitly named in the dashboard</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AC-04</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Written analysis (800–1,200 words) is published in the GitHub repository</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LinkedIn article is published and links to dashboard and GitHub</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AC-06</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GitHub repository is public and contains: README, BRD, project plan, data files, research log, written analysis</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Dashboard URL and GitHub link are added to LinkedIn Featured section and CV</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AC-08</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employer data used anywhere</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AC-09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cost £0</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AC-10</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Project complete by Friday 29 May 2026</w:t>
            </w:r>
          </w:p>
        </w:tc>
      </w:tr>
    </w:tbl>
    <w:p>
      <w:pPr>
        <w:spacing w:after="120" w:before="0"/>
      </w:pPr>
    </w:p>
    <w:p>
      <w:pPr>
        <w:spacing w:after="120" w:before="320"/>
      </w:pPr>
      <w:r>
        <w:rPr>
          <w:rFonts w:ascii="Arial" w:cs="Arial" w:eastAsia="Arial" w:hAnsi="Arial"/>
          <w:b/>
          <w:bCs/>
          <w:color w:val="1F3864"/>
          <w:sz w:val="28"/>
          <w:szCs w:val="28"/>
        </w:rPr>
        <w:t xml:space="preserve">11. Version History</w:t>
      </w:r>
    </w:p>
    <w:p>
      <w:pPr>
        <w:pBdr>
          <w:bottom w:val="single" w:color="2E75B6" w:sz="12"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57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Changes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April 2026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Initial draft — UK-only scope, single dashboard output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April 2026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Major revision: global scope added, 5 themes, 5 outputs, GitHub + LinkedIn + written analysis added, Power BI confirmed as tool, data gap surfaced as explicit finding</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540" w:hanging="300"/>
      </w:pPr>
    </w:lvl>
    <w:lvl w:ilvl="1" w15:tentative="1">
      <w:start w:val="1"/>
      <w:numFmt w:val="bullet"/>
      <w:lvlText w:val="–"/>
      <w:lvlJc w:val="left"/>
      <w:pPr>
        <w:spacing w:after="40" w:before="40"/>
        <w:ind w:left="900" w:hanging="300"/>
      </w:pPr>
    </w:lvl>
  </w:abstractNum>
  <w:abstractNum w:abstractNumId="3" w15:restartNumberingAfterBreak="0">
    <w:multiLevelType w:val="hybridMultilevel"/>
    <w:lvl w:ilvl="0" w15:tentative="1">
      <w:start w:val="1"/>
      <w:numFmt w:val="decimal"/>
      <w:lvlText w:val="%1."/>
      <w:lvlJc w:val="left"/>
      <w:pPr>
        <w:spacing w:after="60" w:before="40"/>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2026-04-08T12:33:26.325Z</dcterms:created>
  <dcterms:modified xsi:type="dcterms:W3CDTF">2026-04-08T12:33:26.326Z</dcterms:modified>
</cp:coreProperties>
</file>

<file path=docProps/custom.xml><?xml version="1.0" encoding="utf-8"?>
<Properties xmlns="http://schemas.openxmlformats.org/officeDocument/2006/custom-properties" xmlns:vt="http://schemas.openxmlformats.org/officeDocument/2006/docPropsVTypes"/>
</file>