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4181F"/>
          <w:sz w:val="44"/>
        </w:rPr>
        <w:t>APE/DOGE Spread Trade</w:t>
      </w:r>
    </w:p>
    <w:p>
      <w:r>
        <w:rPr>
          <w:i w:val="0"/>
          <w:color w:val="5B6472"/>
          <w:sz w:val="17"/>
        </w:rPr>
        <w:t>Run 2026-09-10  ·  OKX 30m perpetual futures, last bar 2026-09-10 20:00 UTC</w:t>
      </w:r>
    </w:p>
    <w:p>
      <w:r>
        <w:rPr>
          <w:i w:val="0"/>
          <w:color w:val="5B6472"/>
          <w:sz w:val="17"/>
        </w:rPr>
        <w:t>Universe 22,366 USDT-perp pairs  ·  30-day Engle–Granger scan → OU entry model</w:t>
      </w:r>
    </w:p>
    <w:p>
      <w:pPr>
        <w:spacing w:before="200"/>
      </w:pPr>
      <w:r>
        <w:rPr>
          <w:b/>
          <w:color w:val="2F5FD0"/>
          <w:sz w:val="24"/>
        </w:rPr>
        <w:t>Long APE / Short DOGE</w:t>
      </w:r>
    </w:p>
    <w:p>
      <w:r>
        <w:rPr>
          <w:color w:val="5B6472"/>
          <w:sz w:val="18"/>
        </w:rPr>
        <w:t>β 0.363   ·   entry z −1.47σ   ·   target +1.85% gross (APE leg, pre-cost)   ·   time cap 24h</w:t>
      </w:r>
    </w:p>
    <w:p>
      <w:pPr>
        <w:pStyle w:val="Heading2"/>
      </w:pPr>
      <w:r>
        <w:t>Summary</w:t>
      </w:r>
    </w:p>
    <w:p>
      <w:r>
        <w:t>APE/DOGE screens as a cointegrated pair over a trailing 30-day window. After a sharp down-move the spread now sits 1.5 stationary σ below its long-run mean. The OU fit gives a 9-hour half-life and a 0.66 model probability of reverting to the mean within the horizon; all five entry gates pass.</w:t>
      </w:r>
    </w:p>
    <w:p>
      <w:r>
        <w:t>The trade is long the spread — long APE, short DOGE at a 0.363 hedge ratio — targeting an 80% retrace to the mean, about +1.85% gross on the APE leg before costs, worked against a 24-hour time cap. Levels, construction, and risks below.</w:t>
      </w:r>
    </w:p>
    <w:p>
      <w:pPr>
        <w:pStyle w:val="Heading2"/>
      </w:pPr>
      <w:r>
        <w:t>Method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024"/>
          </w:tcPr>
          <w:p>
            <w:r>
              <w:rPr>
                <w:color w:val="5B6472"/>
                <w:sz w:val="19"/>
              </w:rPr>
              <w:t>Stage 1</w:t>
            </w:r>
          </w:p>
        </w:tc>
        <w:tc>
          <w:tcPr>
            <w:tcW w:type="dxa" w:w="6048"/>
          </w:tcPr>
          <w:p>
            <w:r>
              <w:rPr>
                <w:sz w:val="19"/>
              </w:rPr>
              <w:t>Engle–Granger p-value scan, all 22,366 valid pairs, trailing 30 days (1,441 × 30m bars)</w:t>
            </w:r>
          </w:p>
        </w:tc>
      </w:tr>
      <w:tr>
        <w:tc>
          <w:tcPr>
            <w:tcW w:type="dxa" w:w="3024"/>
          </w:tcPr>
          <w:p>
            <w:r>
              <w:rPr>
                <w:color w:val="5B6472"/>
                <w:sz w:val="19"/>
              </w:rPr>
              <w:t>Stage 2</w:t>
            </w:r>
          </w:p>
        </w:tc>
        <w:tc>
          <w:tcPr>
            <w:tcW w:type="dxa" w:w="6048"/>
          </w:tcPr>
          <w:p>
            <w:r>
              <w:rPr>
                <w:sz w:val="19"/>
              </w:rPr>
              <w:t>Full diagnostics on 3,000 candidates — half-life, Hurst, rolling coint_stability, β stability</w:t>
            </w:r>
          </w:p>
        </w:tc>
      </w:tr>
      <w:tr>
        <w:tc>
          <w:tcPr>
            <w:tcW w:type="dxa" w:w="3024"/>
          </w:tcPr>
          <w:p>
            <w:r>
              <w:rPr>
                <w:color w:val="5B6472"/>
                <w:sz w:val="19"/>
              </w:rPr>
              <w:t>Tradeable filter</w:t>
            </w:r>
          </w:p>
        </w:tc>
        <w:tc>
          <w:tcPr>
            <w:tcW w:type="dxa" w:w="6048"/>
          </w:tcPr>
          <w:p>
            <w:r>
              <w:rPr>
                <w:sz w:val="19"/>
              </w:rPr>
              <w:t>half-life 1–120h · Hurst &lt; 0.5 · coint_stability ≥ 0.5 · β_cv &lt; 0.6 · both legs ≥ $450k ADV · last two weekly windows cointegrated</w:t>
            </w:r>
          </w:p>
        </w:tc>
      </w:tr>
      <w:tr>
        <w:tc>
          <w:tcPr>
            <w:tcW w:type="dxa" w:w="3024"/>
          </w:tcPr>
          <w:p>
            <w:r>
              <w:rPr>
                <w:color w:val="5B6472"/>
                <w:sz w:val="19"/>
              </w:rPr>
              <w:t>Entry model</w:t>
            </w:r>
          </w:p>
        </w:tc>
        <w:tc>
          <w:tcPr>
            <w:tcW w:type="dxa" w:w="6048"/>
          </w:tcPr>
          <w:p>
            <w:r>
              <w:rPr>
                <w:sz w:val="19"/>
              </w:rPr>
              <w:t>5-gate OU check (generate_entry_signal) on a 45-day EWMA fit, 30m bars</w:t>
            </w:r>
          </w:p>
        </w:tc>
      </w:tr>
      <w:tr>
        <w:tc>
          <w:tcPr>
            <w:tcW w:type="dxa" w:w="3024"/>
          </w:tcPr>
          <w:p>
            <w:r>
              <w:rPr>
                <w:color w:val="5B6472"/>
                <w:sz w:val="19"/>
              </w:rPr>
              <w:t>Stability cross-check</w:t>
            </w:r>
          </w:p>
        </w:tc>
        <w:tc>
          <w:tcPr>
            <w:tcW w:type="dxa" w:w="6048"/>
          </w:tcPr>
          <w:p>
            <w:r>
              <w:rPr>
                <w:sz w:val="19"/>
              </w:rPr>
              <w:t>survival curves from coint_survival.py (events file rebuilt 2026-09-09)</w:t>
            </w:r>
          </w:p>
        </w:tc>
      </w:tr>
    </w:tbl>
    <w:p>
      <w:pPr>
        <w:pStyle w:val="Heading2"/>
      </w:pPr>
      <w:r>
        <w:t>Screen output</w:t>
      </w:r>
    </w:p>
    <w:p>
      <w:r>
        <w:rPr>
          <w:b/>
        </w:rPr>
        <w:t>22,366 pairs  →  3,000 diagnosed  →  13 tradeable  →  1 entry signal</w:t>
      </w:r>
    </w:p>
    <w:p>
      <w:r>
        <w:t>13 pairs cleared the tradeable filter. Twelve then failed at least one entry gate — eight on insufficient current dislocation (deviation &lt; 1σ), three on the recent-window cointegration gate, one on volatility regime. One pair passed all five: APE/DOGE. LUNA appears in 6 of the 13 tradeable pairs, consistent with a single trending asset cointegrating broadly.</w:t>
      </w:r>
    </w:p>
    <w:p>
      <w:pPr>
        <w:pStyle w:val="Heading2"/>
      </w:pPr>
      <w:r>
        <w:t>The trade — APE/DOGE</w:t>
      </w:r>
    </w:p>
    <w:p>
      <w:pPr>
        <w:pStyle w:val="Heading3"/>
      </w:pPr>
      <w:r>
        <w:t>Structure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024"/>
          </w:tcPr>
          <w:p>
            <w:r>
              <w:rPr>
                <w:color w:val="5B6472"/>
                <w:sz w:val="19"/>
              </w:rPr>
              <w:t>Direction</w:t>
            </w:r>
          </w:p>
        </w:tc>
        <w:tc>
          <w:tcPr>
            <w:tcW w:type="dxa" w:w="6048"/>
          </w:tcPr>
          <w:p>
            <w:r>
              <w:rPr>
                <w:sz w:val="19"/>
              </w:rPr>
              <w:t>LONG spread — long APE, short DOGE</w:t>
            </w:r>
          </w:p>
        </w:tc>
      </w:tr>
      <w:tr>
        <w:tc>
          <w:tcPr>
            <w:tcW w:type="dxa" w:w="3024"/>
          </w:tcPr>
          <w:p>
            <w:r>
              <w:rPr>
                <w:color w:val="5B6472"/>
                <w:sz w:val="19"/>
              </w:rPr>
              <w:t>Hedge ratio β</w:t>
            </w:r>
          </w:p>
        </w:tc>
        <w:tc>
          <w:tcPr>
            <w:tcW w:type="dxa" w:w="6048"/>
          </w:tcPr>
          <w:p>
            <w:r>
              <w:rPr>
                <w:sz w:val="19"/>
              </w:rPr>
              <w:t>0.363   (spread = ln(APE) − 0.363·ln(DOGE) − α,  α = −1.073)</w:t>
            </w:r>
          </w:p>
        </w:tc>
      </w:tr>
      <w:tr>
        <w:tc>
          <w:tcPr>
            <w:tcW w:type="dxa" w:w="3024"/>
          </w:tcPr>
          <w:p>
            <w:r>
              <w:rPr>
                <w:color w:val="5B6472"/>
                <w:sz w:val="19"/>
              </w:rPr>
              <w:t>Notional</w:t>
            </w:r>
          </w:p>
        </w:tc>
        <w:tc>
          <w:tcPr>
            <w:tcW w:type="dxa" w:w="6048"/>
          </w:tcPr>
          <w:p>
            <w:r>
              <w:rPr>
                <w:sz w:val="19"/>
              </w:rPr>
              <w:t>short 0.363 units DOGE per 1 unit APE; size to the APE leg</w:t>
            </w:r>
          </w:p>
        </w:tc>
      </w:tr>
      <w:tr>
        <w:tc>
          <w:tcPr>
            <w:tcW w:type="dxa" w:w="3024"/>
          </w:tcPr>
          <w:p>
            <w:r>
              <w:rPr>
                <w:color w:val="5B6472"/>
                <w:sz w:val="19"/>
              </w:rPr>
              <w:t>Reference px</w:t>
            </w:r>
          </w:p>
        </w:tc>
        <w:tc>
          <w:tcPr>
            <w:tcW w:type="dxa" w:w="6048"/>
          </w:tcPr>
          <w:p>
            <w:r>
              <w:rPr>
                <w:sz w:val="19"/>
              </w:rPr>
              <w:t>APE $0.13551  ·  DOGE $0.08427</w:t>
            </w:r>
          </w:p>
        </w:tc>
      </w:tr>
      <w:tr>
        <w:tc>
          <w:tcPr>
            <w:tcW w:type="dxa" w:w="3024"/>
          </w:tcPr>
          <w:p>
            <w:r>
              <w:rPr>
                <w:color w:val="5B6472"/>
                <w:sz w:val="19"/>
              </w:rPr>
              <w:t>Liquidity</w:t>
            </w:r>
          </w:p>
        </w:tc>
        <w:tc>
          <w:tcPr>
            <w:tcW w:type="dxa" w:w="6048"/>
          </w:tcPr>
          <w:p>
            <w:r>
              <w:rPr>
                <w:sz w:val="19"/>
              </w:rPr>
              <w:t>APE ≈ $1.4M ADV  ·  DOGE ≈ $300M ADV  (APE is the constraining leg)</w:t>
            </w:r>
          </w:p>
        </w:tc>
      </w:tr>
    </w:tbl>
    <w:p>
      <w:pPr>
        <w:pStyle w:val="Heading3"/>
      </w:pPr>
      <w:r>
        <w:t>Entry gates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944"/>
          </w:tcPr>
          <w:p>
            <w:r>
              <w:rPr>
                <w:b/>
                <w:color w:val="5B6472"/>
                <w:sz w:val="17"/>
              </w:rPr>
              <w:t>Gate</w:t>
            </w:r>
          </w:p>
        </w:tc>
        <w:tc>
          <w:tcPr>
            <w:tcW w:type="dxa" w:w="2952"/>
          </w:tcPr>
          <w:p>
            <w:r>
              <w:rPr>
                <w:b/>
                <w:color w:val="5B6472"/>
                <w:sz w:val="17"/>
              </w:rPr>
              <w:t>Test</w:t>
            </w:r>
          </w:p>
        </w:tc>
        <w:tc>
          <w:tcPr>
            <w:tcW w:type="dxa" w:w="1080"/>
          </w:tcPr>
          <w:p>
            <w:r>
              <w:rPr>
                <w:b/>
                <w:color w:val="5B6472"/>
                <w:sz w:val="17"/>
              </w:rPr>
              <w:t>Value</w:t>
            </w:r>
          </w:p>
        </w:tc>
        <w:tc>
          <w:tcPr>
            <w:tcW w:type="dxa" w:w="1008"/>
          </w:tcPr>
          <w:p>
            <w:r>
              <w:rPr>
                <w:b/>
                <w:color w:val="5B6472"/>
                <w:sz w:val="17"/>
              </w:rPr>
              <w:t>Pass if</w:t>
            </w:r>
          </w:p>
        </w:tc>
        <w:tc>
          <w:tcPr>
            <w:tcW w:type="dxa" w:w="864"/>
          </w:tcPr>
          <w:p>
            <w:r>
              <w:rPr>
                <w:b/>
                <w:color w:val="5B6472"/>
                <w:sz w:val="17"/>
              </w:rPr>
              <w:t>Result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1 · Cointegration</w:t>
            </w:r>
          </w:p>
        </w:tc>
        <w:tc>
          <w:tcPr>
            <w:tcW w:type="dxa" w:w="2952"/>
          </w:tcPr>
          <w:p>
            <w:r>
              <w:rPr>
                <w:sz w:val="18"/>
              </w:rPr>
              <w:t>Engle–Granger p, trailing 7d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0.0567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≤ 0.10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2 · OU fit</w:t>
            </w:r>
          </w:p>
        </w:tc>
        <w:tc>
          <w:tcPr>
            <w:tcW w:type="dxa" w:w="2952"/>
          </w:tcPr>
          <w:p>
            <w:r>
              <w:rPr>
                <w:sz w:val="18"/>
              </w:rPr>
              <w:t>EWMA θ &gt; 0 (half-life 9.2h)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0.0755/h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&gt; 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3 · Dislocation</w:t>
            </w:r>
          </w:p>
        </w:tc>
        <w:tc>
          <w:tcPr>
            <w:tcW w:type="dxa" w:w="2952"/>
          </w:tcPr>
          <w:p>
            <w:r>
              <w:rPr>
                <w:sz w:val="18"/>
              </w:rPr>
              <w:t>|S₀ − μ| in stationary σ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1.47σ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≥ 1.0σ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4 · θ significance</w:t>
            </w:r>
          </w:p>
        </w:tc>
        <w:tc>
          <w:tcPr>
            <w:tcW w:type="dxa" w:w="2952"/>
          </w:tcPr>
          <w:p>
            <w:r>
              <w:rPr>
                <w:sz w:val="18"/>
              </w:rPr>
              <w:t>static full-window θ p-value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0.0000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≤ 0.05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5 · Volatility regime</w:t>
            </w:r>
          </w:p>
        </w:tc>
        <w:tc>
          <w:tcPr>
            <w:tcW w:type="dxa" w:w="2952"/>
          </w:tcPr>
          <w:p>
            <w:r>
              <w:rPr>
                <w:sz w:val="18"/>
              </w:rPr>
              <w:t>log(σ_recent / σ)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0.786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≤ 1.1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pass</w:t>
            </w:r>
          </w:p>
        </w:tc>
      </w:tr>
    </w:tbl>
    <w:p>
      <w:pPr>
        <w:pStyle w:val="Heading3"/>
      </w:pPr>
      <w:r>
        <w:t>OU parameters &amp; targets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024"/>
          </w:tcPr>
          <w:p>
            <w:r>
              <w:rPr>
                <w:color w:val="5B6472"/>
                <w:sz w:val="19"/>
              </w:rPr>
              <w:t>Entry spread S₀</w:t>
            </w:r>
          </w:p>
        </w:tc>
        <w:tc>
          <w:tcPr>
            <w:tcW w:type="dxa" w:w="6048"/>
          </w:tcPr>
          <w:p>
            <w:r>
              <w:rPr>
                <w:sz w:val="19"/>
              </w:rPr>
              <w:t>−0.02889</w:t>
            </w:r>
          </w:p>
        </w:tc>
      </w:tr>
      <w:tr>
        <w:tc>
          <w:tcPr>
            <w:tcW w:type="dxa" w:w="3024"/>
          </w:tcPr>
          <w:p>
            <w:r>
              <w:rPr>
                <w:color w:val="5B6472"/>
                <w:sz w:val="19"/>
              </w:rPr>
              <w:t>Long-run mean μ</w:t>
            </w:r>
          </w:p>
        </w:tc>
        <w:tc>
          <w:tcPr>
            <w:tcW w:type="dxa" w:w="6048"/>
          </w:tcPr>
          <w:p>
            <w:r>
              <w:rPr>
                <w:sz w:val="19"/>
              </w:rPr>
              <w:t>−0.00569</w:t>
            </w:r>
          </w:p>
        </w:tc>
      </w:tr>
      <w:tr>
        <w:tc>
          <w:tcPr>
            <w:tcW w:type="dxa" w:w="3024"/>
          </w:tcPr>
          <w:p>
            <w:r>
              <w:rPr>
                <w:color w:val="5B6472"/>
                <w:sz w:val="19"/>
              </w:rPr>
              <w:t>σ  ·  σ_stationary</w:t>
            </w:r>
          </w:p>
        </w:tc>
        <w:tc>
          <w:tcPr>
            <w:tcW w:type="dxa" w:w="6048"/>
          </w:tcPr>
          <w:p>
            <w:r>
              <w:rPr>
                <w:sz w:val="19"/>
              </w:rPr>
              <w:t>0.00614  ·  0.01580</w:t>
            </w:r>
          </w:p>
        </w:tc>
      </w:tr>
      <w:tr>
        <w:tc>
          <w:tcPr>
            <w:tcW w:type="dxa" w:w="3024"/>
          </w:tcPr>
          <w:p>
            <w:r>
              <w:rPr>
                <w:color w:val="5B6472"/>
                <w:sz w:val="19"/>
              </w:rPr>
              <w:t>Entry z</w:t>
            </w:r>
          </w:p>
        </w:tc>
        <w:tc>
          <w:tcPr>
            <w:tcW w:type="dxa" w:w="6048"/>
          </w:tcPr>
          <w:p>
            <w:r>
              <w:rPr>
                <w:sz w:val="19"/>
              </w:rPr>
              <w:t>−1.47 σ_stationary</w:t>
            </w:r>
          </w:p>
        </w:tc>
      </w:tr>
      <w:tr>
        <w:tc>
          <w:tcPr>
            <w:tcW w:type="dxa" w:w="3024"/>
          </w:tcPr>
          <w:p>
            <w:r>
              <w:rPr>
                <w:color w:val="5B6472"/>
                <w:sz w:val="19"/>
              </w:rPr>
              <w:t>θ (EWMA)  ·  half-life</w:t>
            </w:r>
          </w:p>
        </w:tc>
        <w:tc>
          <w:tcPr>
            <w:tcW w:type="dxa" w:w="6048"/>
          </w:tcPr>
          <w:p>
            <w:r>
              <w:rPr>
                <w:sz w:val="19"/>
              </w:rPr>
              <w:t>0.0755 /h  ·  9.2 h</w:t>
            </w:r>
          </w:p>
        </w:tc>
      </w:tr>
      <w:tr>
        <w:tc>
          <w:tcPr>
            <w:tcW w:type="dxa" w:w="3024"/>
          </w:tcPr>
          <w:p>
            <w:r>
              <w:rPr>
                <w:color w:val="5B6472"/>
                <w:sz w:val="19"/>
              </w:rPr>
              <w:t>Reversion probability</w:t>
            </w:r>
          </w:p>
        </w:tc>
        <w:tc>
          <w:tcPr>
            <w:tcW w:type="dxa" w:w="6048"/>
          </w:tcPr>
          <w:p>
            <w:r>
              <w:rPr>
                <w:sz w:val="19"/>
              </w:rPr>
              <w:t>0.66   (Monte Carlo, residual bootstrap; gate ≥ 0.60)</w:t>
            </w:r>
          </w:p>
        </w:tc>
      </w:tr>
      <w:tr>
        <w:tc>
          <w:tcPr>
            <w:tcW w:type="dxa" w:w="3024"/>
          </w:tcPr>
          <w:p>
            <w:r>
              <w:rPr>
                <w:color w:val="5B6472"/>
                <w:sz w:val="19"/>
              </w:rPr>
              <w:t>Take-profit</w:t>
            </w:r>
          </w:p>
        </w:tc>
        <w:tc>
          <w:tcPr>
            <w:tcW w:type="dxa" w:w="6048"/>
          </w:tcPr>
          <w:p>
            <w:r>
              <w:rPr>
                <w:sz w:val="19"/>
              </w:rPr>
              <w:t>−0.01033   (80% capture of S₀→μ ≈ +1.85% gross on the APE leg, pre-cost)</w:t>
            </w:r>
          </w:p>
        </w:tc>
      </w:tr>
      <w:tr>
        <w:tc>
          <w:tcPr>
            <w:tcW w:type="dxa" w:w="3024"/>
          </w:tcPr>
          <w:p>
            <w:r>
              <w:rPr>
                <w:color w:val="5B6472"/>
                <w:sz w:val="19"/>
              </w:rPr>
              <w:t>Expected reversion</w:t>
            </w:r>
          </w:p>
        </w:tc>
        <w:tc>
          <w:tcPr>
            <w:tcW w:type="dxa" w:w="6048"/>
          </w:tcPr>
          <w:p>
            <w:r>
              <w:rPr>
                <w:sz w:val="19"/>
              </w:rPr>
              <w:t>32.0 h   (1.5× ln(1/f)/θ, f = 0.20)</w:t>
            </w:r>
          </w:p>
        </w:tc>
      </w:tr>
      <w:tr>
        <w:tc>
          <w:tcPr>
            <w:tcW w:type="dxa" w:w="3024"/>
          </w:tcPr>
          <w:p>
            <w:r>
              <w:rPr>
                <w:color w:val="5B6472"/>
                <w:sz w:val="19"/>
              </w:rPr>
              <w:t>Hard time cap</w:t>
            </w:r>
          </w:p>
        </w:tc>
        <w:tc>
          <w:tcPr>
            <w:tcW w:type="dxa" w:w="6048"/>
          </w:tcPr>
          <w:p>
            <w:r>
              <w:rPr>
                <w:sz w:val="19"/>
              </w:rPr>
              <w:t>24 h   (MAX_TIME_STOP_HOURS)</w:t>
            </w:r>
          </w:p>
        </w:tc>
      </w:tr>
    </w:tbl>
    <w:p>
      <w:pPr>
        <w:pStyle w:val="Heading3"/>
      </w:pPr>
      <w:r>
        <w:t>Spread path — trailing five days</w:t>
      </w:r>
    </w:p>
    <w:p>
      <w:r>
        <w:drawing>
          <wp:inline xmlns:a="http://schemas.openxmlformats.org/drawingml/2006/main" xmlns:pic="http://schemas.openxmlformats.org/drawingml/2006/picture">
            <wp:extent cx="5760720" cy="18871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read_pat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87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B6472"/>
          <w:sz w:val="17"/>
        </w:rPr>
        <w:t>APE/DOGE spread in units of stationary σ, 12-hour samples. Roughly four days between +0.4σ and +1.4σ, then a single 12-hour move from +0.5σ to −1.7σ through the mean — the dislocation this trade enters against. Dashed lines: the ±1σ entry threshold and the −2.3σ abort level.</w:t>
      </w:r>
    </w:p>
    <w:p>
      <w:pPr>
        <w:pStyle w:val="Heading2"/>
      </w:pPr>
      <w:r>
        <w:t>Execution</w:t>
      </w:r>
    </w:p>
    <w:p>
      <w:pPr>
        <w:pStyle w:val="ListBullet"/>
      </w:pPr>
      <w:r>
        <w:t>Long APE / short DOGE at β = 0.363; size to the APE leg (≈ $1.4M ADV, the constraining side).</w:t>
      </w:r>
    </w:p>
    <w:p>
      <w:pPr>
        <w:pStyle w:val="ListBullet"/>
      </w:pPr>
      <w:r>
        <w:t>Entry spread −0.0289, mean −0.0057, take-profit −0.0103 — about +1.85% gross on the APE leg before ≈ 0.2% round-trip fees across two legs, plus funding on both.</w:t>
      </w:r>
    </w:p>
    <w:p>
      <w:pPr>
        <w:pStyle w:val="ListBullet"/>
      </w:pPr>
      <w:r>
        <w:t>Work against the 24-hour time cap; the model's own 32-hour reversion estimate sits past the cap, so the position closes on time before reaching its target if it has not reverted.</w:t>
      </w:r>
    </w:p>
    <w:p>
      <w:pPr>
        <w:pStyle w:val="ListBullet"/>
      </w:pPr>
      <w:r>
        <w:t>Abort if the spread extends past ≈ −0.042 (−2.3σ) rather than reverting.</w:t>
      </w:r>
    </w:p>
    <w:p>
      <w:pPr>
        <w:pStyle w:val="ListBullet"/>
      </w:pPr>
      <w:r>
        <w:t>Re-run the screen on fresh data immediately before execution — this signal is one day old and has changed sign once already (see Risks).</w:t>
      </w:r>
    </w:p>
    <w:p>
      <w:pPr>
        <w:pStyle w:val="Heading2"/>
      </w:pPr>
      <w:r>
        <w:t>Risks</w:t>
      </w:r>
    </w:p>
    <w:p>
      <w:pPr>
        <w:pStyle w:val="ListBullet"/>
      </w:pPr>
      <w:r>
        <w:rPr>
          <w:b/>
        </w:rPr>
        <w:t>Cointegration has weakened.</w:t>
      </w:r>
      <w:r>
        <w:t xml:space="preserve"> The strict rolling test (Engle–Granger p &lt; 0.01, three-consecutive-day failure rule) has flagged the APE/DOGE relationship as broken since about 2026-08-28 — it survived nine days past its 2026-08-19 detection. The 7-day entry-gate p-value rose from 0.010 to 0.057 over the last 24 hours and now clears only the looser 0.10 gate, not the strict screen threshold. The strong 30-day p-value (≈ 0.000) reflects older data.</w:t>
      </w:r>
    </w:p>
    <w:p>
      <w:pPr>
        <w:pStyle w:val="ListBullet"/>
      </w:pPr>
      <w:r>
        <w:rPr>
          <w:b/>
        </w:rPr>
        <w:t>The entry side reversed in 24 hours.</w:t>
      </w:r>
      <w:r>
        <w:t xml:space="preserve"> Yesterday's run gave short-spread at z ≈ +1.28; today is long-spread at z ≈ −1.47. The spread covered roughly 2.75σ in a day, most of it in one 12-hour bar. Realized spread volatility is currently high relative to the fitted OU σ.</w:t>
      </w:r>
    </w:p>
    <w:p>
      <w:pPr>
        <w:pStyle w:val="ListBullet"/>
      </w:pPr>
      <w:r>
        <w:rPr>
          <w:b/>
        </w:rPr>
        <w:t>Reversion probability near the gate.</w:t>
      </w:r>
      <w:r>
        <w:t xml:space="preserve"> Monte Carlo P(revert within τ) = 0.66 against a 0.60 minimum, down from 0.75 the prior day.</w:t>
      </w:r>
    </w:p>
    <w:p>
      <w:pPr>
        <w:pStyle w:val="ListBullet"/>
      </w:pPr>
      <w:r>
        <w:rPr>
          <w:b/>
        </w:rPr>
        <w:t>Gate 4 tests a different θ.</w:t>
      </w:r>
      <w:r>
        <w:t xml:space="preserve"> The significance check runs on the static full-window OLS θ, not the EWMA θ used for sizing and targets. Known gap, flagged in the code since 2026-08-20.</w:t>
      </w:r>
    </w:p>
    <w:p>
      <w:pPr>
        <w:pStyle w:val="ListBullet"/>
      </w:pPr>
      <w:r>
        <w:rPr>
          <w:b/>
        </w:rPr>
        <w:t>Reversion-time multiplier is stale.</w:t>
      </w:r>
      <w:r>
        <w:t xml:space="preserve"> The 1.5× correction on ln(1/f)/θ is a global constant; internal analysis puts the realized ratio nearer 0.5× on take-profit exits, so the 32-hour estimate is more likely long than short.</w:t>
      </w:r>
    </w:p>
    <w:p>
      <w:pPr>
        <w:pStyle w:val="ListBullet"/>
      </w:pPr>
      <w:r>
        <w:rPr>
          <w:b/>
        </w:rPr>
        <w:t>No validated track record.</w:t>
      </w:r>
      <w:r>
        <w:t xml:space="preserve"> The backtest record for this exact configuration is weak. Treat this as a research candidate, not established alpha.</w:t>
      </w:r>
    </w:p>
    <w:p>
      <w:pPr>
        <w:pStyle w:val="Heading2"/>
      </w:pPr>
      <w:r>
        <w:t>Appendix — 13 tradeable pairs</w:t>
      </w:r>
    </w:p>
    <w:p>
      <w:r>
        <w:rPr>
          <w:i w:val="0"/>
          <w:color w:val="5B6472"/>
          <w:sz w:val="17"/>
        </w:rPr>
        <w:t>Entry-gate trace, 45-day EWMA fit, data through 2026-09-10 20:00 UTC. First failing gate shown.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440"/>
          </w:tcPr>
          <w:p>
            <w:r>
              <w:rPr>
                <w:b/>
                <w:color w:val="5B6472"/>
                <w:sz w:val="17"/>
              </w:rPr>
              <w:t>Pair</w:t>
            </w:r>
          </w:p>
        </w:tc>
        <w:tc>
          <w:tcPr>
            <w:tcW w:type="dxa" w:w="1368"/>
          </w:tcPr>
          <w:p>
            <w:r>
              <w:rPr>
                <w:b/>
                <w:color w:val="5B6472"/>
                <w:sz w:val="17"/>
              </w:rPr>
              <w:t>G1 coint p</w:t>
            </w:r>
          </w:p>
        </w:tc>
        <w:tc>
          <w:tcPr>
            <w:tcW w:type="dxa" w:w="1512"/>
          </w:tcPr>
          <w:p>
            <w:r>
              <w:rPr>
                <w:b/>
                <w:color w:val="5B6472"/>
                <w:sz w:val="17"/>
              </w:rPr>
              <w:t>Half-life (h)</w:t>
            </w:r>
          </w:p>
        </w:tc>
        <w:tc>
          <w:tcPr>
            <w:tcW w:type="dxa" w:w="1656"/>
          </w:tcPr>
          <w:p>
            <w:r>
              <w:rPr>
                <w:b/>
                <w:color w:val="5B6472"/>
                <w:sz w:val="17"/>
              </w:rPr>
              <w:t>Dislocation (σ)</w:t>
            </w:r>
          </w:p>
        </w:tc>
        <w:tc>
          <w:tcPr>
            <w:tcW w:type="dxa" w:w="1296"/>
          </w:tcPr>
          <w:p>
            <w:r>
              <w:rPr>
                <w:b/>
                <w:color w:val="5B6472"/>
                <w:sz w:val="17"/>
              </w:rPr>
              <w:t>G5 regime</w:t>
            </w:r>
          </w:p>
        </w:tc>
        <w:tc>
          <w:tcPr>
            <w:tcW w:type="dxa" w:w="1944"/>
          </w:tcPr>
          <w:p>
            <w:r>
              <w:rPr>
                <w:b/>
                <w:color w:val="5B6472"/>
                <w:sz w:val="17"/>
              </w:rPr>
              <w:t>Outcome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APE/DOGE</w:t>
            </w:r>
          </w:p>
        </w:tc>
        <w:tc>
          <w:tcPr>
            <w:tcW w:type="dxa" w:w="1368"/>
          </w:tcPr>
          <w:p>
            <w:r>
              <w:rPr>
                <w:sz w:val="18"/>
              </w:rPr>
              <w:t>0.0567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9.2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1.468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0.786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signal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DOGE/TRB</w:t>
            </w:r>
          </w:p>
        </w:tc>
        <w:tc>
          <w:tcPr>
            <w:tcW w:type="dxa" w:w="1368"/>
          </w:tcPr>
          <w:p>
            <w:r>
              <w:rPr>
                <w:sz w:val="18"/>
              </w:rPr>
              <w:t>0.0628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4.1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0.662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0.490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G3 dislocation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LUNA/SUI</w:t>
            </w:r>
          </w:p>
        </w:tc>
        <w:tc>
          <w:tcPr>
            <w:tcW w:type="dxa" w:w="1368"/>
          </w:tcPr>
          <w:p>
            <w:r>
              <w:rPr>
                <w:sz w:val="18"/>
              </w:rPr>
              <w:t>0.0000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1.7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0.499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0.333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G3 dislocation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LUNA/ONDO</w:t>
            </w:r>
          </w:p>
        </w:tc>
        <w:tc>
          <w:tcPr>
            <w:tcW w:type="dxa" w:w="1368"/>
          </w:tcPr>
          <w:p>
            <w:r>
              <w:rPr>
                <w:sz w:val="18"/>
              </w:rPr>
              <w:t>0.0022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12.4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0.805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0.995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G3 dislocation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LUNA/TRB</w:t>
            </w:r>
          </w:p>
        </w:tc>
        <w:tc>
          <w:tcPr>
            <w:tcW w:type="dxa" w:w="1368"/>
          </w:tcPr>
          <w:p>
            <w:r>
              <w:rPr>
                <w:sz w:val="18"/>
              </w:rPr>
              <w:t>0.0024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6.0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0.999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0.744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G3 dislocation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MANA/SHIB</w:t>
            </w:r>
          </w:p>
        </w:tc>
        <w:tc>
          <w:tcPr>
            <w:tcW w:type="dxa" w:w="1368"/>
          </w:tcPr>
          <w:p>
            <w:r>
              <w:rPr>
                <w:sz w:val="18"/>
              </w:rPr>
              <w:t>0.0886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3.6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0.460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0.289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G3 dislocation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LUNA/ORDI</w:t>
            </w:r>
          </w:p>
        </w:tc>
        <w:tc>
          <w:tcPr>
            <w:tcW w:type="dxa" w:w="1368"/>
          </w:tcPr>
          <w:p>
            <w:r>
              <w:rPr>
                <w:sz w:val="18"/>
              </w:rPr>
              <w:t>0.0009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4.6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0.670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0.580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G3 dislocation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ASTER/BNB</w:t>
            </w:r>
          </w:p>
        </w:tc>
        <w:tc>
          <w:tcPr>
            <w:tcW w:type="dxa" w:w="1368"/>
          </w:tcPr>
          <w:p>
            <w:r>
              <w:rPr>
                <w:sz w:val="18"/>
              </w:rPr>
              <w:t>0.0399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12.0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0.968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1.172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G3 dislocation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FLOKI/LUNA</w:t>
            </w:r>
          </w:p>
        </w:tc>
        <w:tc>
          <w:tcPr>
            <w:tcW w:type="dxa" w:w="1368"/>
          </w:tcPr>
          <w:p>
            <w:r>
              <w:rPr>
                <w:sz w:val="18"/>
              </w:rPr>
              <w:t>0.3332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3.3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0.530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0.785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G1 cointegration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LUNA/STRK</w:t>
            </w:r>
          </w:p>
        </w:tc>
        <w:tc>
          <w:tcPr>
            <w:tcW w:type="dxa" w:w="1368"/>
          </w:tcPr>
          <w:p>
            <w:r>
              <w:rPr>
                <w:sz w:val="18"/>
              </w:rPr>
              <w:t>0.2444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7.1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1.288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0.861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G1 cointegration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FLOKI/MEME</w:t>
            </w:r>
          </w:p>
        </w:tc>
        <w:tc>
          <w:tcPr>
            <w:tcW w:type="dxa" w:w="1368"/>
          </w:tcPr>
          <w:p>
            <w:r>
              <w:rPr>
                <w:sz w:val="18"/>
              </w:rPr>
              <w:t>0.0062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17.5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1.049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1.179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G5 vol regime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AXS/DYDX</w:t>
            </w:r>
          </w:p>
        </w:tc>
        <w:tc>
          <w:tcPr>
            <w:tcW w:type="dxa" w:w="1368"/>
          </w:tcPr>
          <w:p>
            <w:r>
              <w:rPr>
                <w:sz w:val="18"/>
              </w:rPr>
              <w:t>0.2172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13.8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0.546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0.759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G1 cointegration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RENDER/TRB</w:t>
            </w:r>
          </w:p>
        </w:tc>
        <w:tc>
          <w:tcPr>
            <w:tcW w:type="dxa" w:w="1368"/>
          </w:tcPr>
          <w:p>
            <w:r>
              <w:rPr>
                <w:sz w:val="18"/>
              </w:rPr>
              <w:t>0.0442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10.4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1.234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1.120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G5 vol regime</w:t>
            </w:r>
          </w:p>
        </w:tc>
      </w:tr>
    </w:tbl>
    <w:p/>
    <w:p>
      <w:r>
        <w:rPr>
          <w:i w:val="0"/>
          <w:color w:val="5B6472"/>
          <w:sz w:val="17"/>
        </w:rPr>
        <w:t>Data — OKX 30-minute perpetual futures via freqtrade; last bar 2026-09-10 20:00 UTC; 212 instruments.  Screen — research/pair_analysis.py (analyze_top_pairs, get_tradeable_pairs) · research/signal_generator.py (generate_entry_signal) · research/coint_survival.py (stability cross-check).  Internal research note. Not investment advice. Figures are model output on a configuration with no validated live track record.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418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4181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4181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4181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