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Хто ми?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Адв</w:t>
      </w:r>
      <w:r w:rsidDel="00000000" w:rsidR="00000000" w:rsidRPr="00000000">
        <w:rPr>
          <w:sz w:val="24"/>
          <w:szCs w:val="24"/>
          <w:rtl w:val="0"/>
        </w:rPr>
        <w:t xml:space="preserve">окатське бюро “Антона Гаврика” спеціалізується на системному захисті бізнесу та вирішенню судових спорів.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Ми пропонуємо клієнтам найефективнішу стратегію захисту та гарантує правову безпеку.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Глибоке розуміння індустрії та креативні підходи до вирішення справ допомагають нам залишатися переможцями у проектах за які ми беремося.  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Ми враховуємо особливості кожного клієнта та тонкощі його індустрії при виборі стратегії роботи. Забезпечення досягнення цілей клієнта – наше найважливіше завдання.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Здійснюємо комплексний супровід проектів: з моменту отримання завдання від замовника та до повного вирішення питання.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Що ми пропонуємо?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Кримінальне право та процес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участь адвоката при затриманні, допиті, обшуках та інших слідчих діях;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участь адвоката при обранні запобіжного заходу;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захист інтересів клієнтів на стадії досудового розслідування;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повернення тимчасово вилученого майна, скасування арешту майна у кримінальному провадженні; 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оскарження дій органів слідства, прокуратури, суду;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послуги адвоката в судах всіх інстанцій.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Судові спори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спори про стягнення заборгованості;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корпоративні спори;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податкові спори та інші адміністративні спори;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договірні спори (купівля-продаж, оренда, лізинг та ін.);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спори у сфері нерухомості та будівництва.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Бізнес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підготовку корпоративної документації (статути, акціонерні угоди, локальні нормативні акти);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розробку та оптимізацію структури корпоративного управління;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юридичний due diligence;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створення юридичних осіб, в тому числі в іноземних юрисдикціях;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реорганізацію юридичних осіб;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консультування з питань трудового, фінансового та договірного права.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Податкове право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податкове консультування у сфері інвестиційної діяльності;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створення податково-ефективних структур;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спори з податковими органами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Засновник Бюро </w:t>
      </w:r>
    </w:p>
    <w:p w:rsidR="00000000" w:rsidDel="00000000" w:rsidP="00000000" w:rsidRDefault="00000000" w:rsidRPr="00000000" w14:paraId="00000028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Антон Гаврик </w:t>
      </w:r>
      <w:r w:rsidDel="00000000" w:rsidR="00000000" w:rsidRPr="00000000">
        <w:rPr>
          <w:highlight w:val="white"/>
          <w:rtl w:val="0"/>
        </w:rPr>
        <w:t xml:space="preserve">досвідчений спеціаліст у кримінальному праві та процесі, податковому праві, галузі вирішення судових спорів. </w:t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Також, Антон спеціалізується на наданні допомоги клієнтам у відносинах з слідчими органами у складних кримінальних провадженнях, консультуванні клієнтів з питань банківського та корпоративного права. </w:t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Приймав участь у резонансних та складних судових спорах та кримінальних провадженнях. </w:t>
      </w:r>
    </w:p>
    <w:p w:rsidR="00000000" w:rsidDel="00000000" w:rsidP="00000000" w:rsidRDefault="00000000" w:rsidRPr="00000000" w14:paraId="0000002C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Освіта: Київський національний університет імені Тараса Шевченка. </w:t>
      </w:r>
    </w:p>
    <w:p w:rsidR="00000000" w:rsidDel="00000000" w:rsidP="00000000" w:rsidRDefault="00000000" w:rsidRPr="00000000" w14:paraId="0000002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Членство у професійних організаціях: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Національна асоціація адвокатів України;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Асоціація правників України. 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