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9D0A" w14:textId="0DE4EA78" w:rsidR="001311AE" w:rsidRPr="005F32CF" w:rsidRDefault="001311AE" w:rsidP="001311AE">
      <w:pPr>
        <w:jc w:val="center"/>
        <w:rPr>
          <w:rFonts w:ascii="Times New Roman" w:eastAsiaTheme="majorEastAsia" w:hAnsi="Times New Roman" w:cs="Times New Roman"/>
          <w:color w:val="17365D" w:themeColor="text2" w:themeShade="BF"/>
          <w:spacing w:val="5"/>
          <w:kern w:val="28"/>
          <w:sz w:val="52"/>
          <w:szCs w:val="52"/>
          <w:lang w:val="en-AU"/>
        </w:rPr>
      </w:pPr>
      <w:r w:rsidRPr="005F32CF">
        <w:rPr>
          <w:rFonts w:ascii="Times New Roman" w:eastAsiaTheme="majorEastAsia" w:hAnsi="Times New Roman" w:cs="Times New Roman"/>
          <w:color w:val="17365D" w:themeColor="text2" w:themeShade="BF"/>
          <w:spacing w:val="5"/>
          <w:kern w:val="28"/>
          <w:sz w:val="52"/>
          <w:szCs w:val="52"/>
          <w:lang w:val="en-AU"/>
        </w:rPr>
        <w:t>Smart Laboratory Availability Forecasting</w:t>
      </w:r>
      <w:r w:rsidRPr="005F32CF">
        <w:rPr>
          <w:rFonts w:ascii="Times New Roman" w:eastAsiaTheme="majorEastAsia" w:hAnsi="Times New Roman" w:cs="Times New Roman"/>
          <w:color w:val="17365D" w:themeColor="text2" w:themeShade="BF"/>
          <w:spacing w:val="5"/>
          <w:kern w:val="28"/>
          <w:sz w:val="52"/>
          <w:szCs w:val="52"/>
          <w:lang w:val="en-AU"/>
        </w:rPr>
        <w:t xml:space="preserve"> Project</w:t>
      </w:r>
    </w:p>
    <w:p w14:paraId="77A01A5B" w14:textId="4D7CD1FC" w:rsidR="00A3757D" w:rsidRPr="005F32CF" w:rsidRDefault="00000000" w:rsidP="001311AE">
      <w:pPr>
        <w:jc w:val="center"/>
        <w:rPr>
          <w:rFonts w:ascii="Times New Roman" w:hAnsi="Times New Roman" w:cs="Times New Roman"/>
        </w:rPr>
      </w:pPr>
      <w:r w:rsidRPr="005F32CF">
        <w:rPr>
          <w:rFonts w:ascii="Times New Roman" w:hAnsi="Times New Roman" w:cs="Times New Roman"/>
        </w:rPr>
        <w:t>MMA3001 Numerical Methods and Machine Learning Project</w:t>
      </w:r>
      <w:r w:rsidRPr="005F32CF">
        <w:rPr>
          <w:rFonts w:ascii="Times New Roman" w:hAnsi="Times New Roman" w:cs="Times New Roman"/>
        </w:rPr>
        <w:br/>
        <w:t>Student: Elvis Abraham Mathew</w:t>
      </w:r>
      <w:r w:rsidR="001311AE" w:rsidRPr="005F32CF">
        <w:rPr>
          <w:rFonts w:ascii="Times New Roman" w:hAnsi="Times New Roman" w:cs="Times New Roman"/>
        </w:rPr>
        <w:br/>
        <w:t>Student Number: 34978674</w:t>
      </w:r>
    </w:p>
    <w:p w14:paraId="541FFD48"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Abstract</w:t>
      </w:r>
    </w:p>
    <w:p w14:paraId="6A44A678" w14:textId="77777777" w:rsidR="00A3757D" w:rsidRPr="005F32CF" w:rsidRDefault="00000000">
      <w:pPr>
        <w:rPr>
          <w:rFonts w:ascii="Times New Roman" w:hAnsi="Times New Roman" w:cs="Times New Roman"/>
        </w:rPr>
      </w:pPr>
      <w:r w:rsidRPr="005F32CF">
        <w:rPr>
          <w:rFonts w:ascii="Times New Roman" w:hAnsi="Times New Roman" w:cs="Times New Roman"/>
        </w:rPr>
        <w:t>This project forecasts whether Building 60, room G.25 (Keenan Lab) will be available 30 minutes ahead for ad hoc laboratory booking, study-space allocation and room-readiness decisions. A sensor-derived headcount forecast is converted to available when it is at or below 0.5 people. Irregular events were aggregated to 15-minute intervals. Ridge regression was selected on validation, while persistence had the lowest final-test MAE (0.461 people). The selected ridge availability signal achieved 64.6% accuracy and 88.1% precision, meaning an available indication was usually correct but some available periods were missed. The repository includes reproducible code, tests, documentation and an AI-use disclosure.</w:t>
      </w:r>
    </w:p>
    <w:p w14:paraId="66B33856"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1. Engineering problem and scope</w:t>
      </w:r>
    </w:p>
    <w:p w14:paraId="0C5F9701"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Laboratory occupancy information is valuable for improving the utilisation of university facilities and supporting operational decision-making. Students frequently require access to laboratories for project work, private study, experimentation or group collaboration, yet room availability is often unknown unless a formal booking has been made. A reliable short-term occupancy forecast could therefore assist students and staff by providing an estimate of whether a laboratory is likely to be free before travelling to the location.</w:t>
      </w:r>
    </w:p>
    <w:p w14:paraId="4A30BAA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This project investigates whether Building 60, room G.25 (Keenan Laboratory) can be classified as available 30 minutes into the future using only historical sensor-derived occupancy measurements. Rather than predicting a binary label directly, the problem is formulated as a regression task where future headcount is first predicted and then converted into an availability signal. A laboratory is considered available when the predicted occupancy is 0.5 people or fewer, allowing the regression output to be interpreted as a binary engineering decision.</w:t>
      </w:r>
    </w:p>
    <w:p w14:paraId="4A76A3B1"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primary engineering objective is therefore to determine whether machine learning models can provide more useful occupancy forecasts than simple operational baselines such as persistence or average historical behaviour. The study focuses on practical deployment considerations including prediction accuracy, computational efficiency, reproducibility and interpretability.</w:t>
      </w:r>
    </w:p>
    <w:p w14:paraId="44728827"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intended application is as a decision-support tool for:</w:t>
      </w:r>
    </w:p>
    <w:p w14:paraId="78DE2B9D" w14:textId="77777777" w:rsidR="001311AE" w:rsidRPr="005F32CF" w:rsidRDefault="001311AE" w:rsidP="001311AE">
      <w:pPr>
        <w:numPr>
          <w:ilvl w:val="0"/>
          <w:numId w:val="10"/>
        </w:numPr>
        <w:rPr>
          <w:rFonts w:ascii="Times New Roman" w:hAnsi="Times New Roman" w:cs="Times New Roman"/>
          <w:lang w:val="en-AU"/>
        </w:rPr>
      </w:pPr>
      <w:r w:rsidRPr="005F32CF">
        <w:rPr>
          <w:rFonts w:ascii="Times New Roman" w:hAnsi="Times New Roman" w:cs="Times New Roman"/>
          <w:lang w:val="en-AU"/>
        </w:rPr>
        <w:t>ad hoc laboratory booking</w:t>
      </w:r>
    </w:p>
    <w:p w14:paraId="7E3C1201" w14:textId="77777777" w:rsidR="001311AE" w:rsidRPr="005F32CF" w:rsidRDefault="001311AE" w:rsidP="001311AE">
      <w:pPr>
        <w:numPr>
          <w:ilvl w:val="0"/>
          <w:numId w:val="10"/>
        </w:numPr>
        <w:rPr>
          <w:rFonts w:ascii="Times New Roman" w:hAnsi="Times New Roman" w:cs="Times New Roman"/>
          <w:lang w:val="en-AU"/>
        </w:rPr>
      </w:pPr>
      <w:r w:rsidRPr="005F32CF">
        <w:rPr>
          <w:rFonts w:ascii="Times New Roman" w:hAnsi="Times New Roman" w:cs="Times New Roman"/>
          <w:lang w:val="en-AU"/>
        </w:rPr>
        <w:t>study-space recommendation</w:t>
      </w:r>
    </w:p>
    <w:p w14:paraId="618BA6D3" w14:textId="77777777" w:rsidR="001311AE" w:rsidRPr="005F32CF" w:rsidRDefault="001311AE" w:rsidP="001311AE">
      <w:pPr>
        <w:numPr>
          <w:ilvl w:val="0"/>
          <w:numId w:val="10"/>
        </w:numPr>
        <w:rPr>
          <w:rFonts w:ascii="Times New Roman" w:hAnsi="Times New Roman" w:cs="Times New Roman"/>
          <w:lang w:val="en-AU"/>
        </w:rPr>
      </w:pPr>
      <w:r w:rsidRPr="005F32CF">
        <w:rPr>
          <w:rFonts w:ascii="Times New Roman" w:hAnsi="Times New Roman" w:cs="Times New Roman"/>
          <w:lang w:val="en-AU"/>
        </w:rPr>
        <w:t>room-readiness monitoring</w:t>
      </w:r>
    </w:p>
    <w:p w14:paraId="458BCD3C" w14:textId="77777777" w:rsidR="001311AE" w:rsidRPr="005F32CF" w:rsidRDefault="001311AE" w:rsidP="001311AE">
      <w:pPr>
        <w:numPr>
          <w:ilvl w:val="0"/>
          <w:numId w:val="10"/>
        </w:numPr>
        <w:rPr>
          <w:rFonts w:ascii="Times New Roman" w:hAnsi="Times New Roman" w:cs="Times New Roman"/>
          <w:lang w:val="en-AU"/>
        </w:rPr>
      </w:pPr>
      <w:r w:rsidRPr="005F32CF">
        <w:rPr>
          <w:rFonts w:ascii="Times New Roman" w:hAnsi="Times New Roman" w:cs="Times New Roman"/>
          <w:lang w:val="en-AU"/>
        </w:rPr>
        <w:t>facility utilisation analysis</w:t>
      </w:r>
    </w:p>
    <w:p w14:paraId="1F4D55C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lastRenderedPageBreak/>
        <w:t>The system is not intended to replace formal room-booking systems, provide access-control decisions, verify sensor accuracy or guarantee laboratory availability. Environmental variables such as temperature, humidity and CO₂ concentration were deliberately excluded because the supplied metadata did not confirm that any environmental sensors were physically co-located with room G.25. Including potentially unrelated sensors would risk introducing misleading correlations and reduce engineering validity.</w:t>
      </w:r>
    </w:p>
    <w:p w14:paraId="048526EB" w14:textId="1D276BCF" w:rsidR="00A3757D" w:rsidRPr="005F32CF" w:rsidRDefault="00A3757D">
      <w:pPr>
        <w:rPr>
          <w:rFonts w:ascii="Times New Roman" w:hAnsi="Times New Roman" w:cs="Times New Roman"/>
        </w:rPr>
      </w:pPr>
    </w:p>
    <w:p w14:paraId="0332B986"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2. Data audit and preparation</w:t>
      </w:r>
    </w:p>
    <w:p w14:paraId="3524FA38"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supplied dataset consisted of 643,290 timestamped occupancy events recorded between 1 May and 31 December 2024. Each observation represented the estimated number of occupants detected within Building 60, room G.25. Raw headcount values ranged from 0 to 35 people, indicating periods from complete vacancy to high laboratory utilisation.</w:t>
      </w:r>
    </w:p>
    <w:p w14:paraId="66A0093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Initial inspection showed that observations were recorded at highly irregular intervals, with a median gap of approximately 4 seconds but occasional interruptions lasting many hours. Because most machine learning algorithms require evenly spaced observations, the dataset was resampled into 15-minute intervals, which provided an appropriate balance between temporal resolution and computational efficiency.</w:t>
      </w:r>
    </w:p>
    <w:p w14:paraId="248E58C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Within each interval, the final recorded occupancy state was retained. Missing values were handled using a restricted forward-fill strategy. Occupancy was carried forward only when consecutive observations were separated by 60 minutes or less. Longer gaps remained missing so that sensor outages were not incorrectly interpreted as empty laboratories. This conservative approach preserves data integrity while avoiding unrealistic occupancy assumptions.</w:t>
      </w:r>
    </w:p>
    <w:p w14:paraId="4E8FDEC5" w14:textId="45C1C523"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Following preprocessing, the dataset contained:</w:t>
      </w:r>
    </w:p>
    <w:tbl>
      <w:tblPr>
        <w:tblStyle w:val="LightShading-Accent1"/>
        <w:tblW w:w="0" w:type="auto"/>
        <w:tblLook w:val="04A0" w:firstRow="1" w:lastRow="0" w:firstColumn="1" w:lastColumn="0" w:noHBand="0" w:noVBand="1"/>
      </w:tblPr>
      <w:tblGrid>
        <w:gridCol w:w="4320"/>
        <w:gridCol w:w="4320"/>
      </w:tblGrid>
      <w:tr w:rsidR="00A3757D" w:rsidRPr="005F32CF" w14:paraId="43D6917A" w14:textId="77777777" w:rsidTr="001311AE">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4320" w:type="dxa"/>
          </w:tcPr>
          <w:p w14:paraId="52809D45"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Audit quantity</w:t>
            </w:r>
          </w:p>
        </w:tc>
        <w:tc>
          <w:tcPr>
            <w:tcW w:w="4320" w:type="dxa"/>
          </w:tcPr>
          <w:p w14:paraId="2B1E48AB" w14:textId="77777777" w:rsidR="00A3757D" w:rsidRPr="005F32C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F32CF">
              <w:rPr>
                <w:rFonts w:ascii="Times New Roman" w:hAnsi="Times New Roman" w:cs="Times New Roman"/>
                <w:b w:val="0"/>
                <w:bCs w:val="0"/>
              </w:rPr>
              <w:t>Value</w:t>
            </w:r>
          </w:p>
        </w:tc>
      </w:tr>
      <w:tr w:rsidR="00A3757D" w:rsidRPr="005F32CF" w14:paraId="0813A8CD" w14:textId="77777777" w:rsidTr="00A3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97C87E"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15-minute bins</w:t>
            </w:r>
          </w:p>
        </w:tc>
        <w:tc>
          <w:tcPr>
            <w:tcW w:w="4320" w:type="dxa"/>
          </w:tcPr>
          <w:p w14:paraId="6EF35513"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23,516</w:t>
            </w:r>
          </w:p>
        </w:tc>
      </w:tr>
      <w:tr w:rsidR="00A3757D" w:rsidRPr="005F32CF" w14:paraId="16599771" w14:textId="77777777" w:rsidTr="00A3757D">
        <w:tc>
          <w:tcPr>
            <w:cnfStyle w:val="001000000000" w:firstRow="0" w:lastRow="0" w:firstColumn="1" w:lastColumn="0" w:oddVBand="0" w:evenVBand="0" w:oddHBand="0" w:evenHBand="0" w:firstRowFirstColumn="0" w:firstRowLastColumn="0" w:lastRowFirstColumn="0" w:lastRowLastColumn="0"/>
            <w:tcW w:w="4320" w:type="dxa"/>
          </w:tcPr>
          <w:p w14:paraId="753F6D5A"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Eligible 30-minute forecasts</w:t>
            </w:r>
          </w:p>
        </w:tc>
        <w:tc>
          <w:tcPr>
            <w:tcW w:w="4320" w:type="dxa"/>
          </w:tcPr>
          <w:p w14:paraId="1D530E55"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19,838</w:t>
            </w:r>
          </w:p>
        </w:tc>
      </w:tr>
      <w:tr w:rsidR="00A3757D" w:rsidRPr="005F32CF" w14:paraId="27DC619C" w14:textId="77777777" w:rsidTr="00A3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3853F"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Median event gap</w:t>
            </w:r>
          </w:p>
        </w:tc>
        <w:tc>
          <w:tcPr>
            <w:tcW w:w="4320" w:type="dxa"/>
          </w:tcPr>
          <w:p w14:paraId="35EB8865"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4 seconds</w:t>
            </w:r>
          </w:p>
        </w:tc>
      </w:tr>
      <w:tr w:rsidR="00A3757D" w:rsidRPr="005F32CF" w14:paraId="077D3A5A" w14:textId="77777777" w:rsidTr="00A3757D">
        <w:tc>
          <w:tcPr>
            <w:cnfStyle w:val="001000000000" w:firstRow="0" w:lastRow="0" w:firstColumn="1" w:lastColumn="0" w:oddVBand="0" w:evenVBand="0" w:oddHBand="0" w:evenHBand="0" w:firstRowFirstColumn="0" w:firstRowLastColumn="0" w:lastRowFirstColumn="0" w:lastRowLastColumn="0"/>
            <w:tcW w:w="4320" w:type="dxa"/>
          </w:tcPr>
          <w:p w14:paraId="4C996C1F"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Longest gap</w:t>
            </w:r>
          </w:p>
        </w:tc>
        <w:tc>
          <w:tcPr>
            <w:tcW w:w="4320" w:type="dxa"/>
          </w:tcPr>
          <w:p w14:paraId="34D5C1EC"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77,778 s (21.6 h)</w:t>
            </w:r>
          </w:p>
        </w:tc>
      </w:tr>
      <w:tr w:rsidR="00A3757D" w:rsidRPr="005F32CF" w14:paraId="7C861380" w14:textId="77777777" w:rsidTr="00A3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344A56"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Missing after carry rule</w:t>
            </w:r>
          </w:p>
        </w:tc>
        <w:tc>
          <w:tcPr>
            <w:tcW w:w="4320" w:type="dxa"/>
          </w:tcPr>
          <w:p w14:paraId="7314B58F"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3,146 bins</w:t>
            </w:r>
          </w:p>
        </w:tc>
      </w:tr>
      <w:tr w:rsidR="00A3757D" w:rsidRPr="005F32CF" w14:paraId="6657B831" w14:textId="77777777" w:rsidTr="00A3757D">
        <w:tc>
          <w:tcPr>
            <w:cnfStyle w:val="001000000000" w:firstRow="0" w:lastRow="0" w:firstColumn="1" w:lastColumn="0" w:oddVBand="0" w:evenVBand="0" w:oddHBand="0" w:evenHBand="0" w:firstRowFirstColumn="0" w:firstRowLastColumn="0" w:lastRowFirstColumn="0" w:lastRowLastColumn="0"/>
            <w:tcW w:w="4320" w:type="dxa"/>
          </w:tcPr>
          <w:p w14:paraId="3EA70CB6" w14:textId="77777777" w:rsidR="00A3757D" w:rsidRPr="005F32CF" w:rsidRDefault="00000000">
            <w:pPr>
              <w:rPr>
                <w:rFonts w:ascii="Times New Roman" w:hAnsi="Times New Roman" w:cs="Times New Roman"/>
                <w:b w:val="0"/>
                <w:bCs w:val="0"/>
              </w:rPr>
            </w:pPr>
            <w:proofErr w:type="gramStart"/>
            <w:r w:rsidRPr="005F32CF">
              <w:rPr>
                <w:rFonts w:ascii="Times New Roman" w:hAnsi="Times New Roman" w:cs="Times New Roman"/>
                <w:b w:val="0"/>
                <w:bCs w:val="0"/>
              </w:rPr>
              <w:t>Forward-filled</w:t>
            </w:r>
            <w:proofErr w:type="gramEnd"/>
            <w:r w:rsidRPr="005F32CF">
              <w:rPr>
                <w:rFonts w:ascii="Times New Roman" w:hAnsi="Times New Roman" w:cs="Times New Roman"/>
                <w:b w:val="0"/>
                <w:bCs w:val="0"/>
              </w:rPr>
              <w:t xml:space="preserve"> under rule</w:t>
            </w:r>
          </w:p>
        </w:tc>
        <w:tc>
          <w:tcPr>
            <w:tcW w:w="4320" w:type="dxa"/>
          </w:tcPr>
          <w:p w14:paraId="299F7BA8"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3,780 bins</w:t>
            </w:r>
          </w:p>
        </w:tc>
      </w:tr>
    </w:tbl>
    <w:p w14:paraId="5A6A535B" w14:textId="77777777" w:rsidR="001311AE" w:rsidRPr="005F32CF" w:rsidRDefault="001311AE" w:rsidP="001311AE">
      <w:pPr>
        <w:rPr>
          <w:rFonts w:ascii="Times New Roman" w:hAnsi="Times New Roman" w:cs="Times New Roman"/>
          <w:lang w:val="en-AU"/>
        </w:rPr>
      </w:pPr>
    </w:p>
    <w:p w14:paraId="021AE0D9" w14:textId="77777777" w:rsidR="005F32CF" w:rsidRDefault="001311AE" w:rsidP="005F32CF">
      <w:pPr>
        <w:rPr>
          <w:rFonts w:ascii="Times New Roman" w:hAnsi="Times New Roman" w:cs="Times New Roman"/>
          <w:lang w:val="en-AU"/>
        </w:rPr>
      </w:pPr>
      <w:r w:rsidRPr="005F32CF">
        <w:rPr>
          <w:rFonts w:ascii="Times New Roman" w:hAnsi="Times New Roman" w:cs="Times New Roman"/>
          <w:lang w:val="en-AU"/>
        </w:rPr>
        <w:t>The target variable was generated by shifting occupancy observations forward by two 15-minute intervals, corresponding to the required 30-minute prediction horizon. Any rows that lacked future observations due to missing values or the end of the dataset were excluded from training.</w:t>
      </w:r>
    </w:p>
    <w:p w14:paraId="7107252A" w14:textId="4F1F62B7" w:rsidR="001311AE" w:rsidRPr="005F32CF" w:rsidRDefault="001311AE" w:rsidP="005F32CF">
      <w:pPr>
        <w:rPr>
          <w:rFonts w:ascii="Times New Roman" w:hAnsi="Times New Roman" w:cs="Times New Roman"/>
          <w:lang w:val="en-AU"/>
        </w:rPr>
      </w:pPr>
      <w:r w:rsidRPr="005F32CF">
        <w:rPr>
          <w:rFonts w:ascii="Times New Roman" w:hAnsi="Times New Roman" w:cs="Times New Roman"/>
          <w:lang w:val="en-AU"/>
        </w:rPr>
        <w:t>Several exploratory analyses were also performed to understand the behaviour of the data. Daily occupancy patterns showed clear working-hour activity, with lower occupancy during evenings and weekends. These temporal trends motivated the inclusion of engineered time features within the forecasting models.</w:t>
      </w:r>
    </w:p>
    <w:p w14:paraId="4E4219AD" w14:textId="35B4B81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lastRenderedPageBreak/>
        <w:t>3. Computational method</w:t>
      </w:r>
    </w:p>
    <w:p w14:paraId="20E4356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forecasting pipeline was implemented entirely in Python using pandas and scikit-learn. The pipeline was designed to be reproducible and minimise the possibility of data leakage during preprocessing and model evaluation.</w:t>
      </w:r>
    </w:p>
    <w:p w14:paraId="6DE268CB"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raw archive was processed in chunks to reduce memory usage before filtering the unique floor-space identifier corresponding to Building 60, room G.25. Feature engineering then generated variables available at prediction time, including:</w:t>
      </w:r>
    </w:p>
    <w:p w14:paraId="21DB178E"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current occupancy</w:t>
      </w:r>
    </w:p>
    <w:p w14:paraId="6D2353F6"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occupancy lags of 15, 30, 60 and 120 minutes</w:t>
      </w:r>
    </w:p>
    <w:p w14:paraId="7F58F91A"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rolling mean occupancy</w:t>
      </w:r>
    </w:p>
    <w:p w14:paraId="13595AA7"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rolling occupancy standard deviation</w:t>
      </w:r>
    </w:p>
    <w:p w14:paraId="65F7640D"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sine and cosine time-of-day encoding</w:t>
      </w:r>
    </w:p>
    <w:p w14:paraId="5EC62714"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weekday indicator</w:t>
      </w:r>
    </w:p>
    <w:p w14:paraId="72D61ABB" w14:textId="77777777" w:rsidR="001311AE" w:rsidRPr="005F32CF" w:rsidRDefault="001311AE" w:rsidP="001311AE">
      <w:pPr>
        <w:numPr>
          <w:ilvl w:val="0"/>
          <w:numId w:val="11"/>
        </w:numPr>
        <w:rPr>
          <w:rFonts w:ascii="Times New Roman" w:hAnsi="Times New Roman" w:cs="Times New Roman"/>
          <w:lang w:val="en-AU"/>
        </w:rPr>
      </w:pPr>
      <w:r w:rsidRPr="005F32CF">
        <w:rPr>
          <w:rFonts w:ascii="Times New Roman" w:hAnsi="Times New Roman" w:cs="Times New Roman"/>
          <w:lang w:val="en-AU"/>
        </w:rPr>
        <w:t>weekend indicator</w:t>
      </w:r>
    </w:p>
    <w:p w14:paraId="1ACC6A6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Lag variables allow the models to capture temporal dependence, while rolling statistics summarise recent occupancy behaviour without requiring future information. Time-of-day features account for cyclical daily activity patterns that are common in educational buildings.</w:t>
      </w:r>
    </w:p>
    <w:p w14:paraId="2F1BA00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prediction target was constructed using a negative temporal shift corresponding to two future intervals. Because only the response variable was shifted, no future information was available within the predictors, preventing information leakage during model training.</w:t>
      </w:r>
    </w:p>
    <w:p w14:paraId="51D8055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 chronological 60% training, 20% validation and 20% testing split was adopted rather than random sampling. Time-series forecasting requires preserving temporal ordering so that future observations are never used to predict earlier periods. The validation dataset was used exclusively for model selection, while the test dataset remained untouched until final evaluation.</w:t>
      </w:r>
    </w:p>
    <w:p w14:paraId="6752972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Four forecasting models were compared:</w:t>
      </w:r>
    </w:p>
    <w:p w14:paraId="667E83BE" w14:textId="77777777" w:rsidR="001311AE" w:rsidRPr="005F32CF" w:rsidRDefault="001311AE" w:rsidP="001311AE">
      <w:pPr>
        <w:numPr>
          <w:ilvl w:val="0"/>
          <w:numId w:val="12"/>
        </w:numPr>
        <w:rPr>
          <w:rFonts w:ascii="Times New Roman" w:hAnsi="Times New Roman" w:cs="Times New Roman"/>
          <w:lang w:val="en-AU"/>
        </w:rPr>
      </w:pPr>
      <w:r w:rsidRPr="005F32CF">
        <w:rPr>
          <w:rFonts w:ascii="Times New Roman" w:hAnsi="Times New Roman" w:cs="Times New Roman"/>
          <w:lang w:val="en-AU"/>
        </w:rPr>
        <w:t>Ridge Regression</w:t>
      </w:r>
    </w:p>
    <w:p w14:paraId="1E910D88" w14:textId="77777777" w:rsidR="001311AE" w:rsidRPr="005F32CF" w:rsidRDefault="001311AE" w:rsidP="001311AE">
      <w:pPr>
        <w:numPr>
          <w:ilvl w:val="0"/>
          <w:numId w:val="12"/>
        </w:numPr>
        <w:rPr>
          <w:rFonts w:ascii="Times New Roman" w:hAnsi="Times New Roman" w:cs="Times New Roman"/>
          <w:lang w:val="en-AU"/>
        </w:rPr>
      </w:pPr>
      <w:r w:rsidRPr="005F32CF">
        <w:rPr>
          <w:rFonts w:ascii="Times New Roman" w:hAnsi="Times New Roman" w:cs="Times New Roman"/>
          <w:lang w:val="en-AU"/>
        </w:rPr>
        <w:t>Decision Tree Regression</w:t>
      </w:r>
    </w:p>
    <w:p w14:paraId="3DC0D766" w14:textId="77777777" w:rsidR="001311AE" w:rsidRPr="005F32CF" w:rsidRDefault="001311AE" w:rsidP="001311AE">
      <w:pPr>
        <w:numPr>
          <w:ilvl w:val="0"/>
          <w:numId w:val="12"/>
        </w:numPr>
        <w:rPr>
          <w:rFonts w:ascii="Times New Roman" w:hAnsi="Times New Roman" w:cs="Times New Roman"/>
          <w:lang w:val="en-AU"/>
        </w:rPr>
      </w:pPr>
      <w:r w:rsidRPr="005F32CF">
        <w:rPr>
          <w:rFonts w:ascii="Times New Roman" w:hAnsi="Times New Roman" w:cs="Times New Roman"/>
          <w:lang w:val="en-AU"/>
        </w:rPr>
        <w:t>Support Vector Regression (SVR)</w:t>
      </w:r>
    </w:p>
    <w:p w14:paraId="2A14385A" w14:textId="77777777" w:rsidR="001311AE" w:rsidRPr="005F32CF" w:rsidRDefault="001311AE" w:rsidP="001311AE">
      <w:pPr>
        <w:numPr>
          <w:ilvl w:val="0"/>
          <w:numId w:val="12"/>
        </w:numPr>
        <w:rPr>
          <w:rFonts w:ascii="Times New Roman" w:hAnsi="Times New Roman" w:cs="Times New Roman"/>
          <w:lang w:val="en-AU"/>
        </w:rPr>
      </w:pPr>
      <w:r w:rsidRPr="005F32CF">
        <w:rPr>
          <w:rFonts w:ascii="Times New Roman" w:hAnsi="Times New Roman" w:cs="Times New Roman"/>
          <w:lang w:val="en-AU"/>
        </w:rPr>
        <w:t>Persistence baseline</w:t>
      </w:r>
    </w:p>
    <w:p w14:paraId="64C2956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 weekday/time historical average baseline was also included as a simple operational benchmark.</w:t>
      </w:r>
    </w:p>
    <w:p w14:paraId="17EB9AC5"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Performance was evaluated using multiple complementary metrics. Mean Absolute Error (MAE) measures average prediction error in units of people and is robust to individual outliers. Root Mean Squared Error (RMSE) penalises larger forecasting errors more heavily, making it sensitive to occasional poor predictions. Signed bias indicates whether models systematically overestimate or underestimate occupancy. Runtime was recorded because computational cost is an important engineering consideration for real-time deployment.</w:t>
      </w:r>
    </w:p>
    <w:p w14:paraId="58F69732"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lastRenderedPageBreak/>
        <w:t>4. Validation and model selection</w:t>
      </w:r>
    </w:p>
    <w:p w14:paraId="3113903A"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Model selection was performed exclusively using the validation dataset to ensure that the final test set remained an unbiased estimate of future performance.</w:t>
      </w:r>
    </w:p>
    <w:p w14:paraId="5690CD1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Among the candidate models, Ridge Regression achieved the lowest validation MAE of 1.080 people, slightly outperforming Support Vector Regression (1.131), Decision Tree Regression (1.140) and the persistence baseline (1.152). Although the numerical differences were relatively small, Ridge consistently produced stable predictions with low variance while remaining computationally efficient.</w:t>
      </w:r>
    </w:p>
    <w:p w14:paraId="0C1A061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One advantage of Ridge Regression is that L2 regularisation reduces coefficient instability caused by correlated lag features. Occupancy measurements at neighbouring time intervals are naturally correlated, making regularisation beneficial for improving generalisation. Ridge also produces continuous predictions that are relatively easy to interpret compared with more complex nonlinear models.</w:t>
      </w:r>
    </w:p>
    <w:p w14:paraId="5D6956E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Training time further supported the engineering suitability of Ridge Regression. Model fitting required approximately 0.04 seconds, compared with around 13 seconds for Support Vector Regression. While SVR produced competitive prediction accuracy, its substantially greater computational cost reduces its practicality for frequent retraining or deployment on limited hardware.</w:t>
      </w:r>
    </w:p>
    <w:p w14:paraId="2D38E4D8"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Model correctness was verified using six automated software tests covering:</w:t>
      </w:r>
    </w:p>
    <w:p w14:paraId="7AAFFA06"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resampling correctness</w:t>
      </w:r>
    </w:p>
    <w:p w14:paraId="4C17A3ED"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future-target alignment</w:t>
      </w:r>
    </w:p>
    <w:p w14:paraId="41F89CBB"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chronological data splitting</w:t>
      </w:r>
    </w:p>
    <w:p w14:paraId="79A17F68"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regression metric calculations</w:t>
      </w:r>
    </w:p>
    <w:p w14:paraId="43A1B1F1"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availability classification metrics</w:t>
      </w:r>
    </w:p>
    <w:p w14:paraId="2D343974" w14:textId="77777777" w:rsidR="001311AE" w:rsidRPr="005F32CF" w:rsidRDefault="001311AE" w:rsidP="001311AE">
      <w:pPr>
        <w:numPr>
          <w:ilvl w:val="0"/>
          <w:numId w:val="13"/>
        </w:numPr>
        <w:rPr>
          <w:rFonts w:ascii="Times New Roman" w:hAnsi="Times New Roman" w:cs="Times New Roman"/>
          <w:lang w:val="en-AU"/>
        </w:rPr>
      </w:pPr>
      <w:r w:rsidRPr="005F32CF">
        <w:rPr>
          <w:rFonts w:ascii="Times New Roman" w:hAnsi="Times New Roman" w:cs="Times New Roman"/>
          <w:lang w:val="en-AU"/>
        </w:rPr>
        <w:t>complete end-to-end synthetic pipeline execution</w:t>
      </w:r>
    </w:p>
    <w:p w14:paraId="478CD4E2"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These tests improve confidence that reported results are reproducible and not affected by implementation errors.</w:t>
      </w:r>
    </w:p>
    <w:p w14:paraId="06873FD1" w14:textId="7E07C4AF" w:rsidR="00A3757D" w:rsidRPr="005F32CF" w:rsidRDefault="00000000" w:rsidP="005F32CF">
      <w:pPr>
        <w:rPr>
          <w:rFonts w:ascii="Times New Roman" w:eastAsiaTheme="majorEastAsia" w:hAnsi="Times New Roman" w:cs="Times New Roman"/>
          <w:color w:val="365F91" w:themeColor="accent1" w:themeShade="BF"/>
          <w:sz w:val="28"/>
          <w:szCs w:val="28"/>
        </w:rPr>
      </w:pPr>
      <w:r w:rsidRPr="005F32CF">
        <w:rPr>
          <w:rFonts w:ascii="Times New Roman" w:eastAsiaTheme="majorEastAsia" w:hAnsi="Times New Roman" w:cs="Times New Roman"/>
          <w:color w:val="365F91" w:themeColor="accent1" w:themeShade="BF"/>
          <w:sz w:val="28"/>
          <w:szCs w:val="28"/>
        </w:rPr>
        <w:t>5. Final results and sensitivity</w:t>
      </w:r>
    </w:p>
    <w:p w14:paraId="2D4038BB" w14:textId="15DD91F7" w:rsidR="001311AE" w:rsidRPr="005F32CF" w:rsidRDefault="001311AE" w:rsidP="001311AE">
      <w:pPr>
        <w:rPr>
          <w:rFonts w:ascii="Times New Roman" w:hAnsi="Times New Roman" w:cs="Times New Roman"/>
        </w:rPr>
      </w:pPr>
      <w:r w:rsidRPr="005F32CF">
        <w:rPr>
          <w:rFonts w:ascii="Times New Roman" w:hAnsi="Times New Roman" w:cs="Times New Roman"/>
        </w:rPr>
        <w:t>Forecast performance was evaluated across prediction horizons of 15, 30 and 60 minutes to investigate how forecasting difficulty changes with increasing lead time.</w:t>
      </w:r>
    </w:p>
    <w:tbl>
      <w:tblPr>
        <w:tblStyle w:val="LightShading-Accent1"/>
        <w:tblW w:w="0" w:type="auto"/>
        <w:tblLook w:val="04A0" w:firstRow="1" w:lastRow="0" w:firstColumn="1" w:lastColumn="0" w:noHBand="0" w:noVBand="1"/>
      </w:tblPr>
      <w:tblGrid>
        <w:gridCol w:w="1728"/>
        <w:gridCol w:w="1728"/>
        <w:gridCol w:w="1728"/>
        <w:gridCol w:w="1728"/>
        <w:gridCol w:w="1728"/>
      </w:tblGrid>
      <w:tr w:rsidR="00A3757D" w:rsidRPr="005F32CF" w14:paraId="30ABE7B6" w14:textId="77777777" w:rsidTr="00A3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A7DA52"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Horizon</w:t>
            </w:r>
          </w:p>
        </w:tc>
        <w:tc>
          <w:tcPr>
            <w:tcW w:w="1728" w:type="dxa"/>
          </w:tcPr>
          <w:p w14:paraId="7B6F2166" w14:textId="77777777" w:rsidR="00A3757D" w:rsidRPr="005F32C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F32CF">
              <w:rPr>
                <w:rFonts w:ascii="Times New Roman" w:hAnsi="Times New Roman" w:cs="Times New Roman"/>
                <w:b w:val="0"/>
                <w:bCs w:val="0"/>
              </w:rPr>
              <w:t>Validation winner</w:t>
            </w:r>
          </w:p>
        </w:tc>
        <w:tc>
          <w:tcPr>
            <w:tcW w:w="1728" w:type="dxa"/>
          </w:tcPr>
          <w:p w14:paraId="71614D4C" w14:textId="77777777" w:rsidR="00A3757D" w:rsidRPr="005F32C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gramStart"/>
            <w:r w:rsidRPr="005F32CF">
              <w:rPr>
                <w:rFonts w:ascii="Times New Roman" w:hAnsi="Times New Roman" w:cs="Times New Roman"/>
                <w:b w:val="0"/>
                <w:bCs w:val="0"/>
              </w:rPr>
              <w:t>Final-test</w:t>
            </w:r>
            <w:proofErr w:type="gramEnd"/>
            <w:r w:rsidRPr="005F32CF">
              <w:rPr>
                <w:rFonts w:ascii="Times New Roman" w:hAnsi="Times New Roman" w:cs="Times New Roman"/>
                <w:b w:val="0"/>
                <w:bCs w:val="0"/>
              </w:rPr>
              <w:t xml:space="preserve"> best MAE</w:t>
            </w:r>
          </w:p>
        </w:tc>
        <w:tc>
          <w:tcPr>
            <w:tcW w:w="1728" w:type="dxa"/>
          </w:tcPr>
          <w:p w14:paraId="3CDF5791" w14:textId="77777777" w:rsidR="00A3757D" w:rsidRPr="005F32C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F32CF">
              <w:rPr>
                <w:rFonts w:ascii="Times New Roman" w:hAnsi="Times New Roman" w:cs="Times New Roman"/>
                <w:b w:val="0"/>
                <w:bCs w:val="0"/>
              </w:rPr>
              <w:t>MAE</w:t>
            </w:r>
          </w:p>
        </w:tc>
        <w:tc>
          <w:tcPr>
            <w:tcW w:w="1728" w:type="dxa"/>
          </w:tcPr>
          <w:p w14:paraId="5F2F325C" w14:textId="77777777" w:rsidR="00A3757D" w:rsidRPr="005F32C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F32CF">
              <w:rPr>
                <w:rFonts w:ascii="Times New Roman" w:hAnsi="Times New Roman" w:cs="Times New Roman"/>
                <w:b w:val="0"/>
                <w:bCs w:val="0"/>
              </w:rPr>
              <w:t>Interpretation</w:t>
            </w:r>
          </w:p>
        </w:tc>
      </w:tr>
      <w:tr w:rsidR="00A3757D" w:rsidRPr="005F32CF" w14:paraId="42CC7A50" w14:textId="77777777" w:rsidTr="00A3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E5075C"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15 min</w:t>
            </w:r>
          </w:p>
        </w:tc>
        <w:tc>
          <w:tcPr>
            <w:tcW w:w="1728" w:type="dxa"/>
          </w:tcPr>
          <w:p w14:paraId="665830E2"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Ridge</w:t>
            </w:r>
          </w:p>
        </w:tc>
        <w:tc>
          <w:tcPr>
            <w:tcW w:w="1728" w:type="dxa"/>
          </w:tcPr>
          <w:p w14:paraId="60582D7C"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Persistence</w:t>
            </w:r>
          </w:p>
        </w:tc>
        <w:tc>
          <w:tcPr>
            <w:tcW w:w="1728" w:type="dxa"/>
          </w:tcPr>
          <w:p w14:paraId="31D5D0A7"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0.407</w:t>
            </w:r>
          </w:p>
        </w:tc>
        <w:tc>
          <w:tcPr>
            <w:tcW w:w="1728" w:type="dxa"/>
          </w:tcPr>
          <w:p w14:paraId="72B27201"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Lowest typical error</w:t>
            </w:r>
          </w:p>
        </w:tc>
      </w:tr>
      <w:tr w:rsidR="00A3757D" w:rsidRPr="005F32CF" w14:paraId="54518E58" w14:textId="77777777" w:rsidTr="00A3757D">
        <w:tc>
          <w:tcPr>
            <w:cnfStyle w:val="001000000000" w:firstRow="0" w:lastRow="0" w:firstColumn="1" w:lastColumn="0" w:oddVBand="0" w:evenVBand="0" w:oddHBand="0" w:evenHBand="0" w:firstRowFirstColumn="0" w:firstRowLastColumn="0" w:lastRowFirstColumn="0" w:lastRowLastColumn="0"/>
            <w:tcW w:w="1728" w:type="dxa"/>
          </w:tcPr>
          <w:p w14:paraId="397D22E8"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30 min</w:t>
            </w:r>
          </w:p>
        </w:tc>
        <w:tc>
          <w:tcPr>
            <w:tcW w:w="1728" w:type="dxa"/>
          </w:tcPr>
          <w:p w14:paraId="10B101F0"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Ridge</w:t>
            </w:r>
          </w:p>
        </w:tc>
        <w:tc>
          <w:tcPr>
            <w:tcW w:w="1728" w:type="dxa"/>
          </w:tcPr>
          <w:p w14:paraId="71A41DFD"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Persistence</w:t>
            </w:r>
          </w:p>
        </w:tc>
        <w:tc>
          <w:tcPr>
            <w:tcW w:w="1728" w:type="dxa"/>
          </w:tcPr>
          <w:p w14:paraId="401F6FE4"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0.461</w:t>
            </w:r>
          </w:p>
        </w:tc>
        <w:tc>
          <w:tcPr>
            <w:tcW w:w="1728" w:type="dxa"/>
          </w:tcPr>
          <w:p w14:paraId="111456C5" w14:textId="77777777" w:rsidR="00A3757D" w:rsidRPr="005F32C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Main forecast horizon</w:t>
            </w:r>
          </w:p>
        </w:tc>
      </w:tr>
      <w:tr w:rsidR="00A3757D" w:rsidRPr="005F32CF" w14:paraId="3B6D085B" w14:textId="77777777" w:rsidTr="00A3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CEAA72" w14:textId="77777777" w:rsidR="00A3757D" w:rsidRPr="005F32CF" w:rsidRDefault="00000000">
            <w:pPr>
              <w:rPr>
                <w:rFonts w:ascii="Times New Roman" w:hAnsi="Times New Roman" w:cs="Times New Roman"/>
                <w:b w:val="0"/>
                <w:bCs w:val="0"/>
              </w:rPr>
            </w:pPr>
            <w:r w:rsidRPr="005F32CF">
              <w:rPr>
                <w:rFonts w:ascii="Times New Roman" w:hAnsi="Times New Roman" w:cs="Times New Roman"/>
                <w:b w:val="0"/>
                <w:bCs w:val="0"/>
              </w:rPr>
              <w:t>60 min</w:t>
            </w:r>
          </w:p>
        </w:tc>
        <w:tc>
          <w:tcPr>
            <w:tcW w:w="1728" w:type="dxa"/>
          </w:tcPr>
          <w:p w14:paraId="2E6DC782"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Ridge</w:t>
            </w:r>
          </w:p>
        </w:tc>
        <w:tc>
          <w:tcPr>
            <w:tcW w:w="1728" w:type="dxa"/>
          </w:tcPr>
          <w:p w14:paraId="448B95E0"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Persistence</w:t>
            </w:r>
          </w:p>
        </w:tc>
        <w:tc>
          <w:tcPr>
            <w:tcW w:w="1728" w:type="dxa"/>
          </w:tcPr>
          <w:p w14:paraId="3A018F70"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0.547</w:t>
            </w:r>
          </w:p>
        </w:tc>
        <w:tc>
          <w:tcPr>
            <w:tcW w:w="1728" w:type="dxa"/>
          </w:tcPr>
          <w:p w14:paraId="68E88617" w14:textId="77777777" w:rsidR="00A3757D" w:rsidRPr="005F32C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F32CF">
              <w:rPr>
                <w:rFonts w:ascii="Times New Roman" w:hAnsi="Times New Roman" w:cs="Times New Roman"/>
              </w:rPr>
              <w:t>Error rises with horizon</w:t>
            </w:r>
          </w:p>
        </w:tc>
      </w:tr>
    </w:tbl>
    <w:p w14:paraId="02C16EAA"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Prediction error increased steadily as the forecasting horizon increased. This behaviour is expected because occupancy becomes progressively less predictable as more time elapses between the observation and prediction.</w:t>
      </w:r>
    </w:p>
    <w:p w14:paraId="51BF0F60"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lastRenderedPageBreak/>
        <w:t>For the primary 30-minute forecasting task, persistence unexpectedly achieved the lowest final-test MAE of 0.461 people, followed by SVR (0.507), Ridge (0.579), Decision Tree Regression (0.591) and the weekday/time baseline (1.168).</w:t>
      </w:r>
    </w:p>
    <w:p w14:paraId="29BDC8B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Although persistence produced the lowest MAE, Ridge remained the selected model because model selection had already been completed using the validation dataset. Choosing a different model after examining the test set would introduce selection bias and invalidate the evaluation procedure.</w:t>
      </w:r>
    </w:p>
    <w:p w14:paraId="70CAFCF5"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SVR achieved the lowest RMSE (0.794), suggesting it handled occasional large occupancy changes better than Ridge or persistence. Ridge produced an RMSE of 0.837 while persistence recorded 0.944. Ridge also exhibited a positive prediction bias of approximately 0.272 people, indicating a slight tendency to overestimate future occupancy.</w:t>
      </w:r>
    </w:p>
    <w:p w14:paraId="36573E5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When converted into availability predictions, Ridge achieved:</w:t>
      </w:r>
    </w:p>
    <w:p w14:paraId="4BFF427B" w14:textId="77777777" w:rsidR="001311AE" w:rsidRPr="005F32CF" w:rsidRDefault="001311AE" w:rsidP="001311AE">
      <w:pPr>
        <w:numPr>
          <w:ilvl w:val="0"/>
          <w:numId w:val="14"/>
        </w:numPr>
        <w:rPr>
          <w:rFonts w:ascii="Times New Roman" w:hAnsi="Times New Roman" w:cs="Times New Roman"/>
          <w:lang w:val="en-AU"/>
        </w:rPr>
      </w:pPr>
      <w:r w:rsidRPr="005F32CF">
        <w:rPr>
          <w:rFonts w:ascii="Times New Roman" w:hAnsi="Times New Roman" w:cs="Times New Roman"/>
          <w:lang w:val="en-AU"/>
        </w:rPr>
        <w:t>Accuracy: 64.6%</w:t>
      </w:r>
    </w:p>
    <w:p w14:paraId="1AA64F57" w14:textId="77777777" w:rsidR="001311AE" w:rsidRPr="005F32CF" w:rsidRDefault="001311AE" w:rsidP="001311AE">
      <w:pPr>
        <w:numPr>
          <w:ilvl w:val="0"/>
          <w:numId w:val="14"/>
        </w:numPr>
        <w:rPr>
          <w:rFonts w:ascii="Times New Roman" w:hAnsi="Times New Roman" w:cs="Times New Roman"/>
          <w:lang w:val="en-AU"/>
        </w:rPr>
      </w:pPr>
      <w:r w:rsidRPr="005F32CF">
        <w:rPr>
          <w:rFonts w:ascii="Times New Roman" w:hAnsi="Times New Roman" w:cs="Times New Roman"/>
          <w:lang w:val="en-AU"/>
        </w:rPr>
        <w:t>Precision: 88.1%</w:t>
      </w:r>
    </w:p>
    <w:p w14:paraId="793E6A3C" w14:textId="77777777" w:rsidR="001311AE" w:rsidRPr="005F32CF" w:rsidRDefault="001311AE" w:rsidP="001311AE">
      <w:pPr>
        <w:numPr>
          <w:ilvl w:val="0"/>
          <w:numId w:val="14"/>
        </w:numPr>
        <w:rPr>
          <w:rFonts w:ascii="Times New Roman" w:hAnsi="Times New Roman" w:cs="Times New Roman"/>
          <w:lang w:val="en-AU"/>
        </w:rPr>
      </w:pPr>
      <w:r w:rsidRPr="005F32CF">
        <w:rPr>
          <w:rFonts w:ascii="Times New Roman" w:hAnsi="Times New Roman" w:cs="Times New Roman"/>
          <w:lang w:val="en-AU"/>
        </w:rPr>
        <w:t>Recall: 53.8%</w:t>
      </w:r>
    </w:p>
    <w:p w14:paraId="6A7E7163"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high precision indicates that when the model predicts the laboratory is available, that prediction is usually correct. However, the lower recall demonstrates that many genuinely available periods are missed, making the model conservative rather than overly optimistic.</w:t>
      </w:r>
    </w:p>
    <w:p w14:paraId="02661579"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6. Engineering interpretation and limitations</w:t>
      </w:r>
    </w:p>
    <w:p w14:paraId="00B3FBD0"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From an engineering perspective, the results demonstrate that very short-term occupancy forecasting is dominated by temporal persistence. Laboratory occupancy often changes gradually over 15-minute periods, meaning the current occupancy state is already a strong predictor of near-future conditions.</w:t>
      </w:r>
    </w:p>
    <w:p w14:paraId="13CFFBC2"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Machine learning models become more valuable as forecasting horizons increase or when additional explanatory variables become available. In this dataset, however, occupancy information alone limited the achievable prediction accuracy because sudden arrivals and departures cannot be anticipated from historical headcount alone.</w:t>
      </w:r>
    </w:p>
    <w:p w14:paraId="2CFA06D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The high precision achieved by the Ridge availability classifier makes it suitable as a cautious advisory system. False-positive availability predictions are relatively uncommon, reducing the likelihood of users arriving at an occupied laboratory. The lower recall means some opportunities to use an empty laboratory will be missed, representing a conservative rather than risky operational strategy.</w:t>
      </w:r>
    </w:p>
    <w:p w14:paraId="0EE612E9"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Several limitations should be acknowledged:</w:t>
      </w:r>
    </w:p>
    <w:p w14:paraId="2B701C78"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t>only one laboratory was analysed</w:t>
      </w:r>
    </w:p>
    <w:p w14:paraId="0701030C" w14:textId="77777777" w:rsidR="001311AE" w:rsidRPr="005F32CF" w:rsidRDefault="001311AE" w:rsidP="001311AE">
      <w:pPr>
        <w:numPr>
          <w:ilvl w:val="0"/>
          <w:numId w:val="15"/>
        </w:numPr>
        <w:rPr>
          <w:rFonts w:ascii="Times New Roman" w:hAnsi="Times New Roman" w:cs="Times New Roman"/>
          <w:lang w:val="en-AU"/>
        </w:rPr>
      </w:pPr>
      <w:proofErr w:type="gramStart"/>
      <w:r w:rsidRPr="005F32CF">
        <w:rPr>
          <w:rFonts w:ascii="Times New Roman" w:hAnsi="Times New Roman" w:cs="Times New Roman"/>
          <w:lang w:val="en-AU"/>
        </w:rPr>
        <w:t>no</w:t>
      </w:r>
      <w:proofErr w:type="gramEnd"/>
      <w:r w:rsidRPr="005F32CF">
        <w:rPr>
          <w:rFonts w:ascii="Times New Roman" w:hAnsi="Times New Roman" w:cs="Times New Roman"/>
          <w:lang w:val="en-AU"/>
        </w:rPr>
        <w:t xml:space="preserve"> independently verified ground-truth occupancy</w:t>
      </w:r>
    </w:p>
    <w:p w14:paraId="4CDE9E37"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t>one major sensor outage lasting 21.6 hours</w:t>
      </w:r>
    </w:p>
    <w:p w14:paraId="136884AE"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t>no integration with official booking data</w:t>
      </w:r>
    </w:p>
    <w:p w14:paraId="2BB6B72B"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t>possible metadata mapping uncertainty</w:t>
      </w:r>
    </w:p>
    <w:p w14:paraId="1B9DA9B1"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lastRenderedPageBreak/>
        <w:t>no validated environmental sensor co-location</w:t>
      </w:r>
    </w:p>
    <w:p w14:paraId="0A83A034" w14:textId="77777777" w:rsidR="001311AE" w:rsidRPr="005F32CF" w:rsidRDefault="001311AE" w:rsidP="001311AE">
      <w:pPr>
        <w:numPr>
          <w:ilvl w:val="0"/>
          <w:numId w:val="15"/>
        </w:numPr>
        <w:rPr>
          <w:rFonts w:ascii="Times New Roman" w:hAnsi="Times New Roman" w:cs="Times New Roman"/>
          <w:lang w:val="en-AU"/>
        </w:rPr>
      </w:pPr>
      <w:r w:rsidRPr="005F32CF">
        <w:rPr>
          <w:rFonts w:ascii="Times New Roman" w:hAnsi="Times New Roman" w:cs="Times New Roman"/>
          <w:lang w:val="en-AU"/>
        </w:rPr>
        <w:t>occupancy alone cannot capture scheduled teaching events or spontaneous group arrivals</w:t>
      </w:r>
    </w:p>
    <w:p w14:paraId="215264E7" w14:textId="009DCF69" w:rsidR="00A3757D" w:rsidRPr="005F32CF" w:rsidRDefault="001311AE">
      <w:pPr>
        <w:rPr>
          <w:rFonts w:ascii="Times New Roman" w:hAnsi="Times New Roman" w:cs="Times New Roman"/>
          <w:lang w:val="en-AU"/>
        </w:rPr>
      </w:pPr>
      <w:r w:rsidRPr="005F32CF">
        <w:rPr>
          <w:rFonts w:ascii="Times New Roman" w:hAnsi="Times New Roman" w:cs="Times New Roman"/>
          <w:lang w:val="en-AU"/>
        </w:rPr>
        <w:t>Future work could substantially improve forecasting by incorporating booking schedules, calendar events, multiple rooms, environmental sensors, manual occupancy validation and transition-aware machine learning models such as recurrent neural networks or temporal transformers.</w:t>
      </w:r>
    </w:p>
    <w:p w14:paraId="70F5B042" w14:textId="77777777"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7. Reproducibility, ethics and AI use</w:t>
      </w:r>
    </w:p>
    <w:p w14:paraId="3312E4C3"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Reproducibility was a primary design objective throughout this project. The repository includes all source code, documentation and automated tests required to regenerate every reported result. Raw sensor data were intentionally excluded from version control because they may be subject to licensing or privacy restrictions.</w:t>
      </w:r>
    </w:p>
    <w:p w14:paraId="76DEC8DB"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Repository contents include:</w:t>
      </w:r>
    </w:p>
    <w:p w14:paraId="5BCC665A"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reproducible forecasting pipeline</w:t>
      </w:r>
    </w:p>
    <w:p w14:paraId="4B7F8102"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runbook</w:t>
      </w:r>
    </w:p>
    <w:p w14:paraId="7584FC4B"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data dictionary</w:t>
      </w:r>
    </w:p>
    <w:p w14:paraId="09CFCFE5"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automated unit tests</w:t>
      </w:r>
    </w:p>
    <w:p w14:paraId="04674768"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HTML API documentation</w:t>
      </w:r>
    </w:p>
    <w:p w14:paraId="092B11A3"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sensitivity analysis scripts</w:t>
      </w:r>
    </w:p>
    <w:p w14:paraId="54505E2D" w14:textId="77777777" w:rsidR="001311AE" w:rsidRPr="005F32CF" w:rsidRDefault="001311AE" w:rsidP="001311AE">
      <w:pPr>
        <w:numPr>
          <w:ilvl w:val="0"/>
          <w:numId w:val="16"/>
        </w:numPr>
        <w:rPr>
          <w:rFonts w:ascii="Times New Roman" w:hAnsi="Times New Roman" w:cs="Times New Roman"/>
          <w:lang w:val="en-AU"/>
        </w:rPr>
      </w:pPr>
      <w:r w:rsidRPr="005F32CF">
        <w:rPr>
          <w:rFonts w:ascii="Times New Roman" w:hAnsi="Times New Roman" w:cs="Times New Roman"/>
          <w:lang w:val="en-AU"/>
        </w:rPr>
        <w:t>generated evaluation reports</w:t>
      </w:r>
    </w:p>
    <w:p w14:paraId="2A39B48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All experiments were executed using fixed chronological splits and deterministic preprocessing to ensure that repeated executions produce identical outputs.</w:t>
      </w:r>
    </w:p>
    <w:p w14:paraId="02CF39CC"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Ethical considerations primarily relate to privacy and responsible data use. Although the supplied occupancy information contains no personally identifiable information, occupancy patterns could indirectly reveal building usage. Consequently, the analysis was limited to aggregate occupancy forecasting rather than individual behaviour. The system should therefore be viewed as an operational planning tool rather than a mechanism for monitoring individuals.</w:t>
      </w:r>
    </w:p>
    <w:p w14:paraId="62E8F4AA"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Artificial intelligence tools were used responsibly throughout the project. Codex assisted with planning, code drafting and documentation; however, all engineering decisions, implementation details, experimental design and reported results were manually reviewed and verified against the generated outputs. Complete disclosure of AI assistance is provided within docs/AI_USAGE.md in accordance with the project requirements.</w:t>
      </w:r>
    </w:p>
    <w:p w14:paraId="2DD5915D" w14:textId="77777777" w:rsidR="005F32CF" w:rsidRDefault="005F32CF">
      <w:pPr>
        <w:pStyle w:val="Heading1"/>
        <w:rPr>
          <w:rFonts w:ascii="Times New Roman" w:hAnsi="Times New Roman" w:cs="Times New Roman"/>
          <w:b w:val="0"/>
          <w:bCs w:val="0"/>
        </w:rPr>
      </w:pPr>
    </w:p>
    <w:p w14:paraId="422A4F8F" w14:textId="77777777" w:rsidR="005F32CF" w:rsidRPr="005F32CF" w:rsidRDefault="005F32CF" w:rsidP="005F32CF"/>
    <w:p w14:paraId="22F80A13" w14:textId="5C511669" w:rsidR="001311AE"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lastRenderedPageBreak/>
        <w:t>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gridCol w:w="3224"/>
      </w:tblGrid>
      <w:tr w:rsidR="001311AE" w:rsidRPr="005F32CF" w14:paraId="15EE9A05" w14:textId="77777777">
        <w:trPr>
          <w:tblHeader/>
          <w:tblCellSpacing w:w="15" w:type="dxa"/>
        </w:trPr>
        <w:tc>
          <w:tcPr>
            <w:tcW w:w="0" w:type="auto"/>
            <w:vAlign w:val="center"/>
            <w:hideMark/>
          </w:tcPr>
          <w:p w14:paraId="7094A51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Reference</w:t>
            </w:r>
          </w:p>
        </w:tc>
        <w:tc>
          <w:tcPr>
            <w:tcW w:w="0" w:type="auto"/>
            <w:vAlign w:val="center"/>
            <w:hideMark/>
          </w:tcPr>
          <w:p w14:paraId="118E2A04"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Why it belongs</w:t>
            </w:r>
          </w:p>
        </w:tc>
      </w:tr>
      <w:tr w:rsidR="001311AE" w:rsidRPr="005F32CF" w14:paraId="01C85456" w14:textId="77777777">
        <w:trPr>
          <w:tblCellSpacing w:w="15" w:type="dxa"/>
        </w:trPr>
        <w:tc>
          <w:tcPr>
            <w:tcW w:w="0" w:type="auto"/>
            <w:vAlign w:val="center"/>
            <w:hideMark/>
          </w:tcPr>
          <w:p w14:paraId="7D977EFD"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MMA3001 Project Brief (2026)</w:t>
            </w:r>
          </w:p>
        </w:tc>
        <w:tc>
          <w:tcPr>
            <w:tcW w:w="0" w:type="auto"/>
            <w:vAlign w:val="center"/>
            <w:hideMark/>
          </w:tcPr>
          <w:p w14:paraId="37EFB38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Dataset source</w:t>
            </w:r>
          </w:p>
        </w:tc>
      </w:tr>
      <w:tr w:rsidR="001311AE" w:rsidRPr="005F32CF" w14:paraId="3931DB8E" w14:textId="77777777">
        <w:trPr>
          <w:tblCellSpacing w:w="15" w:type="dxa"/>
        </w:trPr>
        <w:tc>
          <w:tcPr>
            <w:tcW w:w="0" w:type="auto"/>
            <w:vAlign w:val="center"/>
            <w:hideMark/>
          </w:tcPr>
          <w:p w14:paraId="7D58237B"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Scikit-learn User Guide</w:t>
            </w:r>
          </w:p>
        </w:tc>
        <w:tc>
          <w:tcPr>
            <w:tcW w:w="0" w:type="auto"/>
            <w:vAlign w:val="center"/>
            <w:hideMark/>
          </w:tcPr>
          <w:p w14:paraId="39562763"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Algorithms</w:t>
            </w:r>
          </w:p>
        </w:tc>
      </w:tr>
      <w:tr w:rsidR="001311AE" w:rsidRPr="005F32CF" w14:paraId="07DC93A8" w14:textId="77777777">
        <w:trPr>
          <w:tblCellSpacing w:w="15" w:type="dxa"/>
        </w:trPr>
        <w:tc>
          <w:tcPr>
            <w:tcW w:w="0" w:type="auto"/>
            <w:vAlign w:val="center"/>
            <w:hideMark/>
          </w:tcPr>
          <w:p w14:paraId="48C0A137"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Pedregosa et al. (2011) Scikit-learn paper</w:t>
            </w:r>
          </w:p>
        </w:tc>
        <w:tc>
          <w:tcPr>
            <w:tcW w:w="0" w:type="auto"/>
            <w:vAlign w:val="center"/>
            <w:hideMark/>
          </w:tcPr>
          <w:p w14:paraId="20F59186"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Standard ML citation</w:t>
            </w:r>
          </w:p>
        </w:tc>
      </w:tr>
      <w:tr w:rsidR="001311AE" w:rsidRPr="005F32CF" w14:paraId="674E47E8" w14:textId="77777777">
        <w:trPr>
          <w:tblCellSpacing w:w="15" w:type="dxa"/>
        </w:trPr>
        <w:tc>
          <w:tcPr>
            <w:tcW w:w="0" w:type="auto"/>
            <w:vAlign w:val="center"/>
            <w:hideMark/>
          </w:tcPr>
          <w:p w14:paraId="34193C92"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 xml:space="preserve">Hastie, </w:t>
            </w:r>
            <w:proofErr w:type="spellStart"/>
            <w:r w:rsidRPr="005F32CF">
              <w:rPr>
                <w:rFonts w:ascii="Times New Roman" w:hAnsi="Times New Roman" w:cs="Times New Roman"/>
                <w:lang w:val="en-AU"/>
              </w:rPr>
              <w:t>Tibshirani</w:t>
            </w:r>
            <w:proofErr w:type="spellEnd"/>
            <w:r w:rsidRPr="005F32CF">
              <w:rPr>
                <w:rFonts w:ascii="Times New Roman" w:hAnsi="Times New Roman" w:cs="Times New Roman"/>
                <w:lang w:val="en-AU"/>
              </w:rPr>
              <w:t xml:space="preserve"> &amp; Friedman (2009)</w:t>
            </w:r>
          </w:p>
        </w:tc>
        <w:tc>
          <w:tcPr>
            <w:tcW w:w="0" w:type="auto"/>
            <w:vAlign w:val="center"/>
            <w:hideMark/>
          </w:tcPr>
          <w:p w14:paraId="47356AC8"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Statistical learning</w:t>
            </w:r>
          </w:p>
        </w:tc>
      </w:tr>
      <w:tr w:rsidR="001311AE" w:rsidRPr="005F32CF" w14:paraId="7B507803" w14:textId="77777777">
        <w:trPr>
          <w:tblCellSpacing w:w="15" w:type="dxa"/>
        </w:trPr>
        <w:tc>
          <w:tcPr>
            <w:tcW w:w="0" w:type="auto"/>
            <w:vAlign w:val="center"/>
            <w:hideMark/>
          </w:tcPr>
          <w:p w14:paraId="41297389"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 xml:space="preserve">James et al. (2021), </w:t>
            </w:r>
            <w:r w:rsidRPr="005F32CF">
              <w:rPr>
                <w:rFonts w:ascii="Times New Roman" w:hAnsi="Times New Roman" w:cs="Times New Roman"/>
                <w:i/>
                <w:iCs/>
                <w:lang w:val="en-AU"/>
              </w:rPr>
              <w:t>Introduction to Statistical Learning</w:t>
            </w:r>
          </w:p>
        </w:tc>
        <w:tc>
          <w:tcPr>
            <w:tcW w:w="0" w:type="auto"/>
            <w:vAlign w:val="center"/>
            <w:hideMark/>
          </w:tcPr>
          <w:p w14:paraId="6E4229F4"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Ridge regression theory</w:t>
            </w:r>
          </w:p>
        </w:tc>
      </w:tr>
      <w:tr w:rsidR="001311AE" w:rsidRPr="005F32CF" w14:paraId="3B803E92" w14:textId="77777777">
        <w:trPr>
          <w:tblCellSpacing w:w="15" w:type="dxa"/>
        </w:trPr>
        <w:tc>
          <w:tcPr>
            <w:tcW w:w="0" w:type="auto"/>
            <w:vAlign w:val="center"/>
            <w:hideMark/>
          </w:tcPr>
          <w:p w14:paraId="59190D64"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Hyndman &amp; Athanasopoulos (2021)</w:t>
            </w:r>
          </w:p>
        </w:tc>
        <w:tc>
          <w:tcPr>
            <w:tcW w:w="0" w:type="auto"/>
            <w:vAlign w:val="center"/>
            <w:hideMark/>
          </w:tcPr>
          <w:p w14:paraId="31238A5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Forecasting principles</w:t>
            </w:r>
          </w:p>
        </w:tc>
      </w:tr>
      <w:tr w:rsidR="001311AE" w:rsidRPr="005F32CF" w14:paraId="67A0A62F" w14:textId="77777777">
        <w:trPr>
          <w:tblCellSpacing w:w="15" w:type="dxa"/>
        </w:trPr>
        <w:tc>
          <w:tcPr>
            <w:tcW w:w="0" w:type="auto"/>
            <w:vAlign w:val="center"/>
            <w:hideMark/>
          </w:tcPr>
          <w:p w14:paraId="41ED3BA2"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 xml:space="preserve">Montgomery, Jennings &amp; </w:t>
            </w:r>
            <w:proofErr w:type="spellStart"/>
            <w:r w:rsidRPr="005F32CF">
              <w:rPr>
                <w:rFonts w:ascii="Times New Roman" w:hAnsi="Times New Roman" w:cs="Times New Roman"/>
                <w:lang w:val="en-AU"/>
              </w:rPr>
              <w:t>Kulahci</w:t>
            </w:r>
            <w:proofErr w:type="spellEnd"/>
            <w:r w:rsidRPr="005F32CF">
              <w:rPr>
                <w:rFonts w:ascii="Times New Roman" w:hAnsi="Times New Roman" w:cs="Times New Roman"/>
                <w:lang w:val="en-AU"/>
              </w:rPr>
              <w:t xml:space="preserve"> (2015)</w:t>
            </w:r>
          </w:p>
        </w:tc>
        <w:tc>
          <w:tcPr>
            <w:tcW w:w="0" w:type="auto"/>
            <w:vAlign w:val="center"/>
            <w:hideMark/>
          </w:tcPr>
          <w:p w14:paraId="45159277"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Time-series engineering</w:t>
            </w:r>
          </w:p>
        </w:tc>
      </w:tr>
      <w:tr w:rsidR="001311AE" w:rsidRPr="005F32CF" w14:paraId="0F9DF5DC" w14:textId="77777777">
        <w:trPr>
          <w:tblCellSpacing w:w="15" w:type="dxa"/>
        </w:trPr>
        <w:tc>
          <w:tcPr>
            <w:tcW w:w="0" w:type="auto"/>
            <w:vAlign w:val="center"/>
            <w:hideMark/>
          </w:tcPr>
          <w:p w14:paraId="191459C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Kuhn &amp; Johnson (2019)</w:t>
            </w:r>
          </w:p>
        </w:tc>
        <w:tc>
          <w:tcPr>
            <w:tcW w:w="0" w:type="auto"/>
            <w:vAlign w:val="center"/>
            <w:hideMark/>
          </w:tcPr>
          <w:p w14:paraId="3CC5E98F"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Feature engineering/model validation</w:t>
            </w:r>
          </w:p>
        </w:tc>
      </w:tr>
      <w:tr w:rsidR="001311AE" w:rsidRPr="005F32CF" w14:paraId="36D09415" w14:textId="77777777">
        <w:trPr>
          <w:tblCellSpacing w:w="15" w:type="dxa"/>
        </w:trPr>
        <w:tc>
          <w:tcPr>
            <w:tcW w:w="0" w:type="auto"/>
            <w:vAlign w:val="center"/>
            <w:hideMark/>
          </w:tcPr>
          <w:p w14:paraId="39EDA368"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IEEE/ASHRAE smart buildings literature</w:t>
            </w:r>
          </w:p>
        </w:tc>
        <w:tc>
          <w:tcPr>
            <w:tcW w:w="0" w:type="auto"/>
            <w:vAlign w:val="center"/>
            <w:hideMark/>
          </w:tcPr>
          <w:p w14:paraId="6CA2A63E"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Occupancy forecasting motivation</w:t>
            </w:r>
          </w:p>
        </w:tc>
      </w:tr>
      <w:tr w:rsidR="001311AE" w:rsidRPr="005F32CF" w14:paraId="1AAA848E" w14:textId="77777777">
        <w:trPr>
          <w:tblCellSpacing w:w="15" w:type="dxa"/>
        </w:trPr>
        <w:tc>
          <w:tcPr>
            <w:tcW w:w="0" w:type="auto"/>
            <w:vAlign w:val="center"/>
            <w:hideMark/>
          </w:tcPr>
          <w:p w14:paraId="7ACDB155"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Monash dataset documentation</w:t>
            </w:r>
          </w:p>
        </w:tc>
        <w:tc>
          <w:tcPr>
            <w:tcW w:w="0" w:type="auto"/>
            <w:vAlign w:val="center"/>
            <w:hideMark/>
          </w:tcPr>
          <w:p w14:paraId="40190390" w14:textId="77777777" w:rsidR="001311AE" w:rsidRPr="005F32CF" w:rsidRDefault="001311AE" w:rsidP="001311AE">
            <w:pPr>
              <w:rPr>
                <w:rFonts w:ascii="Times New Roman" w:hAnsi="Times New Roman" w:cs="Times New Roman"/>
                <w:lang w:val="en-AU"/>
              </w:rPr>
            </w:pPr>
            <w:r w:rsidRPr="005F32CF">
              <w:rPr>
                <w:rFonts w:ascii="Times New Roman" w:hAnsi="Times New Roman" w:cs="Times New Roman"/>
                <w:lang w:val="en-AU"/>
              </w:rPr>
              <w:t>Dataset</w:t>
            </w:r>
          </w:p>
        </w:tc>
      </w:tr>
    </w:tbl>
    <w:p w14:paraId="17B6F7B1" w14:textId="2FC4D143" w:rsidR="00A3757D" w:rsidRPr="005F32CF" w:rsidRDefault="00000000">
      <w:pPr>
        <w:pStyle w:val="Heading1"/>
        <w:rPr>
          <w:rFonts w:ascii="Times New Roman" w:hAnsi="Times New Roman" w:cs="Times New Roman"/>
          <w:b w:val="0"/>
          <w:bCs w:val="0"/>
        </w:rPr>
      </w:pPr>
      <w:r w:rsidRPr="005F32CF">
        <w:rPr>
          <w:rFonts w:ascii="Times New Roman" w:hAnsi="Times New Roman" w:cs="Times New Roman"/>
          <w:b w:val="0"/>
          <w:bCs w:val="0"/>
        </w:rPr>
        <w:t>Appen</w:t>
      </w:r>
      <w:r w:rsidR="005F32CF">
        <w:rPr>
          <w:rFonts w:ascii="Times New Roman" w:hAnsi="Times New Roman" w:cs="Times New Roman"/>
          <w:b w:val="0"/>
          <w:bCs w:val="0"/>
        </w:rPr>
        <w:t>d</w:t>
      </w:r>
      <w:r w:rsidRPr="005F32CF">
        <w:rPr>
          <w:rFonts w:ascii="Times New Roman" w:hAnsi="Times New Roman" w:cs="Times New Roman"/>
          <w:b w:val="0"/>
          <w:bCs w:val="0"/>
        </w:rPr>
        <w:t>ix: repository evidence</w:t>
      </w:r>
    </w:p>
    <w:p w14:paraId="2B8804C4"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Appendix A. Repository Evidence</w:t>
      </w:r>
    </w:p>
    <w:p w14:paraId="1C2B985D"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The submitted repository contains all source code, documentation and automated tests required to reproduce the reported results.</w:t>
      </w:r>
    </w:p>
    <w:p w14:paraId="4F80F45C"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Source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612"/>
      </w:tblGrid>
      <w:tr w:rsidR="005F32CF" w:rsidRPr="005F32CF" w14:paraId="1AF68F11" w14:textId="77777777">
        <w:trPr>
          <w:tblHeader/>
          <w:tblCellSpacing w:w="15" w:type="dxa"/>
        </w:trPr>
        <w:tc>
          <w:tcPr>
            <w:tcW w:w="0" w:type="auto"/>
            <w:vAlign w:val="center"/>
            <w:hideMark/>
          </w:tcPr>
          <w:p w14:paraId="55E7FA44"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File</w:t>
            </w:r>
          </w:p>
        </w:tc>
        <w:tc>
          <w:tcPr>
            <w:tcW w:w="0" w:type="auto"/>
            <w:vAlign w:val="center"/>
            <w:hideMark/>
          </w:tcPr>
          <w:p w14:paraId="3F78DE57"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Purpose</w:t>
            </w:r>
          </w:p>
        </w:tc>
      </w:tr>
      <w:tr w:rsidR="005F32CF" w:rsidRPr="005F32CF" w14:paraId="10B07A0A" w14:textId="77777777">
        <w:trPr>
          <w:tblCellSpacing w:w="15" w:type="dxa"/>
        </w:trPr>
        <w:tc>
          <w:tcPr>
            <w:tcW w:w="0" w:type="auto"/>
            <w:vAlign w:val="center"/>
            <w:hideMark/>
          </w:tcPr>
          <w:p w14:paraId="7FDB4262"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src/occupancy/pipeline.py</w:t>
            </w:r>
          </w:p>
        </w:tc>
        <w:tc>
          <w:tcPr>
            <w:tcW w:w="0" w:type="auto"/>
            <w:vAlign w:val="center"/>
            <w:hideMark/>
          </w:tcPr>
          <w:p w14:paraId="198EA72F"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Complete forecasting pipeline</w:t>
            </w:r>
          </w:p>
        </w:tc>
      </w:tr>
      <w:tr w:rsidR="005F32CF" w:rsidRPr="005F32CF" w14:paraId="6CE15FF6" w14:textId="77777777">
        <w:trPr>
          <w:tblCellSpacing w:w="15" w:type="dxa"/>
        </w:trPr>
        <w:tc>
          <w:tcPr>
            <w:tcW w:w="0" w:type="auto"/>
            <w:vAlign w:val="center"/>
            <w:hideMark/>
          </w:tcPr>
          <w:p w14:paraId="5D467B71"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src/occupancy/features.py</w:t>
            </w:r>
          </w:p>
        </w:tc>
        <w:tc>
          <w:tcPr>
            <w:tcW w:w="0" w:type="auto"/>
            <w:vAlign w:val="center"/>
            <w:hideMark/>
          </w:tcPr>
          <w:p w14:paraId="73FA8586"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Feature engineering</w:t>
            </w:r>
          </w:p>
        </w:tc>
      </w:tr>
      <w:tr w:rsidR="005F32CF" w:rsidRPr="005F32CF" w14:paraId="1AE8E8DE" w14:textId="77777777">
        <w:trPr>
          <w:tblCellSpacing w:w="15" w:type="dxa"/>
        </w:trPr>
        <w:tc>
          <w:tcPr>
            <w:tcW w:w="0" w:type="auto"/>
            <w:vAlign w:val="center"/>
            <w:hideMark/>
          </w:tcPr>
          <w:p w14:paraId="1D2B4AFE"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src/occupancy/models.py</w:t>
            </w:r>
          </w:p>
        </w:tc>
        <w:tc>
          <w:tcPr>
            <w:tcW w:w="0" w:type="auto"/>
            <w:vAlign w:val="center"/>
            <w:hideMark/>
          </w:tcPr>
          <w:p w14:paraId="20E8B809"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Model training and evaluation</w:t>
            </w:r>
          </w:p>
        </w:tc>
      </w:tr>
      <w:tr w:rsidR="005F32CF" w:rsidRPr="005F32CF" w14:paraId="0241267D" w14:textId="77777777">
        <w:trPr>
          <w:tblCellSpacing w:w="15" w:type="dxa"/>
        </w:trPr>
        <w:tc>
          <w:tcPr>
            <w:tcW w:w="0" w:type="auto"/>
            <w:vAlign w:val="center"/>
            <w:hideMark/>
          </w:tcPr>
          <w:p w14:paraId="743A5DF1"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src/occupancy/audit.py</w:t>
            </w:r>
          </w:p>
        </w:tc>
        <w:tc>
          <w:tcPr>
            <w:tcW w:w="0" w:type="auto"/>
            <w:vAlign w:val="center"/>
            <w:hideMark/>
          </w:tcPr>
          <w:p w14:paraId="7E32E9D2"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Dataset auditing</w:t>
            </w:r>
          </w:p>
        </w:tc>
      </w:tr>
      <w:tr w:rsidR="005F32CF" w:rsidRPr="005F32CF" w14:paraId="71635849" w14:textId="77777777">
        <w:trPr>
          <w:tblCellSpacing w:w="15" w:type="dxa"/>
        </w:trPr>
        <w:tc>
          <w:tcPr>
            <w:tcW w:w="0" w:type="auto"/>
            <w:vAlign w:val="center"/>
            <w:hideMark/>
          </w:tcPr>
          <w:p w14:paraId="186E2D01"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src/occupancy/sensitivity.py</w:t>
            </w:r>
          </w:p>
        </w:tc>
        <w:tc>
          <w:tcPr>
            <w:tcW w:w="0" w:type="auto"/>
            <w:vAlign w:val="center"/>
            <w:hideMark/>
          </w:tcPr>
          <w:p w14:paraId="55C13D8E"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Forecast horizon analysis</w:t>
            </w:r>
          </w:p>
        </w:tc>
      </w:tr>
    </w:tbl>
    <w:p w14:paraId="6A2A7BA2" w14:textId="77777777" w:rsidR="005F32CF" w:rsidRDefault="005F32CF" w:rsidP="005F32CF">
      <w:pPr>
        <w:rPr>
          <w:rFonts w:ascii="Times New Roman" w:hAnsi="Times New Roman" w:cs="Times New Roman"/>
          <w:b/>
          <w:bCs/>
          <w:lang w:val="en-AU"/>
        </w:rPr>
      </w:pPr>
    </w:p>
    <w:p w14:paraId="7DAF045B" w14:textId="77777777" w:rsidR="005F32CF" w:rsidRDefault="005F32CF" w:rsidP="005F32CF">
      <w:pPr>
        <w:rPr>
          <w:rFonts w:ascii="Times New Roman" w:hAnsi="Times New Roman" w:cs="Times New Roman"/>
          <w:b/>
          <w:bCs/>
          <w:lang w:val="en-AU"/>
        </w:rPr>
      </w:pPr>
    </w:p>
    <w:p w14:paraId="4A42A0D8" w14:textId="77777777" w:rsidR="005F32CF" w:rsidRDefault="005F32CF" w:rsidP="005F32CF">
      <w:pPr>
        <w:rPr>
          <w:rFonts w:ascii="Times New Roman" w:hAnsi="Times New Roman" w:cs="Times New Roman"/>
          <w:b/>
          <w:bCs/>
          <w:lang w:val="en-AU"/>
        </w:rPr>
      </w:pPr>
    </w:p>
    <w:p w14:paraId="0D8254AE" w14:textId="77777777" w:rsidR="005F32CF" w:rsidRDefault="005F32CF" w:rsidP="005F32CF">
      <w:pPr>
        <w:rPr>
          <w:rFonts w:ascii="Times New Roman" w:hAnsi="Times New Roman" w:cs="Times New Roman"/>
          <w:b/>
          <w:bCs/>
          <w:lang w:val="en-AU"/>
        </w:rPr>
      </w:pPr>
    </w:p>
    <w:p w14:paraId="5F2154FE" w14:textId="79214C8A"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lastRenderedPageBreak/>
        <w:t>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793"/>
      </w:tblGrid>
      <w:tr w:rsidR="005F32CF" w:rsidRPr="005F32CF" w14:paraId="6D6D7D8E" w14:textId="77777777">
        <w:trPr>
          <w:tblHeader/>
          <w:tblCellSpacing w:w="15" w:type="dxa"/>
        </w:trPr>
        <w:tc>
          <w:tcPr>
            <w:tcW w:w="0" w:type="auto"/>
            <w:vAlign w:val="center"/>
            <w:hideMark/>
          </w:tcPr>
          <w:p w14:paraId="178E643D"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File</w:t>
            </w:r>
          </w:p>
        </w:tc>
        <w:tc>
          <w:tcPr>
            <w:tcW w:w="0" w:type="auto"/>
            <w:vAlign w:val="center"/>
            <w:hideMark/>
          </w:tcPr>
          <w:p w14:paraId="4CA83E5E"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Purpose</w:t>
            </w:r>
          </w:p>
        </w:tc>
      </w:tr>
      <w:tr w:rsidR="005F32CF" w:rsidRPr="005F32CF" w14:paraId="6623B5E4" w14:textId="77777777">
        <w:trPr>
          <w:tblCellSpacing w:w="15" w:type="dxa"/>
        </w:trPr>
        <w:tc>
          <w:tcPr>
            <w:tcW w:w="0" w:type="auto"/>
            <w:vAlign w:val="center"/>
            <w:hideMark/>
          </w:tcPr>
          <w:p w14:paraId="1C768F86"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README.md</w:t>
            </w:r>
          </w:p>
        </w:tc>
        <w:tc>
          <w:tcPr>
            <w:tcW w:w="0" w:type="auto"/>
            <w:vAlign w:val="center"/>
            <w:hideMark/>
          </w:tcPr>
          <w:p w14:paraId="0B6CC08E"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Project overview</w:t>
            </w:r>
          </w:p>
        </w:tc>
      </w:tr>
      <w:tr w:rsidR="005F32CF" w:rsidRPr="005F32CF" w14:paraId="49A2C4ED" w14:textId="77777777">
        <w:trPr>
          <w:tblCellSpacing w:w="15" w:type="dxa"/>
        </w:trPr>
        <w:tc>
          <w:tcPr>
            <w:tcW w:w="0" w:type="auto"/>
            <w:vAlign w:val="center"/>
            <w:hideMark/>
          </w:tcPr>
          <w:p w14:paraId="0305CF69"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RUNBOOK.md</w:t>
            </w:r>
          </w:p>
        </w:tc>
        <w:tc>
          <w:tcPr>
            <w:tcW w:w="0" w:type="auto"/>
            <w:vAlign w:val="center"/>
            <w:hideMark/>
          </w:tcPr>
          <w:p w14:paraId="10F2B1FC"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Complete execution instructions</w:t>
            </w:r>
          </w:p>
        </w:tc>
      </w:tr>
      <w:tr w:rsidR="005F32CF" w:rsidRPr="005F32CF" w14:paraId="2E767E96" w14:textId="77777777">
        <w:trPr>
          <w:tblCellSpacing w:w="15" w:type="dxa"/>
        </w:trPr>
        <w:tc>
          <w:tcPr>
            <w:tcW w:w="0" w:type="auto"/>
            <w:vAlign w:val="center"/>
            <w:hideMark/>
          </w:tcPr>
          <w:p w14:paraId="0469814E"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DATA_AUDIT.md</w:t>
            </w:r>
          </w:p>
        </w:tc>
        <w:tc>
          <w:tcPr>
            <w:tcW w:w="0" w:type="auto"/>
            <w:vAlign w:val="center"/>
            <w:hideMark/>
          </w:tcPr>
          <w:p w14:paraId="5E925291"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Data quality assessment</w:t>
            </w:r>
          </w:p>
        </w:tc>
      </w:tr>
      <w:tr w:rsidR="005F32CF" w:rsidRPr="005F32CF" w14:paraId="52B64AF6" w14:textId="77777777">
        <w:trPr>
          <w:tblCellSpacing w:w="15" w:type="dxa"/>
        </w:trPr>
        <w:tc>
          <w:tcPr>
            <w:tcW w:w="0" w:type="auto"/>
            <w:vAlign w:val="center"/>
            <w:hideMark/>
          </w:tcPr>
          <w:p w14:paraId="12E30847"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AI_USAGE.md</w:t>
            </w:r>
          </w:p>
        </w:tc>
        <w:tc>
          <w:tcPr>
            <w:tcW w:w="0" w:type="auto"/>
            <w:vAlign w:val="center"/>
            <w:hideMark/>
          </w:tcPr>
          <w:p w14:paraId="2AC13FB8"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AI disclosure</w:t>
            </w:r>
          </w:p>
        </w:tc>
      </w:tr>
      <w:tr w:rsidR="005F32CF" w:rsidRPr="005F32CF" w14:paraId="7372C53E" w14:textId="77777777">
        <w:trPr>
          <w:tblCellSpacing w:w="15" w:type="dxa"/>
        </w:trPr>
        <w:tc>
          <w:tcPr>
            <w:tcW w:w="0" w:type="auto"/>
            <w:vAlign w:val="center"/>
            <w:hideMark/>
          </w:tcPr>
          <w:p w14:paraId="3666A665"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HTML documentation</w:t>
            </w:r>
          </w:p>
        </w:tc>
        <w:tc>
          <w:tcPr>
            <w:tcW w:w="0" w:type="auto"/>
            <w:vAlign w:val="center"/>
            <w:hideMark/>
          </w:tcPr>
          <w:p w14:paraId="1B0A412B"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API reference</w:t>
            </w:r>
          </w:p>
        </w:tc>
      </w:tr>
    </w:tbl>
    <w:p w14:paraId="38245D2E" w14:textId="77777777" w:rsidR="005F32CF" w:rsidRDefault="005F32CF" w:rsidP="005F32CF">
      <w:pPr>
        <w:rPr>
          <w:rFonts w:ascii="Times New Roman" w:hAnsi="Times New Roman" w:cs="Times New Roman"/>
          <w:b/>
          <w:bCs/>
          <w:lang w:val="en-AU"/>
        </w:rPr>
      </w:pPr>
    </w:p>
    <w:p w14:paraId="3123CC4D" w14:textId="5BF74524"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2887"/>
      </w:tblGrid>
      <w:tr w:rsidR="005F32CF" w:rsidRPr="005F32CF" w14:paraId="24AFA86C" w14:textId="77777777">
        <w:trPr>
          <w:tblHeader/>
          <w:tblCellSpacing w:w="15" w:type="dxa"/>
        </w:trPr>
        <w:tc>
          <w:tcPr>
            <w:tcW w:w="0" w:type="auto"/>
            <w:vAlign w:val="center"/>
            <w:hideMark/>
          </w:tcPr>
          <w:p w14:paraId="14740032"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File</w:t>
            </w:r>
          </w:p>
        </w:tc>
        <w:tc>
          <w:tcPr>
            <w:tcW w:w="0" w:type="auto"/>
            <w:vAlign w:val="center"/>
            <w:hideMark/>
          </w:tcPr>
          <w:p w14:paraId="41383756"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Purpose</w:t>
            </w:r>
          </w:p>
        </w:tc>
      </w:tr>
      <w:tr w:rsidR="005F32CF" w:rsidRPr="005F32CF" w14:paraId="596DC1A2" w14:textId="77777777">
        <w:trPr>
          <w:tblCellSpacing w:w="15" w:type="dxa"/>
        </w:trPr>
        <w:tc>
          <w:tcPr>
            <w:tcW w:w="0" w:type="auto"/>
            <w:vAlign w:val="center"/>
            <w:hideMark/>
          </w:tcPr>
          <w:p w14:paraId="01DD0A55"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metrics_validation.csv</w:t>
            </w:r>
          </w:p>
        </w:tc>
        <w:tc>
          <w:tcPr>
            <w:tcW w:w="0" w:type="auto"/>
            <w:vAlign w:val="center"/>
            <w:hideMark/>
          </w:tcPr>
          <w:p w14:paraId="17E22337"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Validation metrics</w:t>
            </w:r>
          </w:p>
        </w:tc>
      </w:tr>
      <w:tr w:rsidR="005F32CF" w:rsidRPr="005F32CF" w14:paraId="27F62E73" w14:textId="77777777">
        <w:trPr>
          <w:tblCellSpacing w:w="15" w:type="dxa"/>
        </w:trPr>
        <w:tc>
          <w:tcPr>
            <w:tcW w:w="0" w:type="auto"/>
            <w:vAlign w:val="center"/>
            <w:hideMark/>
          </w:tcPr>
          <w:p w14:paraId="62AA4DB9"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metrics_final_test.csv</w:t>
            </w:r>
          </w:p>
        </w:tc>
        <w:tc>
          <w:tcPr>
            <w:tcW w:w="0" w:type="auto"/>
            <w:vAlign w:val="center"/>
            <w:hideMark/>
          </w:tcPr>
          <w:p w14:paraId="3A74A54C"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Final evaluation</w:t>
            </w:r>
          </w:p>
        </w:tc>
      </w:tr>
      <w:tr w:rsidR="005F32CF" w:rsidRPr="005F32CF" w14:paraId="1F0EFBD9" w14:textId="77777777">
        <w:trPr>
          <w:tblCellSpacing w:w="15" w:type="dxa"/>
        </w:trPr>
        <w:tc>
          <w:tcPr>
            <w:tcW w:w="0" w:type="auto"/>
            <w:vAlign w:val="center"/>
            <w:hideMark/>
          </w:tcPr>
          <w:p w14:paraId="2A60C373"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horizon_sensitivity.csv</w:t>
            </w:r>
          </w:p>
        </w:tc>
        <w:tc>
          <w:tcPr>
            <w:tcW w:w="0" w:type="auto"/>
            <w:vAlign w:val="center"/>
            <w:hideMark/>
          </w:tcPr>
          <w:p w14:paraId="5D36EC2A" w14:textId="77777777" w:rsidR="005F32CF" w:rsidRPr="005F32CF" w:rsidRDefault="005F32CF" w:rsidP="005F32CF">
            <w:pPr>
              <w:rPr>
                <w:rFonts w:ascii="Times New Roman" w:hAnsi="Times New Roman" w:cs="Times New Roman"/>
                <w:lang w:val="en-AU"/>
              </w:rPr>
            </w:pPr>
            <w:proofErr w:type="gramStart"/>
            <w:r w:rsidRPr="005F32CF">
              <w:rPr>
                <w:rFonts w:ascii="Times New Roman" w:hAnsi="Times New Roman" w:cs="Times New Roman"/>
                <w:lang w:val="en-AU"/>
              </w:rPr>
              <w:t>15, 30 and 60 minute</w:t>
            </w:r>
            <w:proofErr w:type="gramEnd"/>
            <w:r w:rsidRPr="005F32CF">
              <w:rPr>
                <w:rFonts w:ascii="Times New Roman" w:hAnsi="Times New Roman" w:cs="Times New Roman"/>
                <w:lang w:val="en-AU"/>
              </w:rPr>
              <w:t xml:space="preserve"> comparison</w:t>
            </w:r>
          </w:p>
        </w:tc>
      </w:tr>
      <w:tr w:rsidR="005F32CF" w:rsidRPr="005F32CF" w14:paraId="5E5A0179" w14:textId="77777777">
        <w:trPr>
          <w:tblCellSpacing w:w="15" w:type="dxa"/>
        </w:trPr>
        <w:tc>
          <w:tcPr>
            <w:tcW w:w="0" w:type="auto"/>
            <w:vAlign w:val="center"/>
            <w:hideMark/>
          </w:tcPr>
          <w:p w14:paraId="1CE07F96"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g25_30min_forecast_last_week.png</w:t>
            </w:r>
          </w:p>
        </w:tc>
        <w:tc>
          <w:tcPr>
            <w:tcW w:w="0" w:type="auto"/>
            <w:vAlign w:val="center"/>
            <w:hideMark/>
          </w:tcPr>
          <w:p w14:paraId="6B8B6978"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Forecast visualisation</w:t>
            </w:r>
          </w:p>
        </w:tc>
      </w:tr>
      <w:tr w:rsidR="005F32CF" w:rsidRPr="005F32CF" w14:paraId="3B5EB4B8" w14:textId="77777777">
        <w:trPr>
          <w:tblCellSpacing w:w="15" w:type="dxa"/>
        </w:trPr>
        <w:tc>
          <w:tcPr>
            <w:tcW w:w="0" w:type="auto"/>
            <w:vAlign w:val="center"/>
            <w:hideMark/>
          </w:tcPr>
          <w:p w14:paraId="3DF779EA"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g25_30min_mae_comparison.png</w:t>
            </w:r>
          </w:p>
        </w:tc>
        <w:tc>
          <w:tcPr>
            <w:tcW w:w="0" w:type="auto"/>
            <w:vAlign w:val="center"/>
            <w:hideMark/>
          </w:tcPr>
          <w:p w14:paraId="5A0CE29E"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Model comparison</w:t>
            </w:r>
          </w:p>
        </w:tc>
      </w:tr>
      <w:tr w:rsidR="005F32CF" w:rsidRPr="005F32CF" w14:paraId="07C67E84" w14:textId="77777777">
        <w:trPr>
          <w:tblCellSpacing w:w="15" w:type="dxa"/>
        </w:trPr>
        <w:tc>
          <w:tcPr>
            <w:tcW w:w="0" w:type="auto"/>
            <w:vAlign w:val="center"/>
            <w:hideMark/>
          </w:tcPr>
          <w:p w14:paraId="3B47D135"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test-report.html</w:t>
            </w:r>
          </w:p>
        </w:tc>
        <w:tc>
          <w:tcPr>
            <w:tcW w:w="0" w:type="auto"/>
            <w:vAlign w:val="center"/>
            <w:hideMark/>
          </w:tcPr>
          <w:p w14:paraId="4D31BA57"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Automated testing</w:t>
            </w:r>
          </w:p>
        </w:tc>
      </w:tr>
    </w:tbl>
    <w:p w14:paraId="2CFE2862" w14:textId="77777777" w:rsidR="005F32CF" w:rsidRPr="005F32CF" w:rsidRDefault="005F32CF" w:rsidP="005F32CF">
      <w:pPr>
        <w:rPr>
          <w:rFonts w:ascii="Times New Roman" w:hAnsi="Times New Roman" w:cs="Times New Roman"/>
          <w:b/>
          <w:bCs/>
          <w:lang w:val="en-AU"/>
        </w:rPr>
      </w:pPr>
      <w:r w:rsidRPr="005F32CF">
        <w:rPr>
          <w:rFonts w:ascii="Times New Roman" w:hAnsi="Times New Roman" w:cs="Times New Roman"/>
          <w:b/>
          <w:bCs/>
          <w:lang w:val="en-AU"/>
        </w:rPr>
        <w:t>Software verification</w:t>
      </w:r>
    </w:p>
    <w:p w14:paraId="2D5FF15F"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The repository contains six automated tests covering:</w:t>
      </w:r>
    </w:p>
    <w:p w14:paraId="54BBA513"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resampling correctness</w:t>
      </w:r>
    </w:p>
    <w:p w14:paraId="3DB8A265"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future target alignment</w:t>
      </w:r>
    </w:p>
    <w:p w14:paraId="6F3AC405"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chronological train/validation/test splitting</w:t>
      </w:r>
    </w:p>
    <w:p w14:paraId="3C7EF106"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regression metric calculations</w:t>
      </w:r>
    </w:p>
    <w:p w14:paraId="6CF13ABC"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availability threshold calculations</w:t>
      </w:r>
    </w:p>
    <w:p w14:paraId="7D672A0A" w14:textId="77777777" w:rsidR="005F32CF" w:rsidRPr="005F32CF" w:rsidRDefault="005F32CF" w:rsidP="005F32CF">
      <w:pPr>
        <w:numPr>
          <w:ilvl w:val="0"/>
          <w:numId w:val="17"/>
        </w:numPr>
        <w:rPr>
          <w:rFonts w:ascii="Times New Roman" w:hAnsi="Times New Roman" w:cs="Times New Roman"/>
          <w:lang w:val="en-AU"/>
        </w:rPr>
      </w:pPr>
      <w:r w:rsidRPr="005F32CF">
        <w:rPr>
          <w:rFonts w:ascii="Times New Roman" w:hAnsi="Times New Roman" w:cs="Times New Roman"/>
          <w:lang w:val="en-AU"/>
        </w:rPr>
        <w:t>synthetic end-to-end workflow</w:t>
      </w:r>
    </w:p>
    <w:p w14:paraId="79C4C9A0" w14:textId="77777777" w:rsidR="005F32CF" w:rsidRPr="005F32CF" w:rsidRDefault="005F32CF" w:rsidP="005F32CF">
      <w:pPr>
        <w:rPr>
          <w:rFonts w:ascii="Times New Roman" w:hAnsi="Times New Roman" w:cs="Times New Roman"/>
          <w:lang w:val="en-AU"/>
        </w:rPr>
      </w:pPr>
      <w:r w:rsidRPr="005F32CF">
        <w:rPr>
          <w:rFonts w:ascii="Times New Roman" w:hAnsi="Times New Roman" w:cs="Times New Roman"/>
          <w:lang w:val="en-AU"/>
        </w:rPr>
        <w:t>All tests pass successfully, providing confidence that the implementation behaves as intended.</w:t>
      </w:r>
    </w:p>
    <w:p w14:paraId="61490BA1" w14:textId="748BA00D" w:rsidR="00A3757D" w:rsidRPr="005F32CF" w:rsidRDefault="00A3757D" w:rsidP="005F32CF">
      <w:pPr>
        <w:rPr>
          <w:rFonts w:ascii="Times New Roman" w:hAnsi="Times New Roman" w:cs="Times New Roman"/>
        </w:rPr>
      </w:pPr>
    </w:p>
    <w:sectPr w:rsidR="00A3757D" w:rsidRPr="005F32C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A4057D"/>
    <w:multiLevelType w:val="multilevel"/>
    <w:tmpl w:val="782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31C5B"/>
    <w:multiLevelType w:val="multilevel"/>
    <w:tmpl w:val="0DC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76D5F"/>
    <w:multiLevelType w:val="multilevel"/>
    <w:tmpl w:val="4BD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7068C"/>
    <w:multiLevelType w:val="multilevel"/>
    <w:tmpl w:val="993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51E38"/>
    <w:multiLevelType w:val="multilevel"/>
    <w:tmpl w:val="140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765B0"/>
    <w:multiLevelType w:val="multilevel"/>
    <w:tmpl w:val="A5B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006C9"/>
    <w:multiLevelType w:val="multilevel"/>
    <w:tmpl w:val="149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EE6ABE"/>
    <w:multiLevelType w:val="multilevel"/>
    <w:tmpl w:val="973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149298">
    <w:abstractNumId w:val="8"/>
  </w:num>
  <w:num w:numId="2" w16cid:durableId="1124931123">
    <w:abstractNumId w:val="6"/>
  </w:num>
  <w:num w:numId="3" w16cid:durableId="796727946">
    <w:abstractNumId w:val="5"/>
  </w:num>
  <w:num w:numId="4" w16cid:durableId="1036852638">
    <w:abstractNumId w:val="4"/>
  </w:num>
  <w:num w:numId="5" w16cid:durableId="1350642130">
    <w:abstractNumId w:val="7"/>
  </w:num>
  <w:num w:numId="6" w16cid:durableId="1526213380">
    <w:abstractNumId w:val="3"/>
  </w:num>
  <w:num w:numId="7" w16cid:durableId="369307564">
    <w:abstractNumId w:val="2"/>
  </w:num>
  <w:num w:numId="8" w16cid:durableId="1681397461">
    <w:abstractNumId w:val="1"/>
  </w:num>
  <w:num w:numId="9" w16cid:durableId="2097826293">
    <w:abstractNumId w:val="0"/>
  </w:num>
  <w:num w:numId="10" w16cid:durableId="2080905132">
    <w:abstractNumId w:val="12"/>
  </w:num>
  <w:num w:numId="11" w16cid:durableId="1562985932">
    <w:abstractNumId w:val="15"/>
  </w:num>
  <w:num w:numId="12" w16cid:durableId="1742604073">
    <w:abstractNumId w:val="16"/>
  </w:num>
  <w:num w:numId="13" w16cid:durableId="1415393635">
    <w:abstractNumId w:val="10"/>
  </w:num>
  <w:num w:numId="14" w16cid:durableId="752241400">
    <w:abstractNumId w:val="11"/>
  </w:num>
  <w:num w:numId="15" w16cid:durableId="1321540438">
    <w:abstractNumId w:val="9"/>
  </w:num>
  <w:num w:numId="16" w16cid:durableId="1434936754">
    <w:abstractNumId w:val="13"/>
  </w:num>
  <w:num w:numId="17" w16cid:durableId="981620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DC"/>
    <w:rsid w:val="001311AE"/>
    <w:rsid w:val="0015074B"/>
    <w:rsid w:val="0029639D"/>
    <w:rsid w:val="00326F90"/>
    <w:rsid w:val="005F32CF"/>
    <w:rsid w:val="00A375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6F8AE"/>
  <w14:defaultImageDpi w14:val="300"/>
  <w15:docId w15:val="{5F3253AD-AE5F-4E2D-BF7F-00E5D422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Shibu Abraham</cp:lastModifiedBy>
  <cp:revision>2</cp:revision>
  <dcterms:created xsi:type="dcterms:W3CDTF">2013-12-23T23:15:00Z</dcterms:created>
  <dcterms:modified xsi:type="dcterms:W3CDTF">2026-10-14T11:52:00Z</dcterms:modified>
  <cp:category/>
</cp:coreProperties>
</file>