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Short-term room occupancy forecasting for Building 60, G.25</w:t>
      </w:r>
    </w:p>
    <w:p>
      <w:pPr>
        <w:jc w:val="center"/>
      </w:pPr>
      <w:r>
        <w:t>MMA3001 Numerical Methods and Machine Learning Project</w:t>
        <w:br/>
        <w:t>Student: Elvis Abraham Mathew</w:t>
        <w:br/>
        <w:t>October 2026</w:t>
      </w:r>
    </w:p>
    <w:p>
      <w:pPr>
        <w:pStyle w:val="Heading1"/>
      </w:pPr>
      <w:r>
        <w:t>Abstract</w:t>
      </w:r>
    </w:p>
    <w:p>
      <w:r>
        <w:t>This project evaluates whether historical occupancy-sensor observations can forecast room headcount 30 minutes ahead for Building 60, room G.25 (Keenan Lab). Irregular events were aggregated to 15-minute intervals. Time-ordered training, validation and final-test periods compared persistence and weekday/time baselines with ridge regression, a decision tree and support-vector regression (SVR). Ridge achieved the lowest validation MAE (1.084 people) and was selected before testing. On the final test, persistence achieved the best MAE (0.461 people), while SVR achieved the lowest RMSE (0.795 people). This shift demonstrates why temporal validation and simple baselines are essential. The repository includes reproducible code, tests, documentation and an AI-use disclosure.</w:t>
      </w:r>
    </w:p>
    <w:p>
      <w:pPr>
        <w:pStyle w:val="Heading1"/>
      </w:pPr>
      <w:r>
        <w:t>1. Engineering problem and scope</w:t>
      </w:r>
    </w:p>
    <w:p>
      <w:r>
        <w:t>Occupancy affects likely ventilation demand. The question is: can G.25 headcount be forecast 30 minutes ahead using current occupancy history and calendar information more accurately than simple operational baselines? The input is timestamped sensor-derived headcount and the output is a future headcount estimate in people. The intended use is advance information for ventilation or HVAC planning; it is not automatic control, an energy-saving claim, or independent sensor validation. Environmental variables are excluded because the supplied metadata does not validate a co-located sensor for G.25.</w:t>
      </w:r>
    </w:p>
    <w:p>
      <w:pPr>
        <w:pStyle w:val="Heading1"/>
      </w:pPr>
      <w:r>
        <w:t>2. Data audit and preparation</w:t>
      </w:r>
    </w:p>
    <w:p>
      <w:r>
        <w:t>The source archive contains 643,290 G.25 events between 1 May and 31 December 2024. Raw headcount ranges from 0–35. Events were resampled to 15-minute bins; the last state was carried only across gaps of up to 60 minutes. Longer gaps remain missing, so absent data are never interpreted as an empty room.</w:t>
      </w:r>
    </w:p>
    <w:tbl>
      <w:tblPr>
        <w:tblStyle w:val="LightShading-Accent1"/>
        <w:tblW w:type="auto" w:w="0"/>
        <w:tblLook w:firstColumn="1" w:firstRow="1" w:lastColumn="0" w:lastRow="0" w:noHBand="0" w:noVBand="1" w:val="04A0"/>
      </w:tblPr>
      <w:tblGrid>
        <w:gridCol w:w="4320"/>
        <w:gridCol w:w="4320"/>
      </w:tblGrid>
      <w:tr>
        <w:tc>
          <w:tcPr>
            <w:tcW w:type="dxa" w:w="4320"/>
          </w:tcPr>
          <w:p>
            <w:r>
              <w:t>Audit quantity</w:t>
            </w:r>
          </w:p>
        </w:tc>
        <w:tc>
          <w:tcPr>
            <w:tcW w:type="dxa" w:w="4320"/>
          </w:tcPr>
          <w:p>
            <w:r>
              <w:t>Value</w:t>
            </w:r>
          </w:p>
        </w:tc>
      </w:tr>
      <w:tr>
        <w:tc>
          <w:tcPr>
            <w:tcW w:type="dxa" w:w="4320"/>
          </w:tcPr>
          <w:p>
            <w:r>
              <w:t>15-minute bins</w:t>
            </w:r>
          </w:p>
        </w:tc>
        <w:tc>
          <w:tcPr>
            <w:tcW w:type="dxa" w:w="4320"/>
          </w:tcPr>
          <w:p>
            <w:r>
              <w:t>23,516</w:t>
            </w:r>
          </w:p>
        </w:tc>
      </w:tr>
      <w:tr>
        <w:tc>
          <w:tcPr>
            <w:tcW w:type="dxa" w:w="4320"/>
          </w:tcPr>
          <w:p>
            <w:r>
              <w:t>Eligible 30-minute forecasts</w:t>
            </w:r>
          </w:p>
        </w:tc>
        <w:tc>
          <w:tcPr>
            <w:tcW w:type="dxa" w:w="4320"/>
          </w:tcPr>
          <w:p>
            <w:r>
              <w:t>19,838</w:t>
            </w:r>
          </w:p>
        </w:tc>
      </w:tr>
      <w:tr>
        <w:tc>
          <w:tcPr>
            <w:tcW w:type="dxa" w:w="4320"/>
          </w:tcPr>
          <w:p>
            <w:r>
              <w:t>Median event gap</w:t>
            </w:r>
          </w:p>
        </w:tc>
        <w:tc>
          <w:tcPr>
            <w:tcW w:type="dxa" w:w="4320"/>
          </w:tcPr>
          <w:p>
            <w:r>
              <w:t>4 seconds</w:t>
            </w:r>
          </w:p>
        </w:tc>
      </w:tr>
      <w:tr>
        <w:tc>
          <w:tcPr>
            <w:tcW w:type="dxa" w:w="4320"/>
          </w:tcPr>
          <w:p>
            <w:r>
              <w:t>Longest gap</w:t>
            </w:r>
          </w:p>
        </w:tc>
        <w:tc>
          <w:tcPr>
            <w:tcW w:type="dxa" w:w="4320"/>
          </w:tcPr>
          <w:p>
            <w:r>
              <w:t>77,778 s (21.6 h)</w:t>
            </w:r>
          </w:p>
        </w:tc>
      </w:tr>
      <w:tr>
        <w:tc>
          <w:tcPr>
            <w:tcW w:type="dxa" w:w="4320"/>
          </w:tcPr>
          <w:p>
            <w:r>
              <w:t>Missing after carry rule</w:t>
            </w:r>
          </w:p>
        </w:tc>
        <w:tc>
          <w:tcPr>
            <w:tcW w:type="dxa" w:w="4320"/>
          </w:tcPr>
          <w:p>
            <w:r>
              <w:t>3,146 bins</w:t>
            </w:r>
          </w:p>
        </w:tc>
      </w:tr>
      <w:tr>
        <w:tc>
          <w:tcPr>
            <w:tcW w:type="dxa" w:w="4320"/>
          </w:tcPr>
          <w:p>
            <w:r>
              <w:t>Forward-filled under rule</w:t>
            </w:r>
          </w:p>
        </w:tc>
        <w:tc>
          <w:tcPr>
            <w:tcW w:type="dxa" w:w="4320"/>
          </w:tcPr>
          <w:p>
            <w:r>
              <w:t>3,780 bins</w:t>
            </w:r>
          </w:p>
        </w:tc>
      </w:tr>
    </w:tbl>
    <w:p>
      <w:pPr>
        <w:pStyle w:val="Heading1"/>
      </w:pPr>
      <w:r>
        <w:t>3. Computational method</w:t>
      </w:r>
    </w:p>
    <w:p>
      <w:r>
        <w:t>The pipeline reads the archive in chunks, filters the unique G.25 floor-space identifier, and creates features available at issue time: current headcount, lags of 1, 2, 4 and 8 intervals, rolling statistics, time-of-day sine/cosine, weekday and weekend. The target is headcount two 15-minute intervals later. A negative shift constructs only the label and is excluded from predictors, preventing future-data leakage.</w:t>
      </w:r>
    </w:p>
    <w:p>
      <w:r>
        <w:t>A 60/20/20 chronological split preserves time order. Ridge regression, decision-tree regression and SVR were compared with persistence and weekday/time baselines. MAE measures typical absolute count error, RMSE weights large errors, signed bias detects systematic error, and runtime represents operational cost.</w:t>
      </w:r>
    </w:p>
    <w:p>
      <w:pPr>
        <w:pStyle w:val="Heading1"/>
      </w:pPr>
      <w:r>
        <w:t>4. Validation and model selection</w:t>
      </w:r>
    </w:p>
    <w:p>
      <w:r>
        <w:t>Validation, never the final test, selected the method. At 30 minutes ridge had the lowest validation MAE (1.084 people), ahead of SVR (1.133), decision tree (1.140) and persistence (1.152). Ridge was selected for accuracy, interpretability and roughly 0.04-second fitting; SVR required about 13 seconds. Five automated tests verify resampling, future-target alignment, chronological splitting, hand-calculated metrics and a synthetic end-to-end workflow.</w:t>
      </w:r>
    </w:p>
    <w:p>
      <w:pPr>
        <w:pStyle w:val="Heading1"/>
      </w:pPr>
      <w:r>
        <w:t>5. Final results and sensitivity</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Horizon</w:t>
            </w:r>
          </w:p>
        </w:tc>
        <w:tc>
          <w:tcPr>
            <w:tcW w:type="dxa" w:w="1728"/>
          </w:tcPr>
          <w:p>
            <w:r>
              <w:t>Validation winner</w:t>
            </w:r>
          </w:p>
        </w:tc>
        <w:tc>
          <w:tcPr>
            <w:tcW w:type="dxa" w:w="1728"/>
          </w:tcPr>
          <w:p>
            <w:r>
              <w:t>Final-test best MAE</w:t>
            </w:r>
          </w:p>
        </w:tc>
        <w:tc>
          <w:tcPr>
            <w:tcW w:type="dxa" w:w="1728"/>
          </w:tcPr>
          <w:p>
            <w:r>
              <w:t>MAE</w:t>
            </w:r>
          </w:p>
        </w:tc>
        <w:tc>
          <w:tcPr>
            <w:tcW w:type="dxa" w:w="1728"/>
          </w:tcPr>
          <w:p>
            <w:r>
              <w:t>Interpretation</w:t>
            </w:r>
          </w:p>
        </w:tc>
      </w:tr>
      <w:tr>
        <w:tc>
          <w:tcPr>
            <w:tcW w:type="dxa" w:w="1728"/>
          </w:tcPr>
          <w:p>
            <w:r>
              <w:t>15 min</w:t>
            </w:r>
          </w:p>
        </w:tc>
        <w:tc>
          <w:tcPr>
            <w:tcW w:type="dxa" w:w="1728"/>
          </w:tcPr>
          <w:p>
            <w:r>
              <w:t>Ridge</w:t>
            </w:r>
          </w:p>
        </w:tc>
        <w:tc>
          <w:tcPr>
            <w:tcW w:type="dxa" w:w="1728"/>
          </w:tcPr>
          <w:p>
            <w:r>
              <w:t>Persistence</w:t>
            </w:r>
          </w:p>
        </w:tc>
        <w:tc>
          <w:tcPr>
            <w:tcW w:type="dxa" w:w="1728"/>
          </w:tcPr>
          <w:p>
            <w:r>
              <w:t>0.407</w:t>
            </w:r>
          </w:p>
        </w:tc>
        <w:tc>
          <w:tcPr>
            <w:tcW w:type="dxa" w:w="1728"/>
          </w:tcPr>
          <w:p>
            <w:r>
              <w:t>Lowest typical error</w:t>
            </w:r>
          </w:p>
        </w:tc>
      </w:tr>
      <w:tr>
        <w:tc>
          <w:tcPr>
            <w:tcW w:type="dxa" w:w="1728"/>
          </w:tcPr>
          <w:p>
            <w:r>
              <w:t>30 min</w:t>
            </w:r>
          </w:p>
        </w:tc>
        <w:tc>
          <w:tcPr>
            <w:tcW w:type="dxa" w:w="1728"/>
          </w:tcPr>
          <w:p>
            <w:r>
              <w:t>Ridge</w:t>
            </w:r>
          </w:p>
        </w:tc>
        <w:tc>
          <w:tcPr>
            <w:tcW w:type="dxa" w:w="1728"/>
          </w:tcPr>
          <w:p>
            <w:r>
              <w:t>Persistence</w:t>
            </w:r>
          </w:p>
        </w:tc>
        <w:tc>
          <w:tcPr>
            <w:tcW w:type="dxa" w:w="1728"/>
          </w:tcPr>
          <w:p>
            <w:r>
              <w:t>0.461</w:t>
            </w:r>
          </w:p>
        </w:tc>
        <w:tc>
          <w:tcPr>
            <w:tcW w:type="dxa" w:w="1728"/>
          </w:tcPr>
          <w:p>
            <w:r>
              <w:t>Main forecast horizon</w:t>
            </w:r>
          </w:p>
        </w:tc>
      </w:tr>
      <w:tr>
        <w:tc>
          <w:tcPr>
            <w:tcW w:type="dxa" w:w="1728"/>
          </w:tcPr>
          <w:p>
            <w:r>
              <w:t>60 min</w:t>
            </w:r>
          </w:p>
        </w:tc>
        <w:tc>
          <w:tcPr>
            <w:tcW w:type="dxa" w:w="1728"/>
          </w:tcPr>
          <w:p>
            <w:r>
              <w:t>Ridge</w:t>
            </w:r>
          </w:p>
        </w:tc>
        <w:tc>
          <w:tcPr>
            <w:tcW w:type="dxa" w:w="1728"/>
          </w:tcPr>
          <w:p>
            <w:r>
              <w:t>Persistence</w:t>
            </w:r>
          </w:p>
        </w:tc>
        <w:tc>
          <w:tcPr>
            <w:tcW w:type="dxa" w:w="1728"/>
          </w:tcPr>
          <w:p>
            <w:r>
              <w:t>0.547</w:t>
            </w:r>
          </w:p>
        </w:tc>
        <w:tc>
          <w:tcPr>
            <w:tcW w:type="dxa" w:w="1728"/>
          </w:tcPr>
          <w:p>
            <w:r>
              <w:t>Error rises with horizon</w:t>
            </w:r>
          </w:p>
        </w:tc>
      </w:tr>
    </w:tbl>
    <w:p>
      <w:r>
        <w:t>For the main 30-minute task, final-test MAE was 0.461 for persistence, 0.509 for SVR, 0.588 for ridge, 0.591 for the decision tree and 1.168 for the weekday/time baseline. SVR had the lowest RMSE (0.795 people), compared with 0.838 for ridge and 0.944 for persistence. Ridge overpredicted by 0.264 people. The final period was less variable than development periods, so persistence won MAE despite ridge being correctly selected from validation. The model was not reselected after test evaluation.</w:t>
      </w:r>
    </w:p>
    <w:p>
      <w:pPr>
        <w:pStyle w:val="Heading1"/>
      </w:pPr>
      <w:r>
        <w:t>6. Engineering interpretation and limitations</w:t>
      </w:r>
    </w:p>
    <w:p>
      <w:r>
        <w:t>A 15-minute persistence forecast is the most accurate tested practical baseline; uncertainty rises at 30 and 60 minutes. A building operator could use these results as a human-reviewed indication of likely near-term use. They do not support automatic HVAC control. Limitations are the one-room scope, no independent ground truth, a 21.6-hour outage, possible metadata-mapping issues, and no validated environmental co-location. Future work should obtain corrected mappings, compare with manual counts, analyse transition errors and evaluate more rooms.</w:t>
      </w:r>
    </w:p>
    <w:p>
      <w:pPr>
        <w:pStyle w:val="Heading1"/>
      </w:pPr>
      <w:r>
        <w:t>7. Reproducibility, ethics and AI use</w:t>
      </w:r>
    </w:p>
    <w:p>
      <w:r>
        <w:t>Raw data are excluded from version control. The repository provides a runbook, data dictionary, HTML documentation, test report and commands to regenerate outputs. The source is treated as sensor-derived and potentially restricted. Codex assisted planning, code drafting and documentation, while project evidence and claims were checked against the outputs. The full disclosure is in docs/AI_USAGE.md.</w:t>
      </w:r>
    </w:p>
    <w:p>
      <w:pPr>
        <w:pStyle w:val="Heading1"/>
      </w:pPr>
      <w:r>
        <w:t>References</w:t>
      </w:r>
    </w:p>
    <w:p>
      <w:r>
        <w:t>MMA3001 (2026), Project Brief and Dataset 2 project information, Monash University.</w:t>
        <w:br/>
        <w:t>Scikit-learn developers (2026), scikit-learn user guide. https://scikit-learn.org/stable/ (accessed 9 October 2026).</w:t>
      </w:r>
    </w:p>
    <w:p>
      <w:pPr>
        <w:pStyle w:val="Heading1"/>
      </w:pPr>
      <w:r>
        <w:t>Appendix: repository evidence</w:t>
      </w:r>
    </w:p>
    <w:p>
      <w:r>
        <w:t>Main entry: src/occupancy/pipeline.py. Sensitivity: python -m occupancy.sensitivity. Test report: results/test-report.html. API documentation: docs/html/index.html. Horizon metrics: results/horizon_sensitivity.csv.</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