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40"/>
      </w:pPr>
      <w:r>
        <w:rPr>
          <w:rFonts w:ascii="Calibri" w:hAnsi="Calibri"/>
          <w:b/>
          <w:color w:val="1E3A8A"/>
          <w:sz w:val="44"/>
        </w:rPr>
        <w:t>Employee Management &amp; Internal Help Desk System</w:t>
      </w:r>
    </w:p>
    <w:p>
      <w:pPr>
        <w:spacing w:before="40" w:after="240"/>
      </w:pPr>
      <w:r>
        <w:rPr>
          <w:rFonts w:ascii="Calibri" w:hAnsi="Calibri"/>
          <w:color w:val="334155"/>
          <w:sz w:val="26"/>
        </w:rPr>
        <w:t>Senior Developer Walkthrough Guide &amp; Technical Architecture Blueprint</w:t>
      </w:r>
    </w:p>
    <w:tbl>
      <w:tblPr>
        <w:tblW w:type="auto" w:w="0"/>
        <w:jc w:val="center"/>
        <w:tblLayout w:type="fixed"/>
        <w:tblLook w:firstColumn="1" w:firstRow="1" w:lastColumn="0" w:lastRow="0" w:noHBand="0" w:noVBand="1" w:val="04A0"/>
      </w:tblPr>
      <w:tblGrid>
        <w:gridCol w:w="4680"/>
        <w:gridCol w:w="4680"/>
      </w:tblGrid>
      <w:tr>
        <w:trPr>
          <w:tblHeader/>
        </w:trPr>
        <w:tc>
          <w:tcPr>
            <w:tcW w:type="dxa" w:w="3168"/>
            <w:shd w:fill="1E3A8A"/>
            <w:tcBorders>
              <w:top w:val="none" w:sz="4" w:space="0" w:color="auto"/>
              <w:left w:val="none" w:sz="4" w:space="0" w:color="auto"/>
              <w:bottom w:val="single" w:sz="8" w:space="0" w:color="0F172A"/>
              <w:right w:val="none" w:sz="4" w:space="0" w:color="auto"/>
              <w:insideH w:val="none"/>
              <w:insideV w:val="none"/>
            </w:tcBorders>
          </w:tcPr>
          <w:p>
            <w:pPr>
              <w:spacing w:before="100" w:after="100"/>
              <w:jc w:val="left"/>
            </w:pPr>
            <w:r>
              <w:rPr>
                <w:rFonts w:ascii="Calibri" w:hAnsi="Calibri"/>
                <w:b/>
                <w:color w:val="FFFFFF"/>
                <w:sz w:val="19"/>
              </w:rPr>
              <w:t>Document Attribute</w:t>
            </w:r>
          </w:p>
        </w:tc>
        <w:tc>
          <w:tcPr>
            <w:tcW w:type="dxa" w:w="6192"/>
            <w:shd w:fill="1E3A8A"/>
            <w:tcBorders>
              <w:top w:val="none" w:sz="4" w:space="0" w:color="auto"/>
              <w:left w:val="none" w:sz="4" w:space="0" w:color="auto"/>
              <w:bottom w:val="single" w:sz="8" w:space="0" w:color="0F172A"/>
              <w:right w:val="none" w:sz="4" w:space="0" w:color="auto"/>
              <w:insideH w:val="none"/>
              <w:insideV w:val="none"/>
            </w:tcBorders>
          </w:tcPr>
          <w:p>
            <w:pPr>
              <w:spacing w:before="100" w:after="100"/>
              <w:jc w:val="left"/>
            </w:pPr>
            <w:r>
              <w:rPr>
                <w:rFonts w:ascii="Calibri" w:hAnsi="Calibri"/>
                <w:b/>
                <w:color w:val="FFFFFF"/>
                <w:sz w:val="19"/>
              </w:rPr>
              <w:t>Specification Details</w:t>
            </w:r>
          </w:p>
        </w:tc>
      </w:tr>
      <w:tr>
        <w:tc>
          <w:tcPr>
            <w:tcW w:type="dxa" w:w="3168"/>
            <w:tcBorders>
              <w:top w:val="none" w:sz="4" w:space="0" w:color="auto"/>
              <w:left w:val="none" w:sz="4" w:space="0" w:color="auto"/>
              <w:bottom w:val="single" w:sz="4" w:space="0" w:color="E2E8F0"/>
              <w:right w:val="none" w:sz="4" w:space="0" w:color="auto"/>
              <w:insideH w:val="none"/>
              <w:insideV w:val="none"/>
            </w:tcBorders>
          </w:tcPr>
          <w:p>
            <w:pPr>
              <w:spacing w:before="80" w:after="80"/>
              <w:jc w:val="left"/>
            </w:pPr>
            <w:r>
              <w:rPr>
                <w:rFonts w:ascii="Calibri" w:hAnsi="Calibri"/>
                <w:color w:val="0F172A"/>
                <w:sz w:val="18"/>
              </w:rPr>
              <w:t>Project Title</w:t>
            </w:r>
          </w:p>
        </w:tc>
        <w:tc>
          <w:tcPr>
            <w:tcW w:type="dxa" w:w="6192"/>
            <w:tcBorders>
              <w:top w:val="none" w:sz="4" w:space="0" w:color="auto"/>
              <w:left w:val="none" w:sz="4" w:space="0" w:color="auto"/>
              <w:bottom w:val="single" w:sz="4" w:space="0" w:color="E2E8F0"/>
              <w:right w:val="none" w:sz="4" w:space="0" w:color="auto"/>
              <w:insideH w:val="none"/>
              <w:insideV w:val="none"/>
            </w:tcBorders>
          </w:tcPr>
          <w:p>
            <w:pPr>
              <w:spacing w:before="80" w:after="80"/>
              <w:jc w:val="left"/>
            </w:pPr>
            <w:r>
              <w:rPr>
                <w:rFonts w:ascii="Calibri" w:hAnsi="Calibri"/>
                <w:color w:val="0F172A"/>
                <w:sz w:val="18"/>
              </w:rPr>
              <w:t>Employee Leave Management &amp; Internal Help Desk System</w:t>
            </w:r>
          </w:p>
        </w:tc>
      </w:tr>
      <w:tr>
        <w:tc>
          <w:tcPr>
            <w:tcW w:type="dxa" w:w="3168"/>
            <w:shd w:fill="F8FAFC"/>
            <w:tcBorders>
              <w:top w:val="none" w:sz="4" w:space="0" w:color="auto"/>
              <w:left w:val="none" w:sz="4" w:space="0" w:color="auto"/>
              <w:bottom w:val="single" w:sz="4" w:space="0" w:color="E2E8F0"/>
              <w:right w:val="none" w:sz="4" w:space="0" w:color="auto"/>
              <w:insideH w:val="none"/>
              <w:insideV w:val="none"/>
            </w:tcBorders>
          </w:tcPr>
          <w:p>
            <w:pPr>
              <w:spacing w:before="80" w:after="80"/>
              <w:jc w:val="left"/>
            </w:pPr>
            <w:r>
              <w:rPr>
                <w:rFonts w:ascii="Calibri" w:hAnsi="Calibri"/>
                <w:color w:val="0F172A"/>
                <w:sz w:val="18"/>
              </w:rPr>
              <w:t>Target Audience</w:t>
            </w:r>
          </w:p>
        </w:tc>
        <w:tc>
          <w:tcPr>
            <w:tcW w:type="dxa" w:w="6192"/>
            <w:shd w:fill="F8FAFC"/>
            <w:tcBorders>
              <w:top w:val="none" w:sz="4" w:space="0" w:color="auto"/>
              <w:left w:val="none" w:sz="4" w:space="0" w:color="auto"/>
              <w:bottom w:val="single" w:sz="4" w:space="0" w:color="E2E8F0"/>
              <w:right w:val="none" w:sz="4" w:space="0" w:color="auto"/>
              <w:insideH w:val="none"/>
              <w:insideV w:val="none"/>
            </w:tcBorders>
          </w:tcPr>
          <w:p>
            <w:pPr>
              <w:spacing w:before="80" w:after="80"/>
              <w:jc w:val="left"/>
            </w:pPr>
            <w:r>
              <w:rPr>
                <w:rFonts w:ascii="Calibri" w:hAnsi="Calibri"/>
                <w:color w:val="0F172A"/>
                <w:sz w:val="18"/>
              </w:rPr>
              <w:t>Engineering Supervisor / Technical Lead / Solutions Architect</w:t>
            </w:r>
          </w:p>
        </w:tc>
      </w:tr>
      <w:tr>
        <w:tc>
          <w:tcPr>
            <w:tcW w:type="dxa" w:w="3168"/>
            <w:tcBorders>
              <w:top w:val="none" w:sz="4" w:space="0" w:color="auto"/>
              <w:left w:val="none" w:sz="4" w:space="0" w:color="auto"/>
              <w:bottom w:val="single" w:sz="4" w:space="0" w:color="E2E8F0"/>
              <w:right w:val="none" w:sz="4" w:space="0" w:color="auto"/>
              <w:insideH w:val="none"/>
              <w:insideV w:val="none"/>
            </w:tcBorders>
          </w:tcPr>
          <w:p>
            <w:pPr>
              <w:spacing w:before="80" w:after="80"/>
              <w:jc w:val="left"/>
            </w:pPr>
            <w:r>
              <w:rPr>
                <w:rFonts w:ascii="Calibri" w:hAnsi="Calibri"/>
                <w:color w:val="0F172A"/>
                <w:sz w:val="18"/>
              </w:rPr>
              <w:t>Presentation Role</w:t>
            </w:r>
          </w:p>
        </w:tc>
        <w:tc>
          <w:tcPr>
            <w:tcW w:type="dxa" w:w="6192"/>
            <w:tcBorders>
              <w:top w:val="none" w:sz="4" w:space="0" w:color="auto"/>
              <w:left w:val="none" w:sz="4" w:space="0" w:color="auto"/>
              <w:bottom w:val="single" w:sz="4" w:space="0" w:color="E2E8F0"/>
              <w:right w:val="none" w:sz="4" w:space="0" w:color="auto"/>
              <w:insideH w:val="none"/>
              <w:insideV w:val="none"/>
            </w:tcBorders>
          </w:tcPr>
          <w:p>
            <w:pPr>
              <w:spacing w:before="80" w:after="80"/>
              <w:jc w:val="left"/>
            </w:pPr>
            <w:r>
              <w:rPr>
                <w:rFonts w:ascii="Calibri" w:hAnsi="Calibri"/>
                <w:color w:val="0F172A"/>
                <w:sz w:val="18"/>
              </w:rPr>
              <w:t>Senior Full-Stack Software Developer</w:t>
            </w:r>
          </w:p>
        </w:tc>
      </w:tr>
      <w:tr>
        <w:tc>
          <w:tcPr>
            <w:tcW w:type="dxa" w:w="3168"/>
            <w:shd w:fill="F8FAFC"/>
            <w:tcBorders>
              <w:top w:val="none" w:sz="4" w:space="0" w:color="auto"/>
              <w:left w:val="none" w:sz="4" w:space="0" w:color="auto"/>
              <w:bottom w:val="single" w:sz="4" w:space="0" w:color="E2E8F0"/>
              <w:right w:val="none" w:sz="4" w:space="0" w:color="auto"/>
              <w:insideH w:val="none"/>
              <w:insideV w:val="none"/>
            </w:tcBorders>
          </w:tcPr>
          <w:p>
            <w:pPr>
              <w:spacing w:before="80" w:after="80"/>
              <w:jc w:val="left"/>
            </w:pPr>
            <w:r>
              <w:rPr>
                <w:rFonts w:ascii="Calibri" w:hAnsi="Calibri"/>
                <w:color w:val="0F172A"/>
                <w:sz w:val="18"/>
              </w:rPr>
              <w:t>Primary Tech Stack</w:t>
            </w:r>
          </w:p>
        </w:tc>
        <w:tc>
          <w:tcPr>
            <w:tcW w:type="dxa" w:w="6192"/>
            <w:shd w:fill="F8FAFC"/>
            <w:tcBorders>
              <w:top w:val="none" w:sz="4" w:space="0" w:color="auto"/>
              <w:left w:val="none" w:sz="4" w:space="0" w:color="auto"/>
              <w:bottom w:val="single" w:sz="4" w:space="0" w:color="E2E8F0"/>
              <w:right w:val="none" w:sz="4" w:space="0" w:color="auto"/>
              <w:insideH w:val="none"/>
              <w:insideV w:val="none"/>
            </w:tcBorders>
          </w:tcPr>
          <w:p>
            <w:pPr>
              <w:spacing w:before="80" w:after="80"/>
              <w:jc w:val="left"/>
            </w:pPr>
            <w:r>
              <w:rPr>
                <w:rFonts w:ascii="Calibri" w:hAnsi="Calibri"/>
                <w:color w:val="0F172A"/>
                <w:sz w:val="18"/>
              </w:rPr>
              <w:t>Spring Boot 3.2.3 (Java 19), PostgreSQL 18, React 18, TypeScript, Tailwind CSS</w:t>
            </w:r>
          </w:p>
        </w:tc>
      </w:tr>
      <w:tr>
        <w:tc>
          <w:tcPr>
            <w:tcW w:type="dxa" w:w="3168"/>
            <w:tcBorders>
              <w:top w:val="none" w:sz="4" w:space="0" w:color="auto"/>
              <w:left w:val="none" w:sz="4" w:space="0" w:color="auto"/>
              <w:bottom w:val="single" w:sz="4" w:space="0" w:color="E2E8F0"/>
              <w:right w:val="none" w:sz="4" w:space="0" w:color="auto"/>
              <w:insideH w:val="none"/>
              <w:insideV w:val="none"/>
            </w:tcBorders>
          </w:tcPr>
          <w:p>
            <w:pPr>
              <w:spacing w:before="80" w:after="80"/>
              <w:jc w:val="left"/>
            </w:pPr>
            <w:r>
              <w:rPr>
                <w:rFonts w:ascii="Calibri" w:hAnsi="Calibri"/>
                <w:color w:val="0F172A"/>
                <w:sz w:val="18"/>
              </w:rPr>
              <w:t>Architecture Style</w:t>
            </w:r>
          </w:p>
        </w:tc>
        <w:tc>
          <w:tcPr>
            <w:tcW w:type="dxa" w:w="6192"/>
            <w:tcBorders>
              <w:top w:val="none" w:sz="4" w:space="0" w:color="auto"/>
              <w:left w:val="none" w:sz="4" w:space="0" w:color="auto"/>
              <w:bottom w:val="single" w:sz="4" w:space="0" w:color="E2E8F0"/>
              <w:right w:val="none" w:sz="4" w:space="0" w:color="auto"/>
              <w:insideH w:val="none"/>
              <w:insideV w:val="none"/>
            </w:tcBorders>
          </w:tcPr>
          <w:p>
            <w:pPr>
              <w:spacing w:before="80" w:after="80"/>
              <w:jc w:val="left"/>
            </w:pPr>
            <w:r>
              <w:rPr>
                <w:rFonts w:ascii="Calibri" w:hAnsi="Calibri"/>
                <w:color w:val="0F172A"/>
                <w:sz w:val="18"/>
              </w:rPr>
              <w:t>Domain-Driven Modular Monolith with Asynchronous Transactional Outbox Pattern</w:t>
            </w:r>
          </w:p>
        </w:tc>
      </w:tr>
      <w:tr>
        <w:tc>
          <w:tcPr>
            <w:tcW w:type="dxa" w:w="3168"/>
            <w:shd w:fill="F8FAFC"/>
            <w:tcBorders>
              <w:top w:val="none" w:sz="4" w:space="0" w:color="auto"/>
              <w:left w:val="none" w:sz="4" w:space="0" w:color="auto"/>
              <w:bottom w:val="single" w:sz="4" w:space="0" w:color="E2E8F0"/>
              <w:right w:val="none" w:sz="4" w:space="0" w:color="auto"/>
              <w:insideH w:val="none"/>
              <w:insideV w:val="none"/>
            </w:tcBorders>
          </w:tcPr>
          <w:p>
            <w:pPr>
              <w:spacing w:before="80" w:after="80"/>
              <w:jc w:val="left"/>
            </w:pPr>
            <w:r>
              <w:rPr>
                <w:rFonts w:ascii="Calibri" w:hAnsi="Calibri"/>
                <w:color w:val="0F172A"/>
                <w:sz w:val="18"/>
              </w:rPr>
              <w:t>Document Status</w:t>
            </w:r>
          </w:p>
        </w:tc>
        <w:tc>
          <w:tcPr>
            <w:tcW w:type="dxa" w:w="6192"/>
            <w:shd w:fill="F8FAFC"/>
            <w:tcBorders>
              <w:top w:val="none" w:sz="4" w:space="0" w:color="auto"/>
              <w:left w:val="none" w:sz="4" w:space="0" w:color="auto"/>
              <w:bottom w:val="single" w:sz="4" w:space="0" w:color="E2E8F0"/>
              <w:right w:val="none" w:sz="4" w:space="0" w:color="auto"/>
              <w:insideH w:val="none"/>
              <w:insideV w:val="none"/>
            </w:tcBorders>
          </w:tcPr>
          <w:p>
            <w:pPr>
              <w:spacing w:before="80" w:after="80"/>
              <w:jc w:val="left"/>
            </w:pPr>
            <w:r>
              <w:rPr>
                <w:rFonts w:ascii="Calibri" w:hAnsi="Calibri"/>
                <w:color w:val="0F172A"/>
                <w:sz w:val="18"/>
              </w:rPr>
              <w:t>Production-Ready &amp; Fully Implemented (Version 1.0)</w:t>
            </w:r>
          </w:p>
        </w:tc>
      </w:tr>
    </w:tbl>
    <w:p>
      <w:pPr>
        <w:spacing w:before="40" w:after="120"/>
      </w:pPr>
    </w:p>
    <w:tbl>
      <w:tblPr>
        <w:tblW w:type="auto" w:w="0"/>
        <w:jc w:val="center"/>
        <w:tblLayout w:type="fixed"/>
        <w:tblLook w:firstColumn="1" w:firstRow="1" w:lastColumn="0" w:lastRow="0" w:noHBand="0" w:noVBand="1" w:val="04A0"/>
      </w:tblPr>
      <w:tblGrid>
        <w:gridCol w:w="9360"/>
      </w:tblGrid>
      <w:tr>
        <w:tc>
          <w:tcPr>
            <w:tcW w:type="dxa" w:w="9360"/>
            <w:shd w:fill="EFF6FF"/>
            <w:tcBorders>
              <w:top w:val="none" w:sz="4" w:space="0" w:color="auto"/>
              <w:left w:val="single" w:sz="24" w:space="0" w:color="2563EB"/>
              <w:bottom w:val="none" w:sz="4" w:space="0" w:color="auto"/>
              <w:right w:val="none" w:sz="4" w:space="0" w:color="auto"/>
              <w:insideH w:val="none"/>
              <w:insideV w:val="none"/>
            </w:tcBorders>
          </w:tcPr>
          <w:p>
            <w:pPr>
              <w:spacing w:before="100" w:after="80" w:line="276" w:lineRule="auto"/>
              <w:ind w:left="216" w:right="216"/>
            </w:pPr>
            <w:r>
              <w:rPr>
                <w:rFonts w:ascii="Calibri" w:hAnsi="Calibri"/>
                <w:b/>
                <w:color w:val="1E3A8A"/>
                <w:sz w:val="21"/>
              </w:rPr>
              <w:t>📋 Executive Walkthrough Summary</w:t>
              <w:br/>
            </w:r>
            <w:r>
              <w:rPr>
                <w:rFonts w:ascii="Calibri" w:hAnsi="Calibri"/>
                <w:color w:val="0F172A"/>
                <w:sz w:val="19"/>
              </w:rPr>
              <w:t>This document provides a complete, professional, and developer-level walkthrough for presenting the system to technical leadership. It combines business justification, architectural diagrams, relational schema analysis (23 tables), source code tours of critical classes, security defense proofs, and a 10-question supervisor defense cheat sheet.</w:t>
            </w:r>
          </w:p>
        </w:tc>
      </w:tr>
    </w:tbl>
    <w:p>
      <w:pPr>
        <w:spacing w:before="20" w:after="80"/>
      </w:pPr>
    </w:p>
    <w:p>
      <w:pPr>
        <w:keepNext/>
        <w:spacing w:before="280" w:after="80"/>
      </w:pPr>
      <w:r>
        <w:rPr>
          <w:rFonts w:ascii="Calibri" w:hAnsi="Calibri"/>
          <w:b/>
          <w:color w:val="334155"/>
          <w:sz w:val="26"/>
        </w:rPr>
        <w:t>Document Table of Contents</w:t>
      </w:r>
    </w:p>
    <w:p>
      <w:pPr>
        <w:pStyle w:val="ListBullet"/>
        <w:spacing w:before="20" w:after="60" w:line="276" w:lineRule="auto"/>
      </w:pPr>
      <w:r>
        <w:rPr>
          <w:rFonts w:ascii="Calibri" w:hAnsi="Calibri"/>
          <w:color w:val="0F172A"/>
          <w:sz w:val="20"/>
        </w:rPr>
        <w:t>1. Meeting Strategy: How to Present Like a Software Developer</w:t>
      </w:r>
    </w:p>
    <w:p>
      <w:pPr>
        <w:pStyle w:val="ListBullet"/>
        <w:spacing w:before="20" w:after="60" w:line="276" w:lineRule="auto"/>
      </w:pPr>
      <w:r>
        <w:rPr>
          <w:rFonts w:ascii="Calibri" w:hAnsi="Calibri"/>
          <w:color w:val="0F172A"/>
          <w:sz w:val="20"/>
        </w:rPr>
        <w:t>2. High-Level Architecture &amp; Tech Stack Justification</w:t>
      </w:r>
    </w:p>
    <w:p>
      <w:pPr>
        <w:pStyle w:val="ListBullet"/>
        <w:spacing w:before="20" w:after="60" w:line="276" w:lineRule="auto"/>
      </w:pPr>
      <w:r>
        <w:rPr>
          <w:rFonts w:ascii="Calibri" w:hAnsi="Calibri"/>
          <w:color w:val="0F172A"/>
          <w:sz w:val="20"/>
        </w:rPr>
        <w:t>3. Database Schema Deep Dive (23 Relational Tables across 4 Domains)</w:t>
      </w:r>
    </w:p>
    <w:p>
      <w:pPr>
        <w:pStyle w:val="ListBullet"/>
        <w:spacing w:before="20" w:after="60" w:line="276" w:lineRule="auto"/>
      </w:pPr>
      <w:r>
        <w:rPr>
          <w:rFonts w:ascii="Calibri" w:hAnsi="Calibri"/>
          <w:color w:val="0F172A"/>
          <w:sz w:val="20"/>
        </w:rPr>
        <w:t>4. Deep Dive into the 4 Core Business Domains</w:t>
      </w:r>
    </w:p>
    <w:p>
      <w:pPr>
        <w:pStyle w:val="ListBullet"/>
        <w:spacing w:before="20" w:after="60" w:line="276" w:lineRule="auto"/>
      </w:pPr>
      <w:r>
        <w:rPr>
          <w:rFonts w:ascii="Calibri" w:hAnsi="Calibri"/>
          <w:color w:val="0F172A"/>
          <w:sz w:val="20"/>
        </w:rPr>
        <w:t>5. Source Code Walkthrough Playbook (Exact Steps in VS Code)</w:t>
      </w:r>
    </w:p>
    <w:p>
      <w:pPr>
        <w:pStyle w:val="ListBullet"/>
        <w:spacing w:before="20" w:after="60" w:line="276" w:lineRule="auto"/>
      </w:pPr>
      <w:r>
        <w:rPr>
          <w:rFonts w:ascii="Calibri" w:hAnsi="Calibri"/>
          <w:color w:val="0F172A"/>
          <w:sz w:val="20"/>
        </w:rPr>
        <w:t>6. Frontend Architecture, State Management &amp; Accessibility</w:t>
      </w:r>
    </w:p>
    <w:p>
      <w:pPr>
        <w:pStyle w:val="ListBullet"/>
        <w:spacing w:before="20" w:after="60" w:line="276" w:lineRule="auto"/>
      </w:pPr>
      <w:r>
        <w:rPr>
          <w:rFonts w:ascii="Calibri" w:hAnsi="Calibri"/>
          <w:color w:val="0F172A"/>
          <w:sz w:val="20"/>
        </w:rPr>
        <w:t>7. Security Hardening, Concurrency &amp; Production Reliability</w:t>
      </w:r>
    </w:p>
    <w:p>
      <w:pPr>
        <w:pStyle w:val="ListBullet"/>
        <w:spacing w:before="20" w:after="60" w:line="276" w:lineRule="auto"/>
      </w:pPr>
      <w:r>
        <w:rPr>
          <w:rFonts w:ascii="Calibri" w:hAnsi="Calibri"/>
          <w:color w:val="0F172A"/>
          <w:sz w:val="20"/>
        </w:rPr>
        <w:t>8. Supervisor Q&amp;A Defense Cheat Sheet (Top 10 Tough Questions &amp; Senior Developer Answers)</w:t>
      </w:r>
    </w:p>
    <w:p>
      <w:pPr>
        <w:pStyle w:val="ListBullet"/>
        <w:spacing w:before="20" w:after="60" w:line="276" w:lineRule="auto"/>
      </w:pPr>
      <w:r>
        <w:rPr>
          <w:rFonts w:ascii="Calibri" w:hAnsi="Calibri"/>
          <w:color w:val="0F172A"/>
          <w:sz w:val="20"/>
        </w:rPr>
        <w:t>9. Production Handover Checklist &amp; Deployment Roadmap</w:t>
      </w:r>
    </w:p>
    <w:p>
      <w:r>
        <w:br w:type="page"/>
      </w:r>
    </w:p>
    <w:p>
      <w:pPr>
        <w:keepNext/>
        <w:spacing w:before="360" w:after="120"/>
      </w:pPr>
      <w:r>
        <w:rPr>
          <w:rFonts w:ascii="Calibri" w:hAnsi="Calibri"/>
          <w:b/>
          <w:color w:val="1E3A8A"/>
          <w:sz w:val="34"/>
        </w:rPr>
        <w:t>1. Meeting Strategy: How to Present Like a Software Developer</w:t>
      </w:r>
    </w:p>
    <w:p>
      <w:pPr>
        <w:spacing w:before="40" w:after="80" w:line="276" w:lineRule="auto"/>
      </w:pPr>
      <w:r>
        <w:rPr>
          <w:rFonts w:ascii="Calibri" w:hAnsi="Calibri"/>
          <w:color w:val="0F172A"/>
          <w:sz w:val="21"/>
        </w:rPr>
        <w:t>When taking your supervisor through a production system, senior developers avoid simply clicking through the UI like an end-user. Instead, frame the walkthrough around four engineering pillars: architectural soundess, data integrity, security defenses, and separation of concerns.</w:t>
      </w:r>
    </w:p>
    <w:p>
      <w:pPr>
        <w:keepNext/>
        <w:spacing w:before="280" w:after="80"/>
      </w:pPr>
      <w:r>
        <w:rPr>
          <w:rFonts w:ascii="Calibri" w:hAnsi="Calibri"/>
          <w:b/>
          <w:color w:val="334155"/>
          <w:sz w:val="26"/>
        </w:rPr>
        <w:t>1.1 Recommended 45-Minute Walkthrough Agenda</w:t>
      </w:r>
    </w:p>
    <w:tbl>
      <w:tblPr>
        <w:tblW w:type="auto" w:w="0"/>
        <w:jc w:val="center"/>
        <w:tblLayout w:type="fixed"/>
        <w:tblLook w:firstColumn="1" w:firstRow="1" w:lastColumn="0" w:lastRow="0" w:noHBand="0" w:noVBand="1" w:val="04A0"/>
      </w:tblPr>
      <w:tblGrid>
        <w:gridCol w:w="2340"/>
        <w:gridCol w:w="2340"/>
        <w:gridCol w:w="2340"/>
        <w:gridCol w:w="2340"/>
      </w:tblGrid>
      <w:tr>
        <w:trPr>
          <w:tblHeader/>
        </w:trPr>
        <w:tc>
          <w:tcPr>
            <w:tcW w:type="dxa" w:w="2016"/>
            <w:shd w:fill="1E3A8A"/>
            <w:tcBorders>
              <w:top w:val="none" w:sz="4" w:space="0" w:color="auto"/>
              <w:left w:val="none" w:sz="4" w:space="0" w:color="auto"/>
              <w:bottom w:val="single" w:sz="8" w:space="0" w:color="0F172A"/>
              <w:right w:val="none" w:sz="4" w:space="0" w:color="auto"/>
              <w:insideH w:val="none"/>
              <w:insideV w:val="none"/>
            </w:tcBorders>
          </w:tcPr>
          <w:p>
            <w:pPr>
              <w:spacing w:before="100" w:after="100"/>
              <w:jc w:val="left"/>
            </w:pPr>
            <w:r>
              <w:rPr>
                <w:rFonts w:ascii="Calibri" w:hAnsi="Calibri"/>
                <w:b/>
                <w:color w:val="FFFFFF"/>
                <w:sz w:val="19"/>
              </w:rPr>
              <w:t>Phase</w:t>
            </w:r>
          </w:p>
        </w:tc>
        <w:tc>
          <w:tcPr>
            <w:tcW w:type="dxa" w:w="1296"/>
            <w:shd w:fill="1E3A8A"/>
            <w:tcBorders>
              <w:top w:val="none" w:sz="4" w:space="0" w:color="auto"/>
              <w:left w:val="none" w:sz="4" w:space="0" w:color="auto"/>
              <w:bottom w:val="single" w:sz="8" w:space="0" w:color="0F172A"/>
              <w:right w:val="none" w:sz="4" w:space="0" w:color="auto"/>
              <w:insideH w:val="none"/>
              <w:insideV w:val="none"/>
            </w:tcBorders>
          </w:tcPr>
          <w:p>
            <w:pPr>
              <w:spacing w:before="100" w:after="100"/>
              <w:jc w:val="left"/>
            </w:pPr>
            <w:r>
              <w:rPr>
                <w:rFonts w:ascii="Calibri" w:hAnsi="Calibri"/>
                <w:b/>
                <w:color w:val="FFFFFF"/>
                <w:sz w:val="19"/>
              </w:rPr>
              <w:t>Duration</w:t>
            </w:r>
          </w:p>
        </w:tc>
        <w:tc>
          <w:tcPr>
            <w:tcW w:type="dxa" w:w="3312"/>
            <w:shd w:fill="1E3A8A"/>
            <w:tcBorders>
              <w:top w:val="none" w:sz="4" w:space="0" w:color="auto"/>
              <w:left w:val="none" w:sz="4" w:space="0" w:color="auto"/>
              <w:bottom w:val="single" w:sz="8" w:space="0" w:color="0F172A"/>
              <w:right w:val="none" w:sz="4" w:space="0" w:color="auto"/>
              <w:insideH w:val="none"/>
              <w:insideV w:val="none"/>
            </w:tcBorders>
          </w:tcPr>
          <w:p>
            <w:pPr>
              <w:spacing w:before="100" w:after="100"/>
              <w:jc w:val="left"/>
            </w:pPr>
            <w:r>
              <w:rPr>
                <w:rFonts w:ascii="Calibri" w:hAnsi="Calibri"/>
                <w:b/>
                <w:color w:val="FFFFFF"/>
                <w:sz w:val="19"/>
              </w:rPr>
              <w:t>Core Focus</w:t>
            </w:r>
          </w:p>
        </w:tc>
        <w:tc>
          <w:tcPr>
            <w:tcW w:type="dxa" w:w="2736"/>
            <w:shd w:fill="1E3A8A"/>
            <w:tcBorders>
              <w:top w:val="none" w:sz="4" w:space="0" w:color="auto"/>
              <w:left w:val="none" w:sz="4" w:space="0" w:color="auto"/>
              <w:bottom w:val="single" w:sz="8" w:space="0" w:color="0F172A"/>
              <w:right w:val="none" w:sz="4" w:space="0" w:color="auto"/>
              <w:insideH w:val="none"/>
              <w:insideV w:val="none"/>
            </w:tcBorders>
          </w:tcPr>
          <w:p>
            <w:pPr>
              <w:spacing w:before="100" w:after="100"/>
              <w:jc w:val="left"/>
            </w:pPr>
            <w:r>
              <w:rPr>
                <w:rFonts w:ascii="Calibri" w:hAnsi="Calibri"/>
                <w:b/>
                <w:color w:val="FFFFFF"/>
                <w:sz w:val="19"/>
              </w:rPr>
              <w:t>What to Demonstrate on Screen</w:t>
            </w:r>
          </w:p>
        </w:tc>
      </w:tr>
      <w:tr>
        <w:tc>
          <w:tcPr>
            <w:tcW w:type="dxa" w:w="2016"/>
            <w:tcBorders>
              <w:top w:val="none" w:sz="4" w:space="0" w:color="auto"/>
              <w:left w:val="none" w:sz="4" w:space="0" w:color="auto"/>
              <w:bottom w:val="single" w:sz="4" w:space="0" w:color="E2E8F0"/>
              <w:right w:val="none" w:sz="4" w:space="0" w:color="auto"/>
              <w:insideH w:val="none"/>
              <w:insideV w:val="none"/>
            </w:tcBorders>
          </w:tcPr>
          <w:p>
            <w:pPr>
              <w:spacing w:before="80" w:after="80"/>
              <w:jc w:val="left"/>
            </w:pPr>
            <w:r>
              <w:rPr>
                <w:rFonts w:ascii="Calibri" w:hAnsi="Calibri"/>
                <w:color w:val="0F172A"/>
                <w:sz w:val="18"/>
              </w:rPr>
              <w:t>1. Executive Overview</w:t>
            </w:r>
          </w:p>
        </w:tc>
        <w:tc>
          <w:tcPr>
            <w:tcW w:type="dxa" w:w="1296"/>
            <w:tcBorders>
              <w:top w:val="none" w:sz="4" w:space="0" w:color="auto"/>
              <w:left w:val="none" w:sz="4" w:space="0" w:color="auto"/>
              <w:bottom w:val="single" w:sz="4" w:space="0" w:color="E2E8F0"/>
              <w:right w:val="none" w:sz="4" w:space="0" w:color="auto"/>
              <w:insideH w:val="none"/>
              <w:insideV w:val="none"/>
            </w:tcBorders>
          </w:tcPr>
          <w:p>
            <w:pPr>
              <w:spacing w:before="80" w:after="80"/>
              <w:jc w:val="left"/>
            </w:pPr>
            <w:r>
              <w:rPr>
                <w:rFonts w:ascii="Calibri" w:hAnsi="Calibri"/>
                <w:color w:val="0F172A"/>
                <w:sz w:val="18"/>
              </w:rPr>
              <w:t>5 mins</w:t>
            </w:r>
          </w:p>
        </w:tc>
        <w:tc>
          <w:tcPr>
            <w:tcW w:type="dxa" w:w="3312"/>
            <w:tcBorders>
              <w:top w:val="none" w:sz="4" w:space="0" w:color="auto"/>
              <w:left w:val="none" w:sz="4" w:space="0" w:color="auto"/>
              <w:bottom w:val="single" w:sz="4" w:space="0" w:color="E2E8F0"/>
              <w:right w:val="none" w:sz="4" w:space="0" w:color="auto"/>
              <w:insideH w:val="none"/>
              <w:insideV w:val="none"/>
            </w:tcBorders>
          </w:tcPr>
          <w:p>
            <w:pPr>
              <w:spacing w:before="80" w:after="80"/>
              <w:jc w:val="left"/>
            </w:pPr>
            <w:r>
              <w:rPr>
                <w:rFonts w:ascii="Calibri" w:hAnsi="Calibri"/>
                <w:color w:val="0F172A"/>
                <w:sz w:val="18"/>
              </w:rPr>
              <w:t>Business problem, unified platform value, personas</w:t>
            </w:r>
          </w:p>
        </w:tc>
        <w:tc>
          <w:tcPr>
            <w:tcW w:type="dxa" w:w="2736"/>
            <w:tcBorders>
              <w:top w:val="none" w:sz="4" w:space="0" w:color="auto"/>
              <w:left w:val="none" w:sz="4" w:space="0" w:color="auto"/>
              <w:bottom w:val="single" w:sz="4" w:space="0" w:color="E2E8F0"/>
              <w:right w:val="none" w:sz="4" w:space="0" w:color="auto"/>
              <w:insideH w:val="none"/>
              <w:insideV w:val="none"/>
            </w:tcBorders>
          </w:tcPr>
          <w:p>
            <w:pPr>
              <w:spacing w:before="80" w:after="80"/>
              <w:jc w:val="left"/>
            </w:pPr>
            <w:r>
              <w:rPr>
                <w:rFonts w:ascii="Calibri" w:hAnsi="Calibri"/>
                <w:color w:val="0F172A"/>
                <w:sz w:val="18"/>
              </w:rPr>
              <w:t>Live Application Dashboard</w:t>
            </w:r>
          </w:p>
        </w:tc>
      </w:tr>
      <w:tr>
        <w:tc>
          <w:tcPr>
            <w:tcW w:type="dxa" w:w="2016"/>
            <w:shd w:fill="F8FAFC"/>
            <w:tcBorders>
              <w:top w:val="none" w:sz="4" w:space="0" w:color="auto"/>
              <w:left w:val="none" w:sz="4" w:space="0" w:color="auto"/>
              <w:bottom w:val="single" w:sz="4" w:space="0" w:color="E2E8F0"/>
              <w:right w:val="none" w:sz="4" w:space="0" w:color="auto"/>
              <w:insideH w:val="none"/>
              <w:insideV w:val="none"/>
            </w:tcBorders>
          </w:tcPr>
          <w:p>
            <w:pPr>
              <w:spacing w:before="80" w:after="80"/>
              <w:jc w:val="left"/>
            </w:pPr>
            <w:r>
              <w:rPr>
                <w:rFonts w:ascii="Calibri" w:hAnsi="Calibri"/>
                <w:color w:val="0F172A"/>
                <w:sz w:val="18"/>
              </w:rPr>
              <w:t>2. Architectural Design</w:t>
            </w:r>
          </w:p>
        </w:tc>
        <w:tc>
          <w:tcPr>
            <w:tcW w:type="dxa" w:w="1296"/>
            <w:shd w:fill="F8FAFC"/>
            <w:tcBorders>
              <w:top w:val="none" w:sz="4" w:space="0" w:color="auto"/>
              <w:left w:val="none" w:sz="4" w:space="0" w:color="auto"/>
              <w:bottom w:val="single" w:sz="4" w:space="0" w:color="E2E8F0"/>
              <w:right w:val="none" w:sz="4" w:space="0" w:color="auto"/>
              <w:insideH w:val="none"/>
              <w:insideV w:val="none"/>
            </w:tcBorders>
          </w:tcPr>
          <w:p>
            <w:pPr>
              <w:spacing w:before="80" w:after="80"/>
              <w:jc w:val="left"/>
            </w:pPr>
            <w:r>
              <w:rPr>
                <w:rFonts w:ascii="Calibri" w:hAnsi="Calibri"/>
                <w:color w:val="0F172A"/>
                <w:sz w:val="18"/>
              </w:rPr>
              <w:t>8 mins</w:t>
            </w:r>
          </w:p>
        </w:tc>
        <w:tc>
          <w:tcPr>
            <w:tcW w:type="dxa" w:w="3312"/>
            <w:shd w:fill="F8FAFC"/>
            <w:tcBorders>
              <w:top w:val="none" w:sz="4" w:space="0" w:color="auto"/>
              <w:left w:val="none" w:sz="4" w:space="0" w:color="auto"/>
              <w:bottom w:val="single" w:sz="4" w:space="0" w:color="E2E8F0"/>
              <w:right w:val="none" w:sz="4" w:space="0" w:color="auto"/>
              <w:insideH w:val="none"/>
              <w:insideV w:val="none"/>
            </w:tcBorders>
          </w:tcPr>
          <w:p>
            <w:pPr>
              <w:spacing w:before="80" w:after="80"/>
              <w:jc w:val="left"/>
            </w:pPr>
            <w:r>
              <w:rPr>
                <w:rFonts w:ascii="Calibri" w:hAnsi="Calibri"/>
                <w:color w:val="0F172A"/>
                <w:sz w:val="18"/>
              </w:rPr>
              <w:t>Decoupled architecture, tech stack selection rationale</w:t>
            </w:r>
          </w:p>
        </w:tc>
        <w:tc>
          <w:tcPr>
            <w:tcW w:type="dxa" w:w="2736"/>
            <w:shd w:fill="F8FAFC"/>
            <w:tcBorders>
              <w:top w:val="none" w:sz="4" w:space="0" w:color="auto"/>
              <w:left w:val="none" w:sz="4" w:space="0" w:color="auto"/>
              <w:bottom w:val="single" w:sz="4" w:space="0" w:color="E2E8F0"/>
              <w:right w:val="none" w:sz="4" w:space="0" w:color="auto"/>
              <w:insideH w:val="none"/>
              <w:insideV w:val="none"/>
            </w:tcBorders>
          </w:tcPr>
          <w:p>
            <w:pPr>
              <w:spacing w:before="80" w:after="80"/>
              <w:jc w:val="left"/>
            </w:pPr>
            <w:r>
              <w:rPr>
                <w:rFonts w:ascii="Calibri" w:hAnsi="Calibri"/>
                <w:color w:val="0F172A"/>
                <w:sz w:val="18"/>
              </w:rPr>
              <w:t>System Architecture Block Diagram &amp; schema.sql</w:t>
            </w:r>
          </w:p>
        </w:tc>
      </w:tr>
      <w:tr>
        <w:tc>
          <w:tcPr>
            <w:tcW w:type="dxa" w:w="2016"/>
            <w:tcBorders>
              <w:top w:val="none" w:sz="4" w:space="0" w:color="auto"/>
              <w:left w:val="none" w:sz="4" w:space="0" w:color="auto"/>
              <w:bottom w:val="single" w:sz="4" w:space="0" w:color="E2E8F0"/>
              <w:right w:val="none" w:sz="4" w:space="0" w:color="auto"/>
              <w:insideH w:val="none"/>
              <w:insideV w:val="none"/>
            </w:tcBorders>
          </w:tcPr>
          <w:p>
            <w:pPr>
              <w:spacing w:before="80" w:after="80"/>
              <w:jc w:val="left"/>
            </w:pPr>
            <w:r>
              <w:rPr>
                <w:rFonts w:ascii="Calibri" w:hAnsi="Calibri"/>
                <w:color w:val="0F172A"/>
                <w:sz w:val="18"/>
              </w:rPr>
              <w:t>3. Live Workflow Demo</w:t>
            </w:r>
          </w:p>
        </w:tc>
        <w:tc>
          <w:tcPr>
            <w:tcW w:type="dxa" w:w="1296"/>
            <w:tcBorders>
              <w:top w:val="none" w:sz="4" w:space="0" w:color="auto"/>
              <w:left w:val="none" w:sz="4" w:space="0" w:color="auto"/>
              <w:bottom w:val="single" w:sz="4" w:space="0" w:color="E2E8F0"/>
              <w:right w:val="none" w:sz="4" w:space="0" w:color="auto"/>
              <w:insideH w:val="none"/>
              <w:insideV w:val="none"/>
            </w:tcBorders>
          </w:tcPr>
          <w:p>
            <w:pPr>
              <w:spacing w:before="80" w:after="80"/>
              <w:jc w:val="left"/>
            </w:pPr>
            <w:r>
              <w:rPr>
                <w:rFonts w:ascii="Calibri" w:hAnsi="Calibri"/>
                <w:color w:val="0F172A"/>
                <w:sz w:val="18"/>
              </w:rPr>
              <w:t>12 mins</w:t>
            </w:r>
          </w:p>
        </w:tc>
        <w:tc>
          <w:tcPr>
            <w:tcW w:type="dxa" w:w="3312"/>
            <w:tcBorders>
              <w:top w:val="none" w:sz="4" w:space="0" w:color="auto"/>
              <w:left w:val="none" w:sz="4" w:space="0" w:color="auto"/>
              <w:bottom w:val="single" w:sz="4" w:space="0" w:color="E2E8F0"/>
              <w:right w:val="none" w:sz="4" w:space="0" w:color="auto"/>
              <w:insideH w:val="none"/>
              <w:insideV w:val="none"/>
            </w:tcBorders>
          </w:tcPr>
          <w:p>
            <w:pPr>
              <w:spacing w:before="80" w:after="80"/>
              <w:jc w:val="left"/>
            </w:pPr>
            <w:r>
              <w:rPr>
                <w:rFonts w:ascii="Calibri" w:hAnsi="Calibri"/>
                <w:color w:val="0F172A"/>
                <w:sz w:val="18"/>
              </w:rPr>
              <w:t>Leave workflow, Kenya holiday rules, SLA ticketing</w:t>
            </w:r>
          </w:p>
        </w:tc>
        <w:tc>
          <w:tcPr>
            <w:tcW w:type="dxa" w:w="2736"/>
            <w:tcBorders>
              <w:top w:val="none" w:sz="4" w:space="0" w:color="auto"/>
              <w:left w:val="none" w:sz="4" w:space="0" w:color="auto"/>
              <w:bottom w:val="single" w:sz="4" w:space="0" w:color="E2E8F0"/>
              <w:right w:val="none" w:sz="4" w:space="0" w:color="auto"/>
              <w:insideH w:val="none"/>
              <w:insideV w:val="none"/>
            </w:tcBorders>
          </w:tcPr>
          <w:p>
            <w:pPr>
              <w:spacing w:before="80" w:after="80"/>
              <w:jc w:val="left"/>
            </w:pPr>
            <w:r>
              <w:rPr>
                <w:rFonts w:ascii="Calibri" w:hAnsi="Calibri"/>
                <w:color w:val="0F172A"/>
                <w:sz w:val="18"/>
              </w:rPr>
              <w:t>Browser: Employee Portal -&gt; Manager -&gt; Support Agent</w:t>
            </w:r>
          </w:p>
        </w:tc>
      </w:tr>
      <w:tr>
        <w:tc>
          <w:tcPr>
            <w:tcW w:type="dxa" w:w="2016"/>
            <w:shd w:fill="F8FAFC"/>
            <w:tcBorders>
              <w:top w:val="none" w:sz="4" w:space="0" w:color="auto"/>
              <w:left w:val="none" w:sz="4" w:space="0" w:color="auto"/>
              <w:bottom w:val="single" w:sz="4" w:space="0" w:color="E2E8F0"/>
              <w:right w:val="none" w:sz="4" w:space="0" w:color="auto"/>
              <w:insideH w:val="none"/>
              <w:insideV w:val="none"/>
            </w:tcBorders>
          </w:tcPr>
          <w:p>
            <w:pPr>
              <w:spacing w:before="80" w:after="80"/>
              <w:jc w:val="left"/>
            </w:pPr>
            <w:r>
              <w:rPr>
                <w:rFonts w:ascii="Calibri" w:hAnsi="Calibri"/>
                <w:color w:val="0F172A"/>
                <w:sz w:val="18"/>
              </w:rPr>
              <w:t>4. Source Code Deep-Dive</w:t>
            </w:r>
          </w:p>
        </w:tc>
        <w:tc>
          <w:tcPr>
            <w:tcW w:type="dxa" w:w="1296"/>
            <w:shd w:fill="F8FAFC"/>
            <w:tcBorders>
              <w:top w:val="none" w:sz="4" w:space="0" w:color="auto"/>
              <w:left w:val="none" w:sz="4" w:space="0" w:color="auto"/>
              <w:bottom w:val="single" w:sz="4" w:space="0" w:color="E2E8F0"/>
              <w:right w:val="none" w:sz="4" w:space="0" w:color="auto"/>
              <w:insideH w:val="none"/>
              <w:insideV w:val="none"/>
            </w:tcBorders>
          </w:tcPr>
          <w:p>
            <w:pPr>
              <w:spacing w:before="80" w:after="80"/>
              <w:jc w:val="left"/>
            </w:pPr>
            <w:r>
              <w:rPr>
                <w:rFonts w:ascii="Calibri" w:hAnsi="Calibri"/>
                <w:color w:val="0F172A"/>
                <w:sz w:val="18"/>
              </w:rPr>
              <w:t>12 mins</w:t>
            </w:r>
          </w:p>
        </w:tc>
        <w:tc>
          <w:tcPr>
            <w:tcW w:type="dxa" w:w="3312"/>
            <w:shd w:fill="F8FAFC"/>
            <w:tcBorders>
              <w:top w:val="none" w:sz="4" w:space="0" w:color="auto"/>
              <w:left w:val="none" w:sz="4" w:space="0" w:color="auto"/>
              <w:bottom w:val="single" w:sz="4" w:space="0" w:color="E2E8F0"/>
              <w:right w:val="none" w:sz="4" w:space="0" w:color="auto"/>
              <w:insideH w:val="none"/>
              <w:insideV w:val="none"/>
            </w:tcBorders>
          </w:tcPr>
          <w:p>
            <w:pPr>
              <w:spacing w:before="80" w:after="80"/>
              <w:jc w:val="left"/>
            </w:pPr>
            <w:r>
              <w:rPr>
                <w:rFonts w:ascii="Calibri" w:hAnsi="Calibri"/>
                <w:color w:val="0F172A"/>
                <w:sz w:val="18"/>
              </w:rPr>
              <w:t>Core services, Transactional Outbox, cron engines</w:t>
            </w:r>
          </w:p>
        </w:tc>
        <w:tc>
          <w:tcPr>
            <w:tcW w:type="dxa" w:w="2736"/>
            <w:shd w:fill="F8FAFC"/>
            <w:tcBorders>
              <w:top w:val="none" w:sz="4" w:space="0" w:color="auto"/>
              <w:left w:val="none" w:sz="4" w:space="0" w:color="auto"/>
              <w:bottom w:val="single" w:sz="4" w:space="0" w:color="E2E8F0"/>
              <w:right w:val="none" w:sz="4" w:space="0" w:color="auto"/>
              <w:insideH w:val="none"/>
              <w:insideV w:val="none"/>
            </w:tcBorders>
          </w:tcPr>
          <w:p>
            <w:pPr>
              <w:spacing w:before="80" w:after="80"/>
              <w:jc w:val="left"/>
            </w:pPr>
            <w:r>
              <w:rPr>
                <w:rFonts w:ascii="Calibri" w:hAnsi="Calibri"/>
                <w:color w:val="0F172A"/>
                <w:sz w:val="18"/>
              </w:rPr>
              <w:t>VS Code: 5 Essential Backend &amp; Frontend Classes</w:t>
            </w:r>
          </w:p>
        </w:tc>
      </w:tr>
      <w:tr>
        <w:tc>
          <w:tcPr>
            <w:tcW w:type="dxa" w:w="2016"/>
            <w:tcBorders>
              <w:top w:val="none" w:sz="4" w:space="0" w:color="auto"/>
              <w:left w:val="none" w:sz="4" w:space="0" w:color="auto"/>
              <w:bottom w:val="single" w:sz="4" w:space="0" w:color="E2E8F0"/>
              <w:right w:val="none" w:sz="4" w:space="0" w:color="auto"/>
              <w:insideH w:val="none"/>
              <w:insideV w:val="none"/>
            </w:tcBorders>
          </w:tcPr>
          <w:p>
            <w:pPr>
              <w:spacing w:before="80" w:after="80"/>
              <w:jc w:val="left"/>
            </w:pPr>
            <w:r>
              <w:rPr>
                <w:rFonts w:ascii="Calibri" w:hAnsi="Calibri"/>
                <w:color w:val="0F172A"/>
                <w:sz w:val="18"/>
              </w:rPr>
              <w:t>5. Defense &amp; Q&amp;A</w:t>
            </w:r>
          </w:p>
        </w:tc>
        <w:tc>
          <w:tcPr>
            <w:tcW w:type="dxa" w:w="1296"/>
            <w:tcBorders>
              <w:top w:val="none" w:sz="4" w:space="0" w:color="auto"/>
              <w:left w:val="none" w:sz="4" w:space="0" w:color="auto"/>
              <w:bottom w:val="single" w:sz="4" w:space="0" w:color="E2E8F0"/>
              <w:right w:val="none" w:sz="4" w:space="0" w:color="auto"/>
              <w:insideH w:val="none"/>
              <w:insideV w:val="none"/>
            </w:tcBorders>
          </w:tcPr>
          <w:p>
            <w:pPr>
              <w:spacing w:before="80" w:after="80"/>
              <w:jc w:val="left"/>
            </w:pPr>
            <w:r>
              <w:rPr>
                <w:rFonts w:ascii="Calibri" w:hAnsi="Calibri"/>
                <w:color w:val="0F172A"/>
                <w:sz w:val="18"/>
              </w:rPr>
              <w:t>8 mins</w:t>
            </w:r>
          </w:p>
        </w:tc>
        <w:tc>
          <w:tcPr>
            <w:tcW w:type="dxa" w:w="3312"/>
            <w:tcBorders>
              <w:top w:val="none" w:sz="4" w:space="0" w:color="auto"/>
              <w:left w:val="none" w:sz="4" w:space="0" w:color="auto"/>
              <w:bottom w:val="single" w:sz="4" w:space="0" w:color="E2E8F0"/>
              <w:right w:val="none" w:sz="4" w:space="0" w:color="auto"/>
              <w:insideH w:val="none"/>
              <w:insideV w:val="none"/>
            </w:tcBorders>
          </w:tcPr>
          <w:p>
            <w:pPr>
              <w:spacing w:before="80" w:after="80"/>
              <w:jc w:val="left"/>
            </w:pPr>
            <w:r>
              <w:rPr>
                <w:rFonts w:ascii="Calibri" w:hAnsi="Calibri"/>
                <w:color w:val="0F172A"/>
                <w:sz w:val="18"/>
              </w:rPr>
              <w:t>Concurrency, scaling, edge cases, deployment readiness</w:t>
            </w:r>
          </w:p>
        </w:tc>
        <w:tc>
          <w:tcPr>
            <w:tcW w:type="dxa" w:w="2736"/>
            <w:tcBorders>
              <w:top w:val="none" w:sz="4" w:space="0" w:color="auto"/>
              <w:left w:val="none" w:sz="4" w:space="0" w:color="auto"/>
              <w:bottom w:val="single" w:sz="4" w:space="0" w:color="E2E8F0"/>
              <w:right w:val="none" w:sz="4" w:space="0" w:color="auto"/>
              <w:insideH w:val="none"/>
              <w:insideV w:val="none"/>
            </w:tcBorders>
          </w:tcPr>
          <w:p>
            <w:pPr>
              <w:spacing w:before="80" w:after="80"/>
              <w:jc w:val="left"/>
            </w:pPr>
            <w:r>
              <w:rPr>
                <w:rFonts w:ascii="Calibri" w:hAnsi="Calibri"/>
                <w:color w:val="0F172A"/>
                <w:sz w:val="18"/>
              </w:rPr>
              <w:t>Supervisor Q&amp;A Cheat Sheet (Section 8)</w:t>
            </w:r>
          </w:p>
        </w:tc>
      </w:tr>
    </w:tbl>
    <w:p>
      <w:pPr>
        <w:spacing w:before="40" w:after="120"/>
      </w:pPr>
    </w:p>
    <w:tbl>
      <w:tblPr>
        <w:tblW w:type="auto" w:w="0"/>
        <w:jc w:val="center"/>
        <w:tblLayout w:type="fixed"/>
        <w:tblLook w:firstColumn="1" w:firstRow="1" w:lastColumn="0" w:lastRow="0" w:noHBand="0" w:noVBand="1" w:val="04A0"/>
      </w:tblPr>
      <w:tblGrid>
        <w:gridCol w:w="9360"/>
      </w:tblGrid>
      <w:tr>
        <w:tc>
          <w:tcPr>
            <w:tcW w:type="dxa" w:w="9360"/>
            <w:shd w:fill="F0FDF4"/>
            <w:tcBorders>
              <w:top w:val="none" w:sz="4" w:space="0" w:color="auto"/>
              <w:left w:val="single" w:sz="24" w:space="0" w:color="16A34A"/>
              <w:bottom w:val="none" w:sz="4" w:space="0" w:color="auto"/>
              <w:right w:val="none" w:sz="4" w:space="0" w:color="auto"/>
              <w:insideH w:val="none"/>
              <w:insideV w:val="none"/>
            </w:tcBorders>
          </w:tcPr>
          <w:p>
            <w:pPr>
              <w:spacing w:before="100" w:after="80" w:line="276" w:lineRule="auto"/>
              <w:ind w:left="216" w:right="216"/>
            </w:pPr>
            <w:r>
              <w:rPr>
                <w:rFonts w:ascii="Calibri" w:hAnsi="Calibri"/>
                <w:b/>
                <w:color w:val="1E3A8A"/>
                <w:sz w:val="21"/>
              </w:rPr>
              <w:t>🎙️ Developer Talking Point: Opening Statement for Your Supervisor</w:t>
              <w:br/>
            </w:r>
            <w:r>
              <w:rPr>
                <w:rFonts w:ascii="Calibri" w:hAnsi="Calibri"/>
                <w:color w:val="0F172A"/>
                <w:sz w:val="19"/>
              </w:rPr>
              <w:t>"Good morning/afternoon. Today I want to walk you through our Employee Management and Internal Help Desk platform. Rather than building disconnected tools where HR leave tracking lives in one silo and IT support tickets in another, we engineered a unified, high-integrity platform. It features strict role-based access control, automated balance accounting with local Kenyan holiday calendar intelligence, real-time SLA breach monitoring, and an event-driven Out-of-Office sync handler that automatically reassigns an IT agent’s open tickets when their leave is approved. Let me start with our architectural blueprint."</w:t>
            </w:r>
          </w:p>
        </w:tc>
      </w:tr>
    </w:tbl>
    <w:p>
      <w:pPr>
        <w:spacing w:before="20" w:after="80"/>
      </w:pPr>
    </w:p>
    <w:p>
      <w:pPr>
        <w:keepNext/>
        <w:spacing w:before="360" w:after="120"/>
      </w:pPr>
      <w:r>
        <w:rPr>
          <w:rFonts w:ascii="Calibri" w:hAnsi="Calibri"/>
          <w:b/>
          <w:color w:val="1E3A8A"/>
          <w:sz w:val="34"/>
        </w:rPr>
        <w:t>2. High-Level Architecture &amp; Tech Stack Justification</w:t>
      </w:r>
    </w:p>
    <w:p>
      <w:pPr>
        <w:spacing w:before="40" w:after="80" w:line="276" w:lineRule="auto"/>
      </w:pPr>
      <w:r>
        <w:rPr>
          <w:rFonts w:ascii="Calibri" w:hAnsi="Calibri"/>
          <w:color w:val="0F172A"/>
          <w:sz w:val="21"/>
        </w:rPr>
        <w:t>The system follows a classic decoupled client-server architecture with an asynchronous event processing pipeline. The frontend is a lightweight, responsive Single Page Application (SPA), while the backend is an enterprise-grade RESTful API built around domain-driven service boundaries and transactional data integrity.</w:t>
      </w:r>
    </w:p>
    <w:tbl>
      <w:tblPr>
        <w:tblW w:type="auto" w:w="0"/>
        <w:jc w:val="center"/>
        <w:tblLayout w:type="fixed"/>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insideH w:val="none"/>
              <w:insideV w:val="none"/>
            </w:tcBorders>
          </w:tcPr>
          <w:p>
            <w:pPr>
              <w:spacing w:before="80" w:after="80"/>
              <w:ind w:left="173" w:right="173"/>
            </w:pPr>
            <w:r>
              <w:rPr>
                <w:rFonts w:ascii="Consolas" w:hAnsi="Consolas"/>
                <w:color w:val="1E293B"/>
                <w:sz w:val="17"/>
              </w:rPr>
              <w:t>+-------------------------------------------------------------------------+</w:t>
              <w:br/>
              <w:t>|                 FRONTEND: React 18 + TypeScript + Vite                  |</w:t>
              <w:br/>
              <w:t>|   - Tailwind CSS Responsive Design   - Axios Interceptors with JWT      |</w:t>
              <w:br/>
              <w:t>|   - AuthContext &amp; ThemeContext       - Kenya Holiday Calculation Engine |</w:t>
              <w:br/>
              <w:t>+-------------------------------------------------------------------------+</w:t>
              <w:br/>
              <w:t xml:space="preserve">                                    |  REST / JSON (HTTPS)</w:t>
              <w:br/>
              <w:t xml:space="preserve">                                    v</w:t>
              <w:br/>
              <w:t>+-------------------------------------------------------------------------+</w:t>
              <w:br/>
              <w:t>|                 BACKEND: Spring Boot 3.2.3 (Java 19)                    |</w:t>
              <w:br/>
              <w:t>|   +-------------------+  +--------------------+  +--------------------+ |</w:t>
              <w:br/>
              <w:t>|   |   com.leavemgt    |  |    com.leavemgt    |  |    com.leavemgt    | |</w:t>
              <w:br/>
              <w:t>|   |      .auth        |  |     .identity      |  |       .leave       | |</w:t>
              <w:br/>
              <w:t>|   +-------------------+  +--------------------+  +--------------------+ |</w:t>
              <w:br/>
              <w:t>|   |  - JWT Stateless  |  |  - User Entity     |  |  - Leave Requests  | |</w:t>
              <w:br/>
              <w:t>|   |  - Rate Limiter   |  |  - Hierarchy Table │  |  - Accrual Engine  | |</w:t>
              <w:br/>
              <w:t>|   |  - Refresh Tokens │  |  - Roles &amp; Depts   │  |  - Balance Ledger  | |</w:t>
              <w:br/>
              <w:t>|   +-------------------+  +--------------------+  +--------------------+ |</w:t>
              <w:br/>
              <w:t>|   +-------------------+  +--------------------+  +--------------------+ |</w:t>
              <w:br/>
              <w:t>|   |   com.leavemgt    |  |    com.leavemgt    |  |    com.leavemgt    | |</w:t>
              <w:br/>
              <w:t>|   |     .helpdesk     |  |     .platform      |  |      .common       | |</w:t>
              <w:br/>
              <w:t>|   +-------------------+  +--------------------+  +--------------------+ |</w:t>
              <w:br/>
              <w:t>|   |  - Ticket Entity  |  |  - Event Outbox    |  |  - SecurityConfig  | |</w:t>
              <w:br/>
              <w:t>|   |  - SLA Monitor    |  |  - Outbox Poller   |  |  - Global Handlers | |</w:t>
              <w:br/>
              <w:t>|   |  - Triage Queues  |  |  - OOO Sync Handler|  |  - ApiResponse DTO | |</w:t>
              <w:br/>
              <w:t>|   +-------------------+  +--------------------+  +--------------------+ |</w:t>
              <w:br/>
              <w:t>+-------------------------------------------------------------------------+</w:t>
              <w:br/>
              <w:t xml:space="preserve">                                    |  JDBC / HikariCP Pool</w:t>
              <w:br/>
              <w:t xml:space="preserve">                                    v</w:t>
              <w:br/>
              <w:t>+-------------------------------------------------------------------------+</w:t>
              <w:br/>
              <w:t>|                   DATABASE: PostgreSQL 18 (23 Tables)                   |</w:t>
              <w:br/>
              <w:t>|   - Relational Constraints   - UUID Primary Keys   - Double-Entry Ledger|</w:t>
              <w:br/>
              <w:t>+-------------------------------------------------------------------------+</w:t>
            </w:r>
          </w:p>
        </w:tc>
      </w:tr>
    </w:tbl>
    <w:p>
      <w:pPr>
        <w:spacing w:before="40" w:after="80"/>
      </w:pPr>
    </w:p>
    <w:p>
      <w:pPr>
        <w:keepNext/>
        <w:spacing w:before="280" w:after="80"/>
      </w:pPr>
      <w:r>
        <w:rPr>
          <w:rFonts w:ascii="Calibri" w:hAnsi="Calibri"/>
          <w:b/>
          <w:color w:val="334155"/>
          <w:sz w:val="26"/>
        </w:rPr>
        <w:t>2.1 Technology Stack Matrix &amp; Justifications</w:t>
      </w:r>
    </w:p>
    <w:tbl>
      <w:tblPr>
        <w:tblW w:type="auto" w:w="0"/>
        <w:jc w:val="center"/>
        <w:tblLayout w:type="fixed"/>
        <w:tblLook w:firstColumn="1" w:firstRow="1" w:lastColumn="0" w:lastRow="0" w:noHBand="0" w:noVBand="1" w:val="04A0"/>
      </w:tblPr>
      <w:tblGrid>
        <w:gridCol w:w="2340"/>
        <w:gridCol w:w="2340"/>
        <w:gridCol w:w="2340"/>
        <w:gridCol w:w="2340"/>
      </w:tblGrid>
      <w:tr>
        <w:trPr>
          <w:tblHeader/>
        </w:trPr>
        <w:tc>
          <w:tcPr>
            <w:tcW w:type="dxa" w:w="1872"/>
            <w:shd w:fill="1E3A8A"/>
            <w:tcBorders>
              <w:top w:val="none" w:sz="4" w:space="0" w:color="auto"/>
              <w:left w:val="none" w:sz="4" w:space="0" w:color="auto"/>
              <w:bottom w:val="single" w:sz="8" w:space="0" w:color="0F172A"/>
              <w:right w:val="none" w:sz="4" w:space="0" w:color="auto"/>
              <w:insideH w:val="none"/>
              <w:insideV w:val="none"/>
            </w:tcBorders>
          </w:tcPr>
          <w:p>
            <w:pPr>
              <w:spacing w:before="100" w:after="100"/>
              <w:jc w:val="left"/>
            </w:pPr>
            <w:r>
              <w:rPr>
                <w:rFonts w:ascii="Calibri" w:hAnsi="Calibri"/>
                <w:b/>
                <w:color w:val="FFFFFF"/>
                <w:sz w:val="19"/>
              </w:rPr>
              <w:t>Layer</w:t>
            </w:r>
          </w:p>
        </w:tc>
        <w:tc>
          <w:tcPr>
            <w:tcW w:type="dxa" w:w="2016"/>
            <w:shd w:fill="1E3A8A"/>
            <w:tcBorders>
              <w:top w:val="none" w:sz="4" w:space="0" w:color="auto"/>
              <w:left w:val="none" w:sz="4" w:space="0" w:color="auto"/>
              <w:bottom w:val="single" w:sz="8" w:space="0" w:color="0F172A"/>
              <w:right w:val="none" w:sz="4" w:space="0" w:color="auto"/>
              <w:insideH w:val="none"/>
              <w:insideV w:val="none"/>
            </w:tcBorders>
          </w:tcPr>
          <w:p>
            <w:pPr>
              <w:spacing w:before="100" w:after="100"/>
              <w:jc w:val="left"/>
            </w:pPr>
            <w:r>
              <w:rPr>
                <w:rFonts w:ascii="Calibri" w:hAnsi="Calibri"/>
                <w:b/>
                <w:color w:val="FFFFFF"/>
                <w:sz w:val="19"/>
              </w:rPr>
              <w:t>Technology</w:t>
            </w:r>
          </w:p>
        </w:tc>
        <w:tc>
          <w:tcPr>
            <w:tcW w:type="dxa" w:w="1152"/>
            <w:shd w:fill="1E3A8A"/>
            <w:tcBorders>
              <w:top w:val="none" w:sz="4" w:space="0" w:color="auto"/>
              <w:left w:val="none" w:sz="4" w:space="0" w:color="auto"/>
              <w:bottom w:val="single" w:sz="8" w:space="0" w:color="0F172A"/>
              <w:right w:val="none" w:sz="4" w:space="0" w:color="auto"/>
              <w:insideH w:val="none"/>
              <w:insideV w:val="none"/>
            </w:tcBorders>
          </w:tcPr>
          <w:p>
            <w:pPr>
              <w:spacing w:before="100" w:after="100"/>
              <w:jc w:val="left"/>
            </w:pPr>
            <w:r>
              <w:rPr>
                <w:rFonts w:ascii="Calibri" w:hAnsi="Calibri"/>
                <w:b/>
                <w:color w:val="FFFFFF"/>
                <w:sz w:val="19"/>
              </w:rPr>
              <w:t>Version</w:t>
            </w:r>
          </w:p>
        </w:tc>
        <w:tc>
          <w:tcPr>
            <w:tcW w:type="dxa" w:w="4320"/>
            <w:shd w:fill="1E3A8A"/>
            <w:tcBorders>
              <w:top w:val="none" w:sz="4" w:space="0" w:color="auto"/>
              <w:left w:val="none" w:sz="4" w:space="0" w:color="auto"/>
              <w:bottom w:val="single" w:sz="8" w:space="0" w:color="0F172A"/>
              <w:right w:val="none" w:sz="4" w:space="0" w:color="auto"/>
              <w:insideH w:val="none"/>
              <w:insideV w:val="none"/>
            </w:tcBorders>
          </w:tcPr>
          <w:p>
            <w:pPr>
              <w:spacing w:before="100" w:after="100"/>
              <w:jc w:val="left"/>
            </w:pPr>
            <w:r>
              <w:rPr>
                <w:rFonts w:ascii="Calibri" w:hAnsi="Calibri"/>
                <w:b/>
                <w:color w:val="FFFFFF"/>
                <w:sz w:val="19"/>
              </w:rPr>
              <w:t>Senior Engineering Justification</w:t>
            </w:r>
          </w:p>
        </w:tc>
      </w:tr>
      <w:tr>
        <w:tc>
          <w:tcPr>
            <w:tcW w:type="dxa" w:w="1872"/>
            <w:tcBorders>
              <w:top w:val="none" w:sz="4" w:space="0" w:color="auto"/>
              <w:left w:val="none" w:sz="4" w:space="0" w:color="auto"/>
              <w:bottom w:val="single" w:sz="4" w:space="0" w:color="E2E8F0"/>
              <w:right w:val="none" w:sz="4" w:space="0" w:color="auto"/>
              <w:insideH w:val="none"/>
              <w:insideV w:val="none"/>
            </w:tcBorders>
          </w:tcPr>
          <w:p>
            <w:pPr>
              <w:spacing w:before="80" w:after="80"/>
              <w:jc w:val="left"/>
            </w:pPr>
            <w:r>
              <w:rPr>
                <w:rFonts w:ascii="Calibri" w:hAnsi="Calibri"/>
                <w:color w:val="0F172A"/>
                <w:sz w:val="18"/>
              </w:rPr>
              <w:t>Backend Framework</w:t>
            </w:r>
          </w:p>
        </w:tc>
        <w:tc>
          <w:tcPr>
            <w:tcW w:type="dxa" w:w="2016"/>
            <w:tcBorders>
              <w:top w:val="none" w:sz="4" w:space="0" w:color="auto"/>
              <w:left w:val="none" w:sz="4" w:space="0" w:color="auto"/>
              <w:bottom w:val="single" w:sz="4" w:space="0" w:color="E2E8F0"/>
              <w:right w:val="none" w:sz="4" w:space="0" w:color="auto"/>
              <w:insideH w:val="none"/>
              <w:insideV w:val="none"/>
            </w:tcBorders>
          </w:tcPr>
          <w:p>
            <w:pPr>
              <w:spacing w:before="80" w:after="80"/>
              <w:jc w:val="left"/>
            </w:pPr>
            <w:r>
              <w:rPr>
                <w:rFonts w:ascii="Calibri" w:hAnsi="Calibri"/>
                <w:color w:val="0F172A"/>
                <w:sz w:val="18"/>
              </w:rPr>
              <w:t>Spring Boot</w:t>
            </w:r>
          </w:p>
        </w:tc>
        <w:tc>
          <w:tcPr>
            <w:tcW w:type="dxa" w:w="1152"/>
            <w:tcBorders>
              <w:top w:val="none" w:sz="4" w:space="0" w:color="auto"/>
              <w:left w:val="none" w:sz="4" w:space="0" w:color="auto"/>
              <w:bottom w:val="single" w:sz="4" w:space="0" w:color="E2E8F0"/>
              <w:right w:val="none" w:sz="4" w:space="0" w:color="auto"/>
              <w:insideH w:val="none"/>
              <w:insideV w:val="none"/>
            </w:tcBorders>
          </w:tcPr>
          <w:p>
            <w:pPr>
              <w:spacing w:before="80" w:after="80"/>
              <w:jc w:val="left"/>
            </w:pPr>
            <w:r>
              <w:rPr>
                <w:rFonts w:ascii="Calibri" w:hAnsi="Calibri"/>
                <w:color w:val="0F172A"/>
                <w:sz w:val="18"/>
              </w:rPr>
              <w:t>3.2.3</w:t>
            </w:r>
          </w:p>
        </w:tc>
        <w:tc>
          <w:tcPr>
            <w:tcW w:type="dxa" w:w="4320"/>
            <w:tcBorders>
              <w:top w:val="none" w:sz="4" w:space="0" w:color="auto"/>
              <w:left w:val="none" w:sz="4" w:space="0" w:color="auto"/>
              <w:bottom w:val="single" w:sz="4" w:space="0" w:color="E2E8F0"/>
              <w:right w:val="none" w:sz="4" w:space="0" w:color="auto"/>
              <w:insideH w:val="none"/>
              <w:insideV w:val="none"/>
            </w:tcBorders>
          </w:tcPr>
          <w:p>
            <w:pPr>
              <w:spacing w:before="80" w:after="80"/>
              <w:jc w:val="left"/>
            </w:pPr>
            <w:r>
              <w:rPr>
                <w:rFonts w:ascii="Calibri" w:hAnsi="Calibri"/>
                <w:color w:val="0F172A"/>
                <w:sz w:val="18"/>
              </w:rPr>
              <w:t>Declarative transaction boundaries (@Transactional), compile-time dependency injection, and native scheduling (@Scheduled).</w:t>
            </w:r>
          </w:p>
        </w:tc>
      </w:tr>
      <w:tr>
        <w:tc>
          <w:tcPr>
            <w:tcW w:type="dxa" w:w="1872"/>
            <w:shd w:fill="F8FAFC"/>
            <w:tcBorders>
              <w:top w:val="none" w:sz="4" w:space="0" w:color="auto"/>
              <w:left w:val="none" w:sz="4" w:space="0" w:color="auto"/>
              <w:bottom w:val="single" w:sz="4" w:space="0" w:color="E2E8F0"/>
              <w:right w:val="none" w:sz="4" w:space="0" w:color="auto"/>
              <w:insideH w:val="none"/>
              <w:insideV w:val="none"/>
            </w:tcBorders>
          </w:tcPr>
          <w:p>
            <w:pPr>
              <w:spacing w:before="80" w:after="80"/>
              <w:jc w:val="left"/>
            </w:pPr>
            <w:r>
              <w:rPr>
                <w:rFonts w:ascii="Calibri" w:hAnsi="Calibri"/>
                <w:color w:val="0F172A"/>
                <w:sz w:val="18"/>
              </w:rPr>
              <w:t>Language</w:t>
            </w:r>
          </w:p>
        </w:tc>
        <w:tc>
          <w:tcPr>
            <w:tcW w:type="dxa" w:w="2016"/>
            <w:shd w:fill="F8FAFC"/>
            <w:tcBorders>
              <w:top w:val="none" w:sz="4" w:space="0" w:color="auto"/>
              <w:left w:val="none" w:sz="4" w:space="0" w:color="auto"/>
              <w:bottom w:val="single" w:sz="4" w:space="0" w:color="E2E8F0"/>
              <w:right w:val="none" w:sz="4" w:space="0" w:color="auto"/>
              <w:insideH w:val="none"/>
              <w:insideV w:val="none"/>
            </w:tcBorders>
          </w:tcPr>
          <w:p>
            <w:pPr>
              <w:spacing w:before="80" w:after="80"/>
              <w:jc w:val="left"/>
            </w:pPr>
            <w:r>
              <w:rPr>
                <w:rFonts w:ascii="Calibri" w:hAnsi="Calibri"/>
                <w:color w:val="0F172A"/>
                <w:sz w:val="18"/>
              </w:rPr>
              <w:t>Java</w:t>
            </w:r>
          </w:p>
        </w:tc>
        <w:tc>
          <w:tcPr>
            <w:tcW w:type="dxa" w:w="1152"/>
            <w:shd w:fill="F8FAFC"/>
            <w:tcBorders>
              <w:top w:val="none" w:sz="4" w:space="0" w:color="auto"/>
              <w:left w:val="none" w:sz="4" w:space="0" w:color="auto"/>
              <w:bottom w:val="single" w:sz="4" w:space="0" w:color="E2E8F0"/>
              <w:right w:val="none" w:sz="4" w:space="0" w:color="auto"/>
              <w:insideH w:val="none"/>
              <w:insideV w:val="none"/>
            </w:tcBorders>
          </w:tcPr>
          <w:p>
            <w:pPr>
              <w:spacing w:before="80" w:after="80"/>
              <w:jc w:val="left"/>
            </w:pPr>
            <w:r>
              <w:rPr>
                <w:rFonts w:ascii="Calibri" w:hAnsi="Calibri"/>
                <w:color w:val="0F172A"/>
                <w:sz w:val="18"/>
              </w:rPr>
              <w:t>19</w:t>
            </w:r>
          </w:p>
        </w:tc>
        <w:tc>
          <w:tcPr>
            <w:tcW w:type="dxa" w:w="4320"/>
            <w:shd w:fill="F8FAFC"/>
            <w:tcBorders>
              <w:top w:val="none" w:sz="4" w:space="0" w:color="auto"/>
              <w:left w:val="none" w:sz="4" w:space="0" w:color="auto"/>
              <w:bottom w:val="single" w:sz="4" w:space="0" w:color="E2E8F0"/>
              <w:right w:val="none" w:sz="4" w:space="0" w:color="auto"/>
              <w:insideH w:val="none"/>
              <w:insideV w:val="none"/>
            </w:tcBorders>
          </w:tcPr>
          <w:p>
            <w:pPr>
              <w:spacing w:before="80" w:after="80"/>
              <w:jc w:val="left"/>
            </w:pPr>
            <w:r>
              <w:rPr>
                <w:rFonts w:ascii="Calibri" w:hAnsi="Calibri"/>
                <w:color w:val="0F172A"/>
                <w:sz w:val="18"/>
              </w:rPr>
              <w:t>Modern Java records, pattern matching, switch expressions, and strong static typing for mission-critical enterprise workflows.</w:t>
            </w:r>
          </w:p>
        </w:tc>
      </w:tr>
      <w:tr>
        <w:tc>
          <w:tcPr>
            <w:tcW w:type="dxa" w:w="1872"/>
            <w:tcBorders>
              <w:top w:val="none" w:sz="4" w:space="0" w:color="auto"/>
              <w:left w:val="none" w:sz="4" w:space="0" w:color="auto"/>
              <w:bottom w:val="single" w:sz="4" w:space="0" w:color="E2E8F0"/>
              <w:right w:val="none" w:sz="4" w:space="0" w:color="auto"/>
              <w:insideH w:val="none"/>
              <w:insideV w:val="none"/>
            </w:tcBorders>
          </w:tcPr>
          <w:p>
            <w:pPr>
              <w:spacing w:before="80" w:after="80"/>
              <w:jc w:val="left"/>
            </w:pPr>
            <w:r>
              <w:rPr>
                <w:rFonts w:ascii="Calibri" w:hAnsi="Calibri"/>
                <w:color w:val="0F172A"/>
                <w:sz w:val="18"/>
              </w:rPr>
              <w:t>Security</w:t>
            </w:r>
          </w:p>
        </w:tc>
        <w:tc>
          <w:tcPr>
            <w:tcW w:type="dxa" w:w="2016"/>
            <w:tcBorders>
              <w:top w:val="none" w:sz="4" w:space="0" w:color="auto"/>
              <w:left w:val="none" w:sz="4" w:space="0" w:color="auto"/>
              <w:bottom w:val="single" w:sz="4" w:space="0" w:color="E2E8F0"/>
              <w:right w:val="none" w:sz="4" w:space="0" w:color="auto"/>
              <w:insideH w:val="none"/>
              <w:insideV w:val="none"/>
            </w:tcBorders>
          </w:tcPr>
          <w:p>
            <w:pPr>
              <w:spacing w:before="80" w:after="80"/>
              <w:jc w:val="left"/>
            </w:pPr>
            <w:r>
              <w:rPr>
                <w:rFonts w:ascii="Calibri" w:hAnsi="Calibri"/>
                <w:color w:val="0F172A"/>
                <w:sz w:val="18"/>
              </w:rPr>
              <w:t>Spring Security</w:t>
            </w:r>
          </w:p>
        </w:tc>
        <w:tc>
          <w:tcPr>
            <w:tcW w:type="dxa" w:w="1152"/>
            <w:tcBorders>
              <w:top w:val="none" w:sz="4" w:space="0" w:color="auto"/>
              <w:left w:val="none" w:sz="4" w:space="0" w:color="auto"/>
              <w:bottom w:val="single" w:sz="4" w:space="0" w:color="E2E8F0"/>
              <w:right w:val="none" w:sz="4" w:space="0" w:color="auto"/>
              <w:insideH w:val="none"/>
              <w:insideV w:val="none"/>
            </w:tcBorders>
          </w:tcPr>
          <w:p>
            <w:pPr>
              <w:spacing w:before="80" w:after="80"/>
              <w:jc w:val="left"/>
            </w:pPr>
            <w:r>
              <w:rPr>
                <w:rFonts w:ascii="Calibri" w:hAnsi="Calibri"/>
                <w:color w:val="0F172A"/>
                <w:sz w:val="18"/>
              </w:rPr>
              <w:t>6.2.2</w:t>
            </w:r>
          </w:p>
        </w:tc>
        <w:tc>
          <w:tcPr>
            <w:tcW w:type="dxa" w:w="4320"/>
            <w:tcBorders>
              <w:top w:val="none" w:sz="4" w:space="0" w:color="auto"/>
              <w:left w:val="none" w:sz="4" w:space="0" w:color="auto"/>
              <w:bottom w:val="single" w:sz="4" w:space="0" w:color="E2E8F0"/>
              <w:right w:val="none" w:sz="4" w:space="0" w:color="auto"/>
              <w:insideH w:val="none"/>
              <w:insideV w:val="none"/>
            </w:tcBorders>
          </w:tcPr>
          <w:p>
            <w:pPr>
              <w:spacing w:before="80" w:after="80"/>
              <w:jc w:val="left"/>
            </w:pPr>
            <w:r>
              <w:rPr>
                <w:rFonts w:ascii="Calibri" w:hAnsi="Calibri"/>
                <w:color w:val="0F172A"/>
                <w:sz w:val="18"/>
              </w:rPr>
              <w:t>Stateless session management, BCrypt password hashing (work factor 12), and role-based request matcher filters.</w:t>
            </w:r>
          </w:p>
        </w:tc>
      </w:tr>
      <w:tr>
        <w:tc>
          <w:tcPr>
            <w:tcW w:type="dxa" w:w="1872"/>
            <w:shd w:fill="F8FAFC"/>
            <w:tcBorders>
              <w:top w:val="none" w:sz="4" w:space="0" w:color="auto"/>
              <w:left w:val="none" w:sz="4" w:space="0" w:color="auto"/>
              <w:bottom w:val="single" w:sz="4" w:space="0" w:color="E2E8F0"/>
              <w:right w:val="none" w:sz="4" w:space="0" w:color="auto"/>
              <w:insideH w:val="none"/>
              <w:insideV w:val="none"/>
            </w:tcBorders>
          </w:tcPr>
          <w:p>
            <w:pPr>
              <w:spacing w:before="80" w:after="80"/>
              <w:jc w:val="left"/>
            </w:pPr>
            <w:r>
              <w:rPr>
                <w:rFonts w:ascii="Calibri" w:hAnsi="Calibri"/>
                <w:color w:val="0F172A"/>
                <w:sz w:val="18"/>
              </w:rPr>
              <w:t>Persistence</w:t>
            </w:r>
          </w:p>
        </w:tc>
        <w:tc>
          <w:tcPr>
            <w:tcW w:type="dxa" w:w="2016"/>
            <w:shd w:fill="F8FAFC"/>
            <w:tcBorders>
              <w:top w:val="none" w:sz="4" w:space="0" w:color="auto"/>
              <w:left w:val="none" w:sz="4" w:space="0" w:color="auto"/>
              <w:bottom w:val="single" w:sz="4" w:space="0" w:color="E2E8F0"/>
              <w:right w:val="none" w:sz="4" w:space="0" w:color="auto"/>
              <w:insideH w:val="none"/>
              <w:insideV w:val="none"/>
            </w:tcBorders>
          </w:tcPr>
          <w:p>
            <w:pPr>
              <w:spacing w:before="80" w:after="80"/>
              <w:jc w:val="left"/>
            </w:pPr>
            <w:r>
              <w:rPr>
                <w:rFonts w:ascii="Calibri" w:hAnsi="Calibri"/>
                <w:color w:val="0F172A"/>
                <w:sz w:val="18"/>
              </w:rPr>
              <w:t>Spring Data JPA / Hibernate</w:t>
            </w:r>
          </w:p>
        </w:tc>
        <w:tc>
          <w:tcPr>
            <w:tcW w:type="dxa" w:w="1152"/>
            <w:shd w:fill="F8FAFC"/>
            <w:tcBorders>
              <w:top w:val="none" w:sz="4" w:space="0" w:color="auto"/>
              <w:left w:val="none" w:sz="4" w:space="0" w:color="auto"/>
              <w:bottom w:val="single" w:sz="4" w:space="0" w:color="E2E8F0"/>
              <w:right w:val="none" w:sz="4" w:space="0" w:color="auto"/>
              <w:insideH w:val="none"/>
              <w:insideV w:val="none"/>
            </w:tcBorders>
          </w:tcPr>
          <w:p>
            <w:pPr>
              <w:spacing w:before="80" w:after="80"/>
              <w:jc w:val="left"/>
            </w:pPr>
            <w:r>
              <w:rPr>
                <w:rFonts w:ascii="Calibri" w:hAnsi="Calibri"/>
                <w:color w:val="0F172A"/>
                <w:sz w:val="18"/>
              </w:rPr>
              <w:t>6.4.4</w:t>
            </w:r>
          </w:p>
        </w:tc>
        <w:tc>
          <w:tcPr>
            <w:tcW w:type="dxa" w:w="4320"/>
            <w:shd w:fill="F8FAFC"/>
            <w:tcBorders>
              <w:top w:val="none" w:sz="4" w:space="0" w:color="auto"/>
              <w:left w:val="none" w:sz="4" w:space="0" w:color="auto"/>
              <w:bottom w:val="single" w:sz="4" w:space="0" w:color="E2E8F0"/>
              <w:right w:val="none" w:sz="4" w:space="0" w:color="auto"/>
              <w:insideH w:val="none"/>
              <w:insideV w:val="none"/>
            </w:tcBorders>
          </w:tcPr>
          <w:p>
            <w:pPr>
              <w:spacing w:before="80" w:after="80"/>
              <w:jc w:val="left"/>
            </w:pPr>
            <w:r>
              <w:rPr>
                <w:rFonts w:ascii="Calibri" w:hAnsi="Calibri"/>
                <w:color w:val="0F172A"/>
                <w:sz w:val="18"/>
              </w:rPr>
              <w:t>Automated CRUD, schema validation, optimistic locking, and clean repository abstractions.</w:t>
            </w:r>
          </w:p>
        </w:tc>
      </w:tr>
      <w:tr>
        <w:tc>
          <w:tcPr>
            <w:tcW w:type="dxa" w:w="1872"/>
            <w:tcBorders>
              <w:top w:val="none" w:sz="4" w:space="0" w:color="auto"/>
              <w:left w:val="none" w:sz="4" w:space="0" w:color="auto"/>
              <w:bottom w:val="single" w:sz="4" w:space="0" w:color="E2E8F0"/>
              <w:right w:val="none" w:sz="4" w:space="0" w:color="auto"/>
              <w:insideH w:val="none"/>
              <w:insideV w:val="none"/>
            </w:tcBorders>
          </w:tcPr>
          <w:p>
            <w:pPr>
              <w:spacing w:before="80" w:after="80"/>
              <w:jc w:val="left"/>
            </w:pPr>
            <w:r>
              <w:rPr>
                <w:rFonts w:ascii="Calibri" w:hAnsi="Calibri"/>
                <w:color w:val="0F172A"/>
                <w:sz w:val="18"/>
              </w:rPr>
              <w:t>Database</w:t>
            </w:r>
          </w:p>
        </w:tc>
        <w:tc>
          <w:tcPr>
            <w:tcW w:type="dxa" w:w="2016"/>
            <w:tcBorders>
              <w:top w:val="none" w:sz="4" w:space="0" w:color="auto"/>
              <w:left w:val="none" w:sz="4" w:space="0" w:color="auto"/>
              <w:bottom w:val="single" w:sz="4" w:space="0" w:color="E2E8F0"/>
              <w:right w:val="none" w:sz="4" w:space="0" w:color="auto"/>
              <w:insideH w:val="none"/>
              <w:insideV w:val="none"/>
            </w:tcBorders>
          </w:tcPr>
          <w:p>
            <w:pPr>
              <w:spacing w:before="80" w:after="80"/>
              <w:jc w:val="left"/>
            </w:pPr>
            <w:r>
              <w:rPr>
                <w:rFonts w:ascii="Calibri" w:hAnsi="Calibri"/>
                <w:color w:val="0F172A"/>
                <w:sz w:val="18"/>
              </w:rPr>
              <w:t>PostgreSQL</w:t>
            </w:r>
          </w:p>
        </w:tc>
        <w:tc>
          <w:tcPr>
            <w:tcW w:type="dxa" w:w="1152"/>
            <w:tcBorders>
              <w:top w:val="none" w:sz="4" w:space="0" w:color="auto"/>
              <w:left w:val="none" w:sz="4" w:space="0" w:color="auto"/>
              <w:bottom w:val="single" w:sz="4" w:space="0" w:color="E2E8F0"/>
              <w:right w:val="none" w:sz="4" w:space="0" w:color="auto"/>
              <w:insideH w:val="none"/>
              <w:insideV w:val="none"/>
            </w:tcBorders>
          </w:tcPr>
          <w:p>
            <w:pPr>
              <w:spacing w:before="80" w:after="80"/>
              <w:jc w:val="left"/>
            </w:pPr>
            <w:r>
              <w:rPr>
                <w:rFonts w:ascii="Calibri" w:hAnsi="Calibri"/>
                <w:color w:val="0F172A"/>
                <w:sz w:val="18"/>
              </w:rPr>
              <w:t>14+ (Local 18)</w:t>
            </w:r>
          </w:p>
        </w:tc>
        <w:tc>
          <w:tcPr>
            <w:tcW w:type="dxa" w:w="4320"/>
            <w:tcBorders>
              <w:top w:val="none" w:sz="4" w:space="0" w:color="auto"/>
              <w:left w:val="none" w:sz="4" w:space="0" w:color="auto"/>
              <w:bottom w:val="single" w:sz="4" w:space="0" w:color="E2E8F0"/>
              <w:right w:val="none" w:sz="4" w:space="0" w:color="auto"/>
              <w:insideH w:val="none"/>
              <w:insideV w:val="none"/>
            </w:tcBorders>
          </w:tcPr>
          <w:p>
            <w:pPr>
              <w:spacing w:before="80" w:after="80"/>
              <w:jc w:val="left"/>
            </w:pPr>
            <w:r>
              <w:rPr>
                <w:rFonts w:ascii="Calibri" w:hAnsi="Calibri"/>
                <w:color w:val="0F172A"/>
                <w:sz w:val="18"/>
              </w:rPr>
              <w:t>ACID compliance, native UUID generation, robust foreign-key cascades, and JSONB support.</w:t>
            </w:r>
          </w:p>
        </w:tc>
      </w:tr>
      <w:tr>
        <w:tc>
          <w:tcPr>
            <w:tcW w:type="dxa" w:w="1872"/>
            <w:shd w:fill="F8FAFC"/>
            <w:tcBorders>
              <w:top w:val="none" w:sz="4" w:space="0" w:color="auto"/>
              <w:left w:val="none" w:sz="4" w:space="0" w:color="auto"/>
              <w:bottom w:val="single" w:sz="4" w:space="0" w:color="E2E8F0"/>
              <w:right w:val="none" w:sz="4" w:space="0" w:color="auto"/>
              <w:insideH w:val="none"/>
              <w:insideV w:val="none"/>
            </w:tcBorders>
          </w:tcPr>
          <w:p>
            <w:pPr>
              <w:spacing w:before="80" w:after="80"/>
              <w:jc w:val="left"/>
            </w:pPr>
            <w:r>
              <w:rPr>
                <w:rFonts w:ascii="Calibri" w:hAnsi="Calibri"/>
                <w:color w:val="0F172A"/>
                <w:sz w:val="18"/>
              </w:rPr>
              <w:t>Frontend UI</w:t>
            </w:r>
          </w:p>
        </w:tc>
        <w:tc>
          <w:tcPr>
            <w:tcW w:type="dxa" w:w="2016"/>
            <w:shd w:fill="F8FAFC"/>
            <w:tcBorders>
              <w:top w:val="none" w:sz="4" w:space="0" w:color="auto"/>
              <w:left w:val="none" w:sz="4" w:space="0" w:color="auto"/>
              <w:bottom w:val="single" w:sz="4" w:space="0" w:color="E2E8F0"/>
              <w:right w:val="none" w:sz="4" w:space="0" w:color="auto"/>
              <w:insideH w:val="none"/>
              <w:insideV w:val="none"/>
            </w:tcBorders>
          </w:tcPr>
          <w:p>
            <w:pPr>
              <w:spacing w:before="80" w:after="80"/>
              <w:jc w:val="left"/>
            </w:pPr>
            <w:r>
              <w:rPr>
                <w:rFonts w:ascii="Calibri" w:hAnsi="Calibri"/>
                <w:color w:val="0F172A"/>
                <w:sz w:val="18"/>
              </w:rPr>
              <w:t>React</w:t>
            </w:r>
          </w:p>
        </w:tc>
        <w:tc>
          <w:tcPr>
            <w:tcW w:type="dxa" w:w="1152"/>
            <w:shd w:fill="F8FAFC"/>
            <w:tcBorders>
              <w:top w:val="none" w:sz="4" w:space="0" w:color="auto"/>
              <w:left w:val="none" w:sz="4" w:space="0" w:color="auto"/>
              <w:bottom w:val="single" w:sz="4" w:space="0" w:color="E2E8F0"/>
              <w:right w:val="none" w:sz="4" w:space="0" w:color="auto"/>
              <w:insideH w:val="none"/>
              <w:insideV w:val="none"/>
            </w:tcBorders>
          </w:tcPr>
          <w:p>
            <w:pPr>
              <w:spacing w:before="80" w:after="80"/>
              <w:jc w:val="left"/>
            </w:pPr>
            <w:r>
              <w:rPr>
                <w:rFonts w:ascii="Calibri" w:hAnsi="Calibri"/>
                <w:color w:val="0F172A"/>
                <w:sz w:val="18"/>
              </w:rPr>
              <w:t>18.3.1</w:t>
            </w:r>
          </w:p>
        </w:tc>
        <w:tc>
          <w:tcPr>
            <w:tcW w:type="dxa" w:w="4320"/>
            <w:shd w:fill="F8FAFC"/>
            <w:tcBorders>
              <w:top w:val="none" w:sz="4" w:space="0" w:color="auto"/>
              <w:left w:val="none" w:sz="4" w:space="0" w:color="auto"/>
              <w:bottom w:val="single" w:sz="4" w:space="0" w:color="E2E8F0"/>
              <w:right w:val="none" w:sz="4" w:space="0" w:color="auto"/>
              <w:insideH w:val="none"/>
              <w:insideV w:val="none"/>
            </w:tcBorders>
          </w:tcPr>
          <w:p>
            <w:pPr>
              <w:spacing w:before="80" w:after="80"/>
              <w:jc w:val="left"/>
            </w:pPr>
            <w:r>
              <w:rPr>
                <w:rFonts w:ascii="Calibri" w:hAnsi="Calibri"/>
                <w:color w:val="0F172A"/>
                <w:sz w:val="18"/>
              </w:rPr>
              <w:t>Component-driven modularity, functional hooks, virtual DOM reconciler, and seamless state context separation.</w:t>
            </w:r>
          </w:p>
        </w:tc>
      </w:tr>
      <w:tr>
        <w:tc>
          <w:tcPr>
            <w:tcW w:type="dxa" w:w="1872"/>
            <w:tcBorders>
              <w:top w:val="none" w:sz="4" w:space="0" w:color="auto"/>
              <w:left w:val="none" w:sz="4" w:space="0" w:color="auto"/>
              <w:bottom w:val="single" w:sz="4" w:space="0" w:color="E2E8F0"/>
              <w:right w:val="none" w:sz="4" w:space="0" w:color="auto"/>
              <w:insideH w:val="none"/>
              <w:insideV w:val="none"/>
            </w:tcBorders>
          </w:tcPr>
          <w:p>
            <w:pPr>
              <w:spacing w:before="80" w:after="80"/>
              <w:jc w:val="left"/>
            </w:pPr>
            <w:r>
              <w:rPr>
                <w:rFonts w:ascii="Calibri" w:hAnsi="Calibri"/>
                <w:color w:val="0F172A"/>
                <w:sz w:val="18"/>
              </w:rPr>
              <w:t>Language</w:t>
            </w:r>
          </w:p>
        </w:tc>
        <w:tc>
          <w:tcPr>
            <w:tcW w:type="dxa" w:w="2016"/>
            <w:tcBorders>
              <w:top w:val="none" w:sz="4" w:space="0" w:color="auto"/>
              <w:left w:val="none" w:sz="4" w:space="0" w:color="auto"/>
              <w:bottom w:val="single" w:sz="4" w:space="0" w:color="E2E8F0"/>
              <w:right w:val="none" w:sz="4" w:space="0" w:color="auto"/>
              <w:insideH w:val="none"/>
              <w:insideV w:val="none"/>
            </w:tcBorders>
          </w:tcPr>
          <w:p>
            <w:pPr>
              <w:spacing w:before="80" w:after="80"/>
              <w:jc w:val="left"/>
            </w:pPr>
            <w:r>
              <w:rPr>
                <w:rFonts w:ascii="Calibri" w:hAnsi="Calibri"/>
                <w:color w:val="0F172A"/>
                <w:sz w:val="18"/>
              </w:rPr>
              <w:t>TypeScript</w:t>
            </w:r>
          </w:p>
        </w:tc>
        <w:tc>
          <w:tcPr>
            <w:tcW w:type="dxa" w:w="1152"/>
            <w:tcBorders>
              <w:top w:val="none" w:sz="4" w:space="0" w:color="auto"/>
              <w:left w:val="none" w:sz="4" w:space="0" w:color="auto"/>
              <w:bottom w:val="single" w:sz="4" w:space="0" w:color="E2E8F0"/>
              <w:right w:val="none" w:sz="4" w:space="0" w:color="auto"/>
              <w:insideH w:val="none"/>
              <w:insideV w:val="none"/>
            </w:tcBorders>
          </w:tcPr>
          <w:p>
            <w:pPr>
              <w:spacing w:before="80" w:after="80"/>
              <w:jc w:val="left"/>
            </w:pPr>
            <w:r>
              <w:rPr>
                <w:rFonts w:ascii="Calibri" w:hAnsi="Calibri"/>
                <w:color w:val="0F172A"/>
                <w:sz w:val="18"/>
              </w:rPr>
              <w:t>5.5.3</w:t>
            </w:r>
          </w:p>
        </w:tc>
        <w:tc>
          <w:tcPr>
            <w:tcW w:type="dxa" w:w="4320"/>
            <w:tcBorders>
              <w:top w:val="none" w:sz="4" w:space="0" w:color="auto"/>
              <w:left w:val="none" w:sz="4" w:space="0" w:color="auto"/>
              <w:bottom w:val="single" w:sz="4" w:space="0" w:color="E2E8F0"/>
              <w:right w:val="none" w:sz="4" w:space="0" w:color="auto"/>
              <w:insideH w:val="none"/>
              <w:insideV w:val="none"/>
            </w:tcBorders>
          </w:tcPr>
          <w:p>
            <w:pPr>
              <w:spacing w:before="80" w:after="80"/>
              <w:jc w:val="left"/>
            </w:pPr>
            <w:r>
              <w:rPr>
                <w:rFonts w:ascii="Calibri" w:hAnsi="Calibri"/>
                <w:color w:val="0F172A"/>
                <w:sz w:val="18"/>
              </w:rPr>
              <w:t>End-to-end interface typing matching backend DTOs, catching type mismatches at compile time.</w:t>
            </w:r>
          </w:p>
        </w:tc>
      </w:tr>
      <w:tr>
        <w:tc>
          <w:tcPr>
            <w:tcW w:type="dxa" w:w="1872"/>
            <w:shd w:fill="F8FAFC"/>
            <w:tcBorders>
              <w:top w:val="none" w:sz="4" w:space="0" w:color="auto"/>
              <w:left w:val="none" w:sz="4" w:space="0" w:color="auto"/>
              <w:bottom w:val="single" w:sz="4" w:space="0" w:color="E2E8F0"/>
              <w:right w:val="none" w:sz="4" w:space="0" w:color="auto"/>
              <w:insideH w:val="none"/>
              <w:insideV w:val="none"/>
            </w:tcBorders>
          </w:tcPr>
          <w:p>
            <w:pPr>
              <w:spacing w:before="80" w:after="80"/>
              <w:jc w:val="left"/>
            </w:pPr>
            <w:r>
              <w:rPr>
                <w:rFonts w:ascii="Calibri" w:hAnsi="Calibri"/>
                <w:color w:val="0F172A"/>
                <w:sz w:val="18"/>
              </w:rPr>
              <w:t>Build Tool</w:t>
            </w:r>
          </w:p>
        </w:tc>
        <w:tc>
          <w:tcPr>
            <w:tcW w:type="dxa" w:w="2016"/>
            <w:shd w:fill="F8FAFC"/>
            <w:tcBorders>
              <w:top w:val="none" w:sz="4" w:space="0" w:color="auto"/>
              <w:left w:val="none" w:sz="4" w:space="0" w:color="auto"/>
              <w:bottom w:val="single" w:sz="4" w:space="0" w:color="E2E8F0"/>
              <w:right w:val="none" w:sz="4" w:space="0" w:color="auto"/>
              <w:insideH w:val="none"/>
              <w:insideV w:val="none"/>
            </w:tcBorders>
          </w:tcPr>
          <w:p>
            <w:pPr>
              <w:spacing w:before="80" w:after="80"/>
              <w:jc w:val="left"/>
            </w:pPr>
            <w:r>
              <w:rPr>
                <w:rFonts w:ascii="Calibri" w:hAnsi="Calibri"/>
                <w:color w:val="0F172A"/>
                <w:sz w:val="18"/>
              </w:rPr>
              <w:t>Vite</w:t>
            </w:r>
          </w:p>
        </w:tc>
        <w:tc>
          <w:tcPr>
            <w:tcW w:type="dxa" w:w="1152"/>
            <w:shd w:fill="F8FAFC"/>
            <w:tcBorders>
              <w:top w:val="none" w:sz="4" w:space="0" w:color="auto"/>
              <w:left w:val="none" w:sz="4" w:space="0" w:color="auto"/>
              <w:bottom w:val="single" w:sz="4" w:space="0" w:color="E2E8F0"/>
              <w:right w:val="none" w:sz="4" w:space="0" w:color="auto"/>
              <w:insideH w:val="none"/>
              <w:insideV w:val="none"/>
            </w:tcBorders>
          </w:tcPr>
          <w:p>
            <w:pPr>
              <w:spacing w:before="80" w:after="80"/>
              <w:jc w:val="left"/>
            </w:pPr>
            <w:r>
              <w:rPr>
                <w:rFonts w:ascii="Calibri" w:hAnsi="Calibri"/>
                <w:color w:val="0F172A"/>
                <w:sz w:val="18"/>
              </w:rPr>
              <w:t>5.4.21</w:t>
            </w:r>
          </w:p>
        </w:tc>
        <w:tc>
          <w:tcPr>
            <w:tcW w:type="dxa" w:w="4320"/>
            <w:shd w:fill="F8FAFC"/>
            <w:tcBorders>
              <w:top w:val="none" w:sz="4" w:space="0" w:color="auto"/>
              <w:left w:val="none" w:sz="4" w:space="0" w:color="auto"/>
              <w:bottom w:val="single" w:sz="4" w:space="0" w:color="E2E8F0"/>
              <w:right w:val="none" w:sz="4" w:space="0" w:color="auto"/>
              <w:insideH w:val="none"/>
              <w:insideV w:val="none"/>
            </w:tcBorders>
          </w:tcPr>
          <w:p>
            <w:pPr>
              <w:spacing w:before="80" w:after="80"/>
              <w:jc w:val="left"/>
            </w:pPr>
            <w:r>
              <w:rPr>
                <w:rFonts w:ascii="Calibri" w:hAnsi="Calibri"/>
                <w:color w:val="0F172A"/>
                <w:sz w:val="18"/>
              </w:rPr>
              <w:t>Instant hot module replacement (HMR), tree-shaking, and optimized rollup production bundling (&lt; 500kB).</w:t>
            </w:r>
          </w:p>
        </w:tc>
      </w:tr>
      <w:tr>
        <w:tc>
          <w:tcPr>
            <w:tcW w:type="dxa" w:w="1872"/>
            <w:tcBorders>
              <w:top w:val="none" w:sz="4" w:space="0" w:color="auto"/>
              <w:left w:val="none" w:sz="4" w:space="0" w:color="auto"/>
              <w:bottom w:val="single" w:sz="4" w:space="0" w:color="E2E8F0"/>
              <w:right w:val="none" w:sz="4" w:space="0" w:color="auto"/>
              <w:insideH w:val="none"/>
              <w:insideV w:val="none"/>
            </w:tcBorders>
          </w:tcPr>
          <w:p>
            <w:pPr>
              <w:spacing w:before="80" w:after="80"/>
              <w:jc w:val="left"/>
            </w:pPr>
            <w:r>
              <w:rPr>
                <w:rFonts w:ascii="Calibri" w:hAnsi="Calibri"/>
                <w:color w:val="0F172A"/>
                <w:sz w:val="18"/>
              </w:rPr>
              <w:t>Styling</w:t>
            </w:r>
          </w:p>
        </w:tc>
        <w:tc>
          <w:tcPr>
            <w:tcW w:type="dxa" w:w="2016"/>
            <w:tcBorders>
              <w:top w:val="none" w:sz="4" w:space="0" w:color="auto"/>
              <w:left w:val="none" w:sz="4" w:space="0" w:color="auto"/>
              <w:bottom w:val="single" w:sz="4" w:space="0" w:color="E2E8F0"/>
              <w:right w:val="none" w:sz="4" w:space="0" w:color="auto"/>
              <w:insideH w:val="none"/>
              <w:insideV w:val="none"/>
            </w:tcBorders>
          </w:tcPr>
          <w:p>
            <w:pPr>
              <w:spacing w:before="80" w:after="80"/>
              <w:jc w:val="left"/>
            </w:pPr>
            <w:r>
              <w:rPr>
                <w:rFonts w:ascii="Calibri" w:hAnsi="Calibri"/>
                <w:color w:val="0F172A"/>
                <w:sz w:val="18"/>
              </w:rPr>
              <w:t>Tailwind CSS</w:t>
            </w:r>
          </w:p>
        </w:tc>
        <w:tc>
          <w:tcPr>
            <w:tcW w:type="dxa" w:w="1152"/>
            <w:tcBorders>
              <w:top w:val="none" w:sz="4" w:space="0" w:color="auto"/>
              <w:left w:val="none" w:sz="4" w:space="0" w:color="auto"/>
              <w:bottom w:val="single" w:sz="4" w:space="0" w:color="E2E8F0"/>
              <w:right w:val="none" w:sz="4" w:space="0" w:color="auto"/>
              <w:insideH w:val="none"/>
              <w:insideV w:val="none"/>
            </w:tcBorders>
          </w:tcPr>
          <w:p>
            <w:pPr>
              <w:spacing w:before="80" w:after="80"/>
              <w:jc w:val="left"/>
            </w:pPr>
            <w:r>
              <w:rPr>
                <w:rFonts w:ascii="Calibri" w:hAnsi="Calibri"/>
                <w:color w:val="0F172A"/>
                <w:sz w:val="18"/>
              </w:rPr>
              <w:t>3.4.1</w:t>
            </w:r>
          </w:p>
        </w:tc>
        <w:tc>
          <w:tcPr>
            <w:tcW w:type="dxa" w:w="4320"/>
            <w:tcBorders>
              <w:top w:val="none" w:sz="4" w:space="0" w:color="auto"/>
              <w:left w:val="none" w:sz="4" w:space="0" w:color="auto"/>
              <w:bottom w:val="single" w:sz="4" w:space="0" w:color="E2E8F0"/>
              <w:right w:val="none" w:sz="4" w:space="0" w:color="auto"/>
              <w:insideH w:val="none"/>
              <w:insideV w:val="none"/>
            </w:tcBorders>
          </w:tcPr>
          <w:p>
            <w:pPr>
              <w:spacing w:before="80" w:after="80"/>
              <w:jc w:val="left"/>
            </w:pPr>
            <w:r>
              <w:rPr>
                <w:rFonts w:ascii="Calibri" w:hAnsi="Calibri"/>
                <w:color w:val="0F172A"/>
                <w:sz w:val="18"/>
              </w:rPr>
              <w:t>Utility-first CSS, custom dark mode variant classes, zero stylesheet bloat, and consistent design tokens.</w:t>
            </w:r>
          </w:p>
        </w:tc>
      </w:tr>
    </w:tbl>
    <w:p>
      <w:pPr>
        <w:spacing w:before="40" w:after="120"/>
      </w:pPr>
    </w:p>
    <w:p>
      <w:pPr>
        <w:keepNext/>
        <w:spacing w:before="360" w:after="120"/>
      </w:pPr>
      <w:r>
        <w:rPr>
          <w:rFonts w:ascii="Calibri" w:hAnsi="Calibri"/>
          <w:b/>
          <w:color w:val="1E3A8A"/>
          <w:sz w:val="34"/>
        </w:rPr>
        <w:t>3. Database Schema Deep Dive (23 Relational Tables across 4 Domains)</w:t>
      </w:r>
    </w:p>
    <w:p>
      <w:pPr>
        <w:spacing w:before="40" w:after="80" w:line="276" w:lineRule="auto"/>
      </w:pPr>
      <w:r>
        <w:rPr>
          <w:rFonts w:ascii="Calibri" w:hAnsi="Calibri"/>
          <w:color w:val="0F172A"/>
          <w:sz w:val="21"/>
        </w:rPr>
        <w:t>A major technical highlight of the system is its normalized, constraint-driven schema in PostgreSQL (`leave_mgt_db`). All tables utilize UUID primary keys generated via `gen_random_uuid()` to prevent ID enumeration vulnerabilities. Timestamps use `TIMESTAMPTZ` (UTC with timezone offsets) to guarantee global temporal consistency across regions.</w:t>
      </w:r>
    </w:p>
    <w:tbl>
      <w:tblPr>
        <w:tblW w:type="auto" w:w="0"/>
        <w:jc w:val="center"/>
        <w:tblLayout w:type="fixed"/>
        <w:tblLook w:firstColumn="1" w:firstRow="1" w:lastColumn="0" w:lastRow="0" w:noHBand="0" w:noVBand="1" w:val="04A0"/>
      </w:tblPr>
      <w:tblGrid>
        <w:gridCol w:w="3120"/>
        <w:gridCol w:w="3120"/>
        <w:gridCol w:w="3120"/>
      </w:tblGrid>
      <w:tr>
        <w:trPr>
          <w:tblHeader/>
        </w:trPr>
        <w:tc>
          <w:tcPr>
            <w:tcW w:type="dxa" w:w="2016"/>
            <w:shd w:fill="1E3A8A"/>
            <w:tcBorders>
              <w:top w:val="none" w:sz="4" w:space="0" w:color="auto"/>
              <w:left w:val="none" w:sz="4" w:space="0" w:color="auto"/>
              <w:bottom w:val="single" w:sz="8" w:space="0" w:color="0F172A"/>
              <w:right w:val="none" w:sz="4" w:space="0" w:color="auto"/>
              <w:insideH w:val="none"/>
              <w:insideV w:val="none"/>
            </w:tcBorders>
          </w:tcPr>
          <w:p>
            <w:pPr>
              <w:spacing w:before="100" w:after="100"/>
              <w:jc w:val="left"/>
            </w:pPr>
            <w:r>
              <w:rPr>
                <w:rFonts w:ascii="Calibri" w:hAnsi="Calibri"/>
                <w:b/>
                <w:color w:val="FFFFFF"/>
                <w:sz w:val="19"/>
              </w:rPr>
              <w:t>Domain</w:t>
            </w:r>
          </w:p>
        </w:tc>
        <w:tc>
          <w:tcPr>
            <w:tcW w:type="dxa" w:w="3312"/>
            <w:shd w:fill="1E3A8A"/>
            <w:tcBorders>
              <w:top w:val="none" w:sz="4" w:space="0" w:color="auto"/>
              <w:left w:val="none" w:sz="4" w:space="0" w:color="auto"/>
              <w:bottom w:val="single" w:sz="8" w:space="0" w:color="0F172A"/>
              <w:right w:val="none" w:sz="4" w:space="0" w:color="auto"/>
              <w:insideH w:val="none"/>
              <w:insideV w:val="none"/>
            </w:tcBorders>
          </w:tcPr>
          <w:p>
            <w:pPr>
              <w:spacing w:before="100" w:after="100"/>
              <w:jc w:val="left"/>
            </w:pPr>
            <w:r>
              <w:rPr>
                <w:rFonts w:ascii="Calibri" w:hAnsi="Calibri"/>
                <w:b/>
                <w:color w:val="FFFFFF"/>
                <w:sz w:val="19"/>
              </w:rPr>
              <w:t>Relational Tables</w:t>
            </w:r>
          </w:p>
        </w:tc>
        <w:tc>
          <w:tcPr>
            <w:tcW w:type="dxa" w:w="4032"/>
            <w:shd w:fill="1E3A8A"/>
            <w:tcBorders>
              <w:top w:val="none" w:sz="4" w:space="0" w:color="auto"/>
              <w:left w:val="none" w:sz="4" w:space="0" w:color="auto"/>
              <w:bottom w:val="single" w:sz="8" w:space="0" w:color="0F172A"/>
              <w:right w:val="none" w:sz="4" w:space="0" w:color="auto"/>
              <w:insideH w:val="none"/>
              <w:insideV w:val="none"/>
            </w:tcBorders>
          </w:tcPr>
          <w:p>
            <w:pPr>
              <w:spacing w:before="100" w:after="100"/>
              <w:jc w:val="left"/>
            </w:pPr>
            <w:r>
              <w:rPr>
                <w:rFonts w:ascii="Calibri" w:hAnsi="Calibri"/>
                <w:b/>
                <w:color w:val="FFFFFF"/>
                <w:sz w:val="19"/>
              </w:rPr>
              <w:t>Key Architectural Principles</w:t>
            </w:r>
          </w:p>
        </w:tc>
      </w:tr>
      <w:tr>
        <w:tc>
          <w:tcPr>
            <w:tcW w:type="dxa" w:w="2016"/>
            <w:tcBorders>
              <w:top w:val="none" w:sz="4" w:space="0" w:color="auto"/>
              <w:left w:val="none" w:sz="4" w:space="0" w:color="auto"/>
              <w:bottom w:val="single" w:sz="4" w:space="0" w:color="E2E8F0"/>
              <w:right w:val="none" w:sz="4" w:space="0" w:color="auto"/>
              <w:insideH w:val="none"/>
              <w:insideV w:val="none"/>
            </w:tcBorders>
          </w:tcPr>
          <w:p>
            <w:pPr>
              <w:spacing w:before="80" w:after="80"/>
              <w:jc w:val="left"/>
            </w:pPr>
            <w:r>
              <w:rPr>
                <w:rFonts w:ascii="Calibri" w:hAnsi="Calibri"/>
                <w:color w:val="0F172A"/>
                <w:sz w:val="18"/>
              </w:rPr>
              <w:t>Identity &amp; RBAC</w:t>
              <w:br/>
              <w:t>(7 Tables)</w:t>
            </w:r>
          </w:p>
        </w:tc>
        <w:tc>
          <w:tcPr>
            <w:tcW w:type="dxa" w:w="3312"/>
            <w:tcBorders>
              <w:top w:val="none" w:sz="4" w:space="0" w:color="auto"/>
              <w:left w:val="none" w:sz="4" w:space="0" w:color="auto"/>
              <w:bottom w:val="single" w:sz="4" w:space="0" w:color="E2E8F0"/>
              <w:right w:val="none" w:sz="4" w:space="0" w:color="auto"/>
              <w:insideH w:val="none"/>
              <w:insideV w:val="none"/>
            </w:tcBorders>
          </w:tcPr>
          <w:p>
            <w:pPr>
              <w:spacing w:before="80" w:after="80"/>
              <w:jc w:val="left"/>
            </w:pPr>
            <w:r>
              <w:rPr>
                <w:rFonts w:ascii="Calibri" w:hAnsi="Calibri"/>
                <w:color w:val="0F172A"/>
                <w:sz w:val="18"/>
              </w:rPr>
              <w:t>departments, users, roles, permissions, user_roles, role_permissions, reporting_hierarchy</w:t>
            </w:r>
          </w:p>
        </w:tc>
        <w:tc>
          <w:tcPr>
            <w:tcW w:type="dxa" w:w="4032"/>
            <w:tcBorders>
              <w:top w:val="none" w:sz="4" w:space="0" w:color="auto"/>
              <w:left w:val="none" w:sz="4" w:space="0" w:color="auto"/>
              <w:bottom w:val="single" w:sz="4" w:space="0" w:color="E2E8F0"/>
              <w:right w:val="none" w:sz="4" w:space="0" w:color="auto"/>
              <w:insideH w:val="none"/>
              <w:insideV w:val="none"/>
            </w:tcBorders>
          </w:tcPr>
          <w:p>
            <w:pPr>
              <w:spacing w:before="80" w:after="80"/>
              <w:jc w:val="left"/>
            </w:pPr>
            <w:r>
              <w:rPr>
                <w:rFonts w:ascii="Calibri" w:hAnsi="Calibri"/>
                <w:color w:val="0F172A"/>
                <w:sz w:val="18"/>
              </w:rPr>
              <w:t>Many-to-many role mappings; self-referencing adjacency list in reporting_hierarchy to support multi-level managerial chains without mutating user rows.</w:t>
            </w:r>
          </w:p>
        </w:tc>
      </w:tr>
      <w:tr>
        <w:tc>
          <w:tcPr>
            <w:tcW w:type="dxa" w:w="2016"/>
            <w:shd w:fill="F8FAFC"/>
            <w:tcBorders>
              <w:top w:val="none" w:sz="4" w:space="0" w:color="auto"/>
              <w:left w:val="none" w:sz="4" w:space="0" w:color="auto"/>
              <w:bottom w:val="single" w:sz="4" w:space="0" w:color="E2E8F0"/>
              <w:right w:val="none" w:sz="4" w:space="0" w:color="auto"/>
              <w:insideH w:val="none"/>
              <w:insideV w:val="none"/>
            </w:tcBorders>
          </w:tcPr>
          <w:p>
            <w:pPr>
              <w:spacing w:before="80" w:after="80"/>
              <w:jc w:val="left"/>
            </w:pPr>
            <w:r>
              <w:rPr>
                <w:rFonts w:ascii="Calibri" w:hAnsi="Calibri"/>
                <w:color w:val="0F172A"/>
                <w:sz w:val="18"/>
              </w:rPr>
              <w:t>Leave Management</w:t>
              <w:br/>
              <w:t>(7 Tables)</w:t>
            </w:r>
          </w:p>
        </w:tc>
        <w:tc>
          <w:tcPr>
            <w:tcW w:type="dxa" w:w="3312"/>
            <w:shd w:fill="F8FAFC"/>
            <w:tcBorders>
              <w:top w:val="none" w:sz="4" w:space="0" w:color="auto"/>
              <w:left w:val="none" w:sz="4" w:space="0" w:color="auto"/>
              <w:bottom w:val="single" w:sz="4" w:space="0" w:color="E2E8F0"/>
              <w:right w:val="none" w:sz="4" w:space="0" w:color="auto"/>
              <w:insideH w:val="none"/>
              <w:insideV w:val="none"/>
            </w:tcBorders>
          </w:tcPr>
          <w:p>
            <w:pPr>
              <w:spacing w:before="80" w:after="80"/>
              <w:jc w:val="left"/>
            </w:pPr>
            <w:r>
              <w:rPr>
                <w:rFonts w:ascii="Calibri" w:hAnsi="Calibri"/>
                <w:color w:val="0F172A"/>
                <w:sz w:val="18"/>
              </w:rPr>
              <w:t>leave_types, leave_policies, leave_balances, balance_transactions, leave_requests, leave_approvals, out_of_office_records</w:t>
            </w:r>
          </w:p>
        </w:tc>
        <w:tc>
          <w:tcPr>
            <w:tcW w:type="dxa" w:w="4032"/>
            <w:shd w:fill="F8FAFC"/>
            <w:tcBorders>
              <w:top w:val="none" w:sz="4" w:space="0" w:color="auto"/>
              <w:left w:val="none" w:sz="4" w:space="0" w:color="auto"/>
              <w:bottom w:val="single" w:sz="4" w:space="0" w:color="E2E8F0"/>
              <w:right w:val="none" w:sz="4" w:space="0" w:color="auto"/>
              <w:insideH w:val="none"/>
              <w:insideV w:val="none"/>
            </w:tcBorders>
          </w:tcPr>
          <w:p>
            <w:pPr>
              <w:spacing w:before="80" w:after="80"/>
              <w:jc w:val="left"/>
            </w:pPr>
            <w:r>
              <w:rPr>
                <w:rFonts w:ascii="Calibri" w:hAnsi="Calibri"/>
                <w:color w:val="0F172A"/>
                <w:sz w:val="18"/>
              </w:rPr>
              <w:t>Double-entry accounting in balance_transactions; immutable approval audit records in leave_approvals; strict balance check constraints.</w:t>
            </w:r>
          </w:p>
        </w:tc>
      </w:tr>
      <w:tr>
        <w:tc>
          <w:tcPr>
            <w:tcW w:type="dxa" w:w="2016"/>
            <w:tcBorders>
              <w:top w:val="none" w:sz="4" w:space="0" w:color="auto"/>
              <w:left w:val="none" w:sz="4" w:space="0" w:color="auto"/>
              <w:bottom w:val="single" w:sz="4" w:space="0" w:color="E2E8F0"/>
              <w:right w:val="none" w:sz="4" w:space="0" w:color="auto"/>
              <w:insideH w:val="none"/>
              <w:insideV w:val="none"/>
            </w:tcBorders>
          </w:tcPr>
          <w:p>
            <w:pPr>
              <w:spacing w:before="80" w:after="80"/>
              <w:jc w:val="left"/>
            </w:pPr>
            <w:r>
              <w:rPr>
                <w:rFonts w:ascii="Calibri" w:hAnsi="Calibri"/>
                <w:color w:val="0F172A"/>
                <w:sz w:val="18"/>
              </w:rPr>
              <w:t>Help Desk Ticketing</w:t>
              <w:br/>
              <w:t>(7 Tables)</w:t>
            </w:r>
          </w:p>
        </w:tc>
        <w:tc>
          <w:tcPr>
            <w:tcW w:type="dxa" w:w="3312"/>
            <w:tcBorders>
              <w:top w:val="none" w:sz="4" w:space="0" w:color="auto"/>
              <w:left w:val="none" w:sz="4" w:space="0" w:color="auto"/>
              <w:bottom w:val="single" w:sz="4" w:space="0" w:color="E2E8F0"/>
              <w:right w:val="none" w:sz="4" w:space="0" w:color="auto"/>
              <w:insideH w:val="none"/>
              <w:insideV w:val="none"/>
            </w:tcBorders>
          </w:tcPr>
          <w:p>
            <w:pPr>
              <w:spacing w:before="80" w:after="80"/>
              <w:jc w:val="left"/>
            </w:pPr>
            <w:r>
              <w:rPr>
                <w:rFonts w:ascii="Calibri" w:hAnsi="Calibri"/>
                <w:color w:val="0F172A"/>
                <w:sz w:val="18"/>
              </w:rPr>
              <w:t>ticket_categories, support_queues, queue_members, sla_policies, tickets, ticket_comments, ticket_attachments, ticket_routing_history, sla_breach_logs</w:t>
            </w:r>
          </w:p>
        </w:tc>
        <w:tc>
          <w:tcPr>
            <w:tcW w:type="dxa" w:w="4032"/>
            <w:tcBorders>
              <w:top w:val="none" w:sz="4" w:space="0" w:color="auto"/>
              <w:left w:val="none" w:sz="4" w:space="0" w:color="auto"/>
              <w:bottom w:val="single" w:sz="4" w:space="0" w:color="E2E8F0"/>
              <w:right w:val="none" w:sz="4" w:space="0" w:color="auto"/>
              <w:insideH w:val="none"/>
              <w:insideV w:val="none"/>
            </w:tcBorders>
          </w:tcPr>
          <w:p>
            <w:pPr>
              <w:spacing w:before="80" w:after="80"/>
              <w:jc w:val="left"/>
            </w:pPr>
            <w:r>
              <w:rPr>
                <w:rFonts w:ascii="Calibri" w:hAnsi="Calibri"/>
                <w:color w:val="0F172A"/>
                <w:sz w:val="18"/>
              </w:rPr>
              <w:t>SLA deadline columns (first_response_due_at, resolution_due_at); queue membership routing; full audit trail of ticket reassignments.</w:t>
            </w:r>
          </w:p>
        </w:tc>
      </w:tr>
      <w:tr>
        <w:tc>
          <w:tcPr>
            <w:tcW w:type="dxa" w:w="2016"/>
            <w:shd w:fill="F8FAFC"/>
            <w:tcBorders>
              <w:top w:val="none" w:sz="4" w:space="0" w:color="auto"/>
              <w:left w:val="none" w:sz="4" w:space="0" w:color="auto"/>
              <w:bottom w:val="single" w:sz="4" w:space="0" w:color="E2E8F0"/>
              <w:right w:val="none" w:sz="4" w:space="0" w:color="auto"/>
              <w:insideH w:val="none"/>
              <w:insideV w:val="none"/>
            </w:tcBorders>
          </w:tcPr>
          <w:p>
            <w:pPr>
              <w:spacing w:before="80" w:after="80"/>
              <w:jc w:val="left"/>
            </w:pPr>
            <w:r>
              <w:rPr>
                <w:rFonts w:ascii="Calibri" w:hAnsi="Calibri"/>
                <w:color w:val="0F172A"/>
                <w:sz w:val="18"/>
              </w:rPr>
              <w:t>Platform / Event Outbox</w:t>
              <w:br/>
              <w:t>(2 Tables)</w:t>
            </w:r>
          </w:p>
        </w:tc>
        <w:tc>
          <w:tcPr>
            <w:tcW w:type="dxa" w:w="3312"/>
            <w:shd w:fill="F8FAFC"/>
            <w:tcBorders>
              <w:top w:val="none" w:sz="4" w:space="0" w:color="auto"/>
              <w:left w:val="none" w:sz="4" w:space="0" w:color="auto"/>
              <w:bottom w:val="single" w:sz="4" w:space="0" w:color="E2E8F0"/>
              <w:right w:val="none" w:sz="4" w:space="0" w:color="auto"/>
              <w:insideH w:val="none"/>
              <w:insideV w:val="none"/>
            </w:tcBorders>
          </w:tcPr>
          <w:p>
            <w:pPr>
              <w:spacing w:before="80" w:after="80"/>
              <w:jc w:val="left"/>
            </w:pPr>
            <w:r>
              <w:rPr>
                <w:rFonts w:ascii="Calibri" w:hAnsi="Calibri"/>
                <w:color w:val="0F172A"/>
                <w:sz w:val="18"/>
              </w:rPr>
              <w:t>event_outbox, notifications</w:t>
            </w:r>
          </w:p>
        </w:tc>
        <w:tc>
          <w:tcPr>
            <w:tcW w:type="dxa" w:w="4032"/>
            <w:shd w:fill="F8FAFC"/>
            <w:tcBorders>
              <w:top w:val="none" w:sz="4" w:space="0" w:color="auto"/>
              <w:left w:val="none" w:sz="4" w:space="0" w:color="auto"/>
              <w:bottom w:val="single" w:sz="4" w:space="0" w:color="E2E8F0"/>
              <w:right w:val="none" w:sz="4" w:space="0" w:color="auto"/>
              <w:insideH w:val="none"/>
              <w:insideV w:val="none"/>
            </w:tcBorders>
          </w:tcPr>
          <w:p>
            <w:pPr>
              <w:spacing w:before="80" w:after="80"/>
              <w:jc w:val="left"/>
            </w:pPr>
            <w:r>
              <w:rPr>
                <w:rFonts w:ascii="Calibri" w:hAnsi="Calibri"/>
                <w:color w:val="0F172A"/>
                <w:sz w:val="18"/>
              </w:rPr>
              <w:t>Transactional Outbox pattern ensuring atomicity between state mutations and asynchronous dispatchers (email, Slack, OOO sync).</w:t>
            </w:r>
          </w:p>
        </w:tc>
      </w:tr>
    </w:tbl>
    <w:p>
      <w:pPr>
        <w:spacing w:before="40" w:after="120"/>
      </w:pPr>
    </w:p>
    <w:tbl>
      <w:tblPr>
        <w:tblW w:type="auto" w:w="0"/>
        <w:jc w:val="center"/>
        <w:tblLayout w:type="fixed"/>
        <w:tblLook w:firstColumn="1" w:firstRow="1" w:lastColumn="0" w:lastRow="0" w:noHBand="0" w:noVBand="1" w:val="04A0"/>
      </w:tblPr>
      <w:tblGrid>
        <w:gridCol w:w="9360"/>
      </w:tblGrid>
      <w:tr>
        <w:tc>
          <w:tcPr>
            <w:tcW w:type="dxa" w:w="9360"/>
            <w:shd w:fill="FAF5FF"/>
            <w:tcBorders>
              <w:top w:val="none" w:sz="4" w:space="0" w:color="auto"/>
              <w:left w:val="single" w:sz="24" w:space="0" w:color="9333EA"/>
              <w:bottom w:val="none" w:sz="4" w:space="0" w:color="auto"/>
              <w:right w:val="none" w:sz="4" w:space="0" w:color="auto"/>
              <w:insideH w:val="none"/>
              <w:insideV w:val="none"/>
            </w:tcBorders>
          </w:tcPr>
          <w:p>
            <w:pPr>
              <w:spacing w:before="100" w:after="80" w:line="276" w:lineRule="auto"/>
              <w:ind w:left="216" w:right="216"/>
            </w:pPr>
            <w:r>
              <w:rPr>
                <w:rFonts w:ascii="Calibri" w:hAnsi="Calibri"/>
                <w:b/>
                <w:color w:val="1E3A8A"/>
                <w:sz w:val="21"/>
              </w:rPr>
              <w:t>🎙️ Developer Talking Point: Why Double-Entry Balance Transactions Matter</w:t>
              <w:br/>
            </w:r>
            <w:r>
              <w:rPr>
                <w:rFonts w:ascii="Calibri" w:hAnsi="Calibri"/>
                <w:color w:val="0F172A"/>
                <w:sz w:val="19"/>
              </w:rPr>
              <w:t>"Supervisor, notice that we don’t just update a single number on the user’s leave balance. Instead, every single time a balance changes—whether through scheduled annual accruals, HR administrative adjustments, leave approval deductions, or cancellations—we insert an immutable record into balance_transactions with a TransactionType. This gives our organization a 100% auditable accounting trail, preventing disputes over lost leave days."</w:t>
            </w:r>
          </w:p>
        </w:tc>
      </w:tr>
    </w:tbl>
    <w:p>
      <w:pPr>
        <w:spacing w:before="20" w:after="80"/>
      </w:pPr>
    </w:p>
    <w:p>
      <w:pPr>
        <w:keepNext/>
        <w:spacing w:before="360" w:after="120"/>
      </w:pPr>
      <w:r>
        <w:rPr>
          <w:rFonts w:ascii="Calibri" w:hAnsi="Calibri"/>
          <w:b/>
          <w:color w:val="1E3A8A"/>
          <w:sz w:val="34"/>
        </w:rPr>
        <w:t>4. Deep Dive into the 4 Core Business Domains</w:t>
      </w:r>
    </w:p>
    <w:p>
      <w:pPr>
        <w:keepNext/>
        <w:spacing w:before="280" w:after="80"/>
      </w:pPr>
      <w:r>
        <w:rPr>
          <w:rFonts w:ascii="Calibri" w:hAnsi="Calibri"/>
          <w:b/>
          <w:color w:val="334155"/>
          <w:sz w:val="26"/>
        </w:rPr>
        <w:t>4.1 Domain 1: Identity, RBAC &amp; The Reporting Hierarchy</w:t>
      </w:r>
    </w:p>
    <w:p>
      <w:pPr>
        <w:spacing w:before="40" w:after="80" w:line="276" w:lineRule="auto"/>
      </w:pPr>
      <w:r>
        <w:rPr>
          <w:rFonts w:ascii="Calibri" w:hAnsi="Calibri"/>
          <w:b/>
          <w:color w:val="0F172A"/>
          <w:sz w:val="21"/>
        </w:rPr>
        <w:t xml:space="preserve">Role Segregation: </w:t>
      </w:r>
      <w:r>
        <w:rPr>
          <w:rFonts w:ascii="Calibri" w:hAnsi="Calibri"/>
          <w:color w:val="0F172A"/>
          <w:sz w:val="21"/>
        </w:rPr>
        <w:t>The system segregates responsibilities across four distinct user personas:</w:t>
      </w:r>
    </w:p>
    <w:p>
      <w:pPr>
        <w:pStyle w:val="ListBullet"/>
        <w:spacing w:before="20" w:after="60" w:line="276" w:lineRule="auto"/>
      </w:pPr>
      <w:r>
        <w:rPr>
          <w:rFonts w:ascii="Calibri" w:hAnsi="Calibri"/>
          <w:b/>
          <w:color w:val="0F172A"/>
          <w:sz w:val="20"/>
        </w:rPr>
        <w:t xml:space="preserve">1. Employee (Requester): </w:t>
      </w:r>
      <w:r>
        <w:rPr>
          <w:rFonts w:ascii="Calibri" w:hAnsi="Calibri"/>
          <w:color w:val="0F172A"/>
          <w:sz w:val="20"/>
        </w:rPr>
        <w:t>Can view personal leave balances, request time off, submit help desk tickets, track approvals, and add ticket comments.</w:t>
      </w:r>
    </w:p>
    <w:p>
      <w:pPr>
        <w:pStyle w:val="ListBullet"/>
        <w:spacing w:before="20" w:after="60" w:line="276" w:lineRule="auto"/>
      </w:pPr>
      <w:r>
        <w:rPr>
          <w:rFonts w:ascii="Calibri" w:hAnsi="Calibri"/>
          <w:b/>
          <w:color w:val="0F172A"/>
          <w:sz w:val="20"/>
        </w:rPr>
        <w:t xml:space="preserve">2. Line Manager (Approver): </w:t>
      </w:r>
      <w:r>
        <w:rPr>
          <w:rFonts w:ascii="Calibri" w:hAnsi="Calibri"/>
          <w:color w:val="0F172A"/>
          <w:sz w:val="20"/>
        </w:rPr>
        <w:t>Possesses an Approval Queue dashboard to review, approve, or reject leave requests from direct reports with managerial remarks.</w:t>
      </w:r>
    </w:p>
    <w:p>
      <w:pPr>
        <w:pStyle w:val="ListBullet"/>
        <w:spacing w:before="20" w:after="60" w:line="276" w:lineRule="auto"/>
      </w:pPr>
      <w:r>
        <w:rPr>
          <w:rFonts w:ascii="Calibri" w:hAnsi="Calibri"/>
          <w:b/>
          <w:color w:val="0F172A"/>
          <w:sz w:val="20"/>
        </w:rPr>
        <w:t xml:space="preserve">3. HR Administrator: </w:t>
      </w:r>
      <w:r>
        <w:rPr>
          <w:rFonts w:ascii="Calibri" w:hAnsi="Calibri"/>
          <w:color w:val="0F172A"/>
          <w:sz w:val="20"/>
        </w:rPr>
        <w:t>Full control over leave catalog, leave policies, department allocation, employee onboarding verification, and manual accrual runs.</w:t>
      </w:r>
    </w:p>
    <w:p>
      <w:pPr>
        <w:pStyle w:val="ListBullet"/>
        <w:spacing w:before="20" w:after="60" w:line="276" w:lineRule="auto"/>
      </w:pPr>
      <w:r>
        <w:rPr>
          <w:rFonts w:ascii="Calibri" w:hAnsi="Calibri"/>
          <w:b/>
          <w:color w:val="0F172A"/>
          <w:sz w:val="20"/>
        </w:rPr>
        <w:t xml:space="preserve">4. Support Agent (Resolver): </w:t>
      </w:r>
      <w:r>
        <w:rPr>
          <w:rFonts w:ascii="Calibri" w:hAnsi="Calibri"/>
          <w:color w:val="0F172A"/>
          <w:sz w:val="20"/>
        </w:rPr>
        <w:t>Triage queue access, ticket assignment, priority escalation, internal notes, resolution documentation, and SLA compliance tracking.</w:t>
      </w:r>
    </w:p>
    <w:p>
      <w:pPr>
        <w:spacing w:before="40" w:after="80" w:line="276" w:lineRule="auto"/>
      </w:pPr>
      <w:r>
        <w:rPr>
          <w:rFonts w:ascii="Calibri" w:hAnsi="Calibri"/>
          <w:b/>
          <w:color w:val="0F172A"/>
          <w:sz w:val="21"/>
        </w:rPr>
        <w:t xml:space="preserve">Managerial Reporting Design: </w:t>
      </w:r>
      <w:r>
        <w:rPr>
          <w:rFonts w:ascii="Calibri" w:hAnsi="Calibri"/>
          <w:color w:val="0F172A"/>
          <w:sz w:val="21"/>
        </w:rPr>
        <w:t>Instead of storing a simple 'manager_id' foreign key on the User table, we designed an explicit `reporting_hierarchy` table. This decouples organizational hierarchy from user profile records, enabling primary managers, dotted-line secondary managers, and clean reassignment of subordinates when a manager departs without requiring bulk updates to employee records.</w:t>
      </w:r>
    </w:p>
    <w:p>
      <w:pPr>
        <w:keepNext/>
        <w:spacing w:before="280" w:after="80"/>
      </w:pPr>
      <w:r>
        <w:rPr>
          <w:rFonts w:ascii="Calibri" w:hAnsi="Calibri"/>
          <w:b/>
          <w:color w:val="334155"/>
          <w:sz w:val="26"/>
        </w:rPr>
        <w:t>4.2 Domain 2: Leave Management &amp; The Balance Accrual Engine</w:t>
      </w:r>
    </w:p>
    <w:p>
      <w:pPr>
        <w:spacing w:before="40" w:after="80" w:line="276" w:lineRule="auto"/>
      </w:pPr>
      <w:r>
        <w:rPr>
          <w:rFonts w:ascii="Calibri" w:hAnsi="Calibri"/>
          <w:color w:val="0F172A"/>
          <w:sz w:val="21"/>
        </w:rPr>
        <w:t>Leave management enforces a strict finite state machine: `PENDING -&gt; APPROVED / REJECTED / CANCELLED`. Key engineering highlights include:</w:t>
      </w:r>
    </w:p>
    <w:p>
      <w:pPr>
        <w:pStyle w:val="ListBullet"/>
        <w:spacing w:before="20" w:after="60" w:line="276" w:lineRule="auto"/>
      </w:pPr>
      <w:r>
        <w:rPr>
          <w:rFonts w:ascii="Calibri" w:hAnsi="Calibri"/>
          <w:b/>
          <w:color w:val="0F172A"/>
          <w:sz w:val="20"/>
        </w:rPr>
        <w:t xml:space="preserve">Kenya Public Holiday Calendar: </w:t>
      </w:r>
      <w:r>
        <w:rPr>
          <w:rFonts w:ascii="Calibri" w:hAnsi="Calibri"/>
          <w:color w:val="0F172A"/>
          <w:sz w:val="20"/>
        </w:rPr>
        <w:t>When an employee selects leave dates, the system automatically checks against Kenya's gazetted public holidays and weekends, deducting ONLY actual business working days.</w:t>
      </w:r>
    </w:p>
    <w:p>
      <w:pPr>
        <w:pStyle w:val="ListBullet"/>
        <w:spacing w:before="20" w:after="60" w:line="276" w:lineRule="auto"/>
      </w:pPr>
      <w:r>
        <w:rPr>
          <w:rFonts w:ascii="Calibri" w:hAnsi="Calibri"/>
          <w:b/>
          <w:color w:val="0F172A"/>
          <w:sz w:val="20"/>
        </w:rPr>
        <w:t xml:space="preserve">Automated Monthly Accrual: </w:t>
      </w:r>
      <w:r>
        <w:rPr>
          <w:rFonts w:ascii="Calibri" w:hAnsi="Calibri"/>
          <w:color w:val="0F172A"/>
          <w:sz w:val="20"/>
        </w:rPr>
        <w:t>A scheduled background engine (BalanceAccrualEngine) triggers on cron 0 0 1 1 * * (monthly on the 1st), calculating fractional entitlements per policy, verifying carryover caps, and logging transaction events.</w:t>
      </w:r>
    </w:p>
    <w:p>
      <w:pPr>
        <w:pStyle w:val="ListBullet"/>
        <w:spacing w:before="20" w:after="60" w:line="276" w:lineRule="auto"/>
      </w:pPr>
      <w:r>
        <w:rPr>
          <w:rFonts w:ascii="Calibri" w:hAnsi="Calibri"/>
          <w:b/>
          <w:color w:val="0F172A"/>
          <w:sz w:val="20"/>
        </w:rPr>
        <w:t xml:space="preserve">Overdraft Prevention: </w:t>
      </w:r>
      <w:r>
        <w:rPr>
          <w:rFonts w:ascii="Calibri" w:hAnsi="Calibri"/>
          <w:color w:val="0F172A"/>
          <w:sz w:val="20"/>
        </w:rPr>
        <w:t>Pessimistic locking and balance checks ensure an employee cannot submit overlapping leaves or overdraw their entitled balance even under rapid concurrent submissions.</w:t>
      </w:r>
    </w:p>
    <w:p>
      <w:pPr>
        <w:keepNext/>
        <w:spacing w:before="280" w:after="80"/>
      </w:pPr>
      <w:r>
        <w:rPr>
          <w:rFonts w:ascii="Calibri" w:hAnsi="Calibri"/>
          <w:b/>
          <w:color w:val="334155"/>
          <w:sz w:val="26"/>
        </w:rPr>
        <w:t>4.3 Domain 3: Internal Help Desk &amp; The SLA Breach Engine</w:t>
      </w:r>
    </w:p>
    <w:p>
      <w:pPr>
        <w:spacing w:before="40" w:after="80" w:line="276" w:lineRule="auto"/>
      </w:pPr>
      <w:r>
        <w:rPr>
          <w:rFonts w:ascii="Calibri" w:hAnsi="Calibri"/>
          <w:color w:val="0F172A"/>
          <w:sz w:val="21"/>
        </w:rPr>
        <w:t>Help desk tickets transition across `OPEN -&gt; IN_PROGRESS -&gt; PENDING_USER -&gt; RESOLVED -&gt; CLOSED`. Every ticket is bound to an SLA policy based on category and priority (Critical, High, Medium, Low).</w:t>
      </w:r>
    </w:p>
    <w:p>
      <w:pPr>
        <w:pStyle w:val="ListBullet"/>
        <w:spacing w:before="20" w:after="60" w:line="276" w:lineRule="auto"/>
      </w:pPr>
      <w:r>
        <w:rPr>
          <w:rFonts w:ascii="Calibri" w:hAnsi="Calibri"/>
          <w:b/>
          <w:color w:val="0F172A"/>
          <w:sz w:val="20"/>
        </w:rPr>
        <w:t xml:space="preserve">First Response Deadline: </w:t>
      </w:r>
      <w:r>
        <w:rPr>
          <w:rFonts w:ascii="Calibri" w:hAnsi="Calibri"/>
          <w:color w:val="0F172A"/>
          <w:sz w:val="20"/>
        </w:rPr>
        <w:t>Calculated immediately upon ticket creation based on policy response targets (e.g., 30 mins for Critical).</w:t>
      </w:r>
    </w:p>
    <w:p>
      <w:pPr>
        <w:pStyle w:val="ListBullet"/>
        <w:spacing w:before="20" w:after="60" w:line="276" w:lineRule="auto"/>
      </w:pPr>
      <w:r>
        <w:rPr>
          <w:rFonts w:ascii="Calibri" w:hAnsi="Calibri"/>
          <w:b/>
          <w:color w:val="0F172A"/>
          <w:sz w:val="20"/>
        </w:rPr>
        <w:t xml:space="preserve">Resolution Deadline: </w:t>
      </w:r>
      <w:r>
        <w:rPr>
          <w:rFonts w:ascii="Calibri" w:hAnsi="Calibri"/>
          <w:color w:val="0F172A"/>
          <w:sz w:val="20"/>
        </w:rPr>
        <w:t>Calculated based on priority resolution windows (e.g., 4 hours for Critical, 24 hours for Medium).</w:t>
      </w:r>
    </w:p>
    <w:p>
      <w:pPr>
        <w:pStyle w:val="ListBullet"/>
        <w:spacing w:before="20" w:after="60" w:line="276" w:lineRule="auto"/>
      </w:pPr>
      <w:r>
        <w:rPr>
          <w:rFonts w:ascii="Calibri" w:hAnsi="Calibri"/>
          <w:b/>
          <w:color w:val="0F172A"/>
          <w:sz w:val="20"/>
        </w:rPr>
        <w:t xml:space="preserve">Periodic Background Sweep: </w:t>
      </w:r>
      <w:r>
        <w:rPr>
          <w:rFonts w:ascii="Calibri" w:hAnsi="Calibri"/>
          <w:color w:val="0F172A"/>
          <w:sz w:val="20"/>
        </w:rPr>
        <w:t>The SlaBreachMonitorEngine runs asynchronously every 60 seconds (fixedRate = 60000). It sweeps active tickets, detects overdue targets, logs breach entries in sla_breach_logs, and fires notification alerts.</w:t>
      </w:r>
    </w:p>
    <w:p>
      <w:pPr>
        <w:keepNext/>
        <w:spacing w:before="280" w:after="80"/>
      </w:pPr>
      <w:r>
        <w:rPr>
          <w:rFonts w:ascii="Calibri" w:hAnsi="Calibri"/>
          <w:b/>
          <w:color w:val="334155"/>
          <w:sz w:val="26"/>
        </w:rPr>
        <w:t>4.4 Domain 4: Out-of-Office (OOO) Cross-Domain Integration</w:t>
      </w:r>
    </w:p>
    <w:p>
      <w:pPr>
        <w:spacing w:before="40" w:after="80" w:line="276" w:lineRule="auto"/>
      </w:pPr>
      <w:r>
        <w:rPr>
          <w:rFonts w:ascii="Calibri" w:hAnsi="Calibri"/>
          <w:b/>
          <w:color w:val="0F172A"/>
          <w:sz w:val="21"/>
        </w:rPr>
        <w:t xml:space="preserve">The Enterprise Bottleneck: </w:t>
      </w:r>
      <w:r>
        <w:rPr>
          <w:rFonts w:ascii="Calibri" w:hAnsi="Calibri"/>
          <w:color w:val="0F172A"/>
          <w:sz w:val="21"/>
        </w:rPr>
        <w:t>In many corporate systems, the leave system and the ticketing system are disconnected. If an IT agent is granted 2 weeks of leave, their assigned tickets sit idle, causing critical customer SLAs to breach.</w:t>
      </w:r>
    </w:p>
    <w:p>
      <w:pPr>
        <w:spacing w:before="40" w:after="80" w:line="276" w:lineRule="auto"/>
      </w:pPr>
      <w:r>
        <w:rPr>
          <w:rFonts w:ascii="Calibri" w:hAnsi="Calibri"/>
          <w:b/>
          <w:color w:val="0F172A"/>
          <w:sz w:val="21"/>
        </w:rPr>
        <w:t xml:space="preserve">The Solution (Event Outbox Pattern): </w:t>
      </w:r>
      <w:r>
        <w:rPr>
          <w:rFonts w:ascii="Calibri" w:hAnsi="Calibri"/>
          <w:color w:val="0F172A"/>
          <w:sz w:val="21"/>
        </w:rPr>
        <w:t>When an HR Manager or Line Manager approves a leave request (LeaveRequestService.approve()), a LeaveApproved domain event is inserted into the event_outbox table within the same database transaction.</w:t>
      </w:r>
    </w:p>
    <w:p>
      <w:pPr>
        <w:spacing w:before="40" w:after="80" w:line="276" w:lineRule="auto"/>
      </w:pPr>
      <w:r>
        <w:rPr>
          <w:rFonts w:ascii="Calibri" w:hAnsi="Calibri"/>
          <w:b/>
          <w:color w:val="0F172A"/>
          <w:sz w:val="21"/>
        </w:rPr>
        <w:t xml:space="preserve">Automated Ticket Reassignment: </w:t>
      </w:r>
      <w:r>
        <w:rPr>
          <w:rFonts w:ascii="Calibri" w:hAnsi="Calibri"/>
          <w:color w:val="0F172A"/>
          <w:sz w:val="21"/>
        </w:rPr>
        <w:t>The EventOutboxPoller picks up the pending event and passes it to the OooSyncHandler. The handler checks if the employee is an active member of any support_queues. If yes, it immediately queries all active tickets assigned to that agent (IN_PROGRESS or OPEN), identifies available peer agents in the same queue, and automatically reassigns the tickets with an audit log reason of OOO_REASSIGNMENT. If no peers are available, it unassigns the ticket back to the shared queue pool and alerts the queue lead.</w:t>
      </w:r>
    </w:p>
    <w:tbl>
      <w:tblPr>
        <w:tblW w:type="auto" w:w="0"/>
        <w:jc w:val="center"/>
        <w:tblLayout w:type="fixed"/>
        <w:tblLook w:firstColumn="1" w:firstRow="1" w:lastColumn="0" w:lastRow="0" w:noHBand="0" w:noVBand="1" w:val="04A0"/>
      </w:tblPr>
      <w:tblGrid>
        <w:gridCol w:w="9360"/>
      </w:tblGrid>
      <w:tr>
        <w:tc>
          <w:tcPr>
            <w:tcW w:type="dxa" w:w="9360"/>
            <w:shd w:fill="F0FDF4"/>
            <w:tcBorders>
              <w:top w:val="none" w:sz="4" w:space="0" w:color="auto"/>
              <w:left w:val="single" w:sz="24" w:space="0" w:color="16A34A"/>
              <w:bottom w:val="none" w:sz="4" w:space="0" w:color="auto"/>
              <w:right w:val="none" w:sz="4" w:space="0" w:color="auto"/>
              <w:insideH w:val="none"/>
              <w:insideV w:val="none"/>
            </w:tcBorders>
          </w:tcPr>
          <w:p>
            <w:pPr>
              <w:spacing w:before="100" w:after="80" w:line="276" w:lineRule="auto"/>
              <w:ind w:left="216" w:right="216"/>
            </w:pPr>
            <w:r>
              <w:rPr>
                <w:rFonts w:ascii="Calibri" w:hAnsi="Calibri"/>
                <w:b/>
                <w:color w:val="1E3A8A"/>
                <w:sz w:val="21"/>
              </w:rPr>
              <w:t>🎙️ Developer Talking Point: Why the Outbox Pattern is Senior-Level Architecture</w:t>
              <w:br/>
            </w:r>
            <w:r>
              <w:rPr>
                <w:rFonts w:ascii="Calibri" w:hAnsi="Calibri"/>
                <w:color w:val="0F172A"/>
                <w:sz w:val="19"/>
              </w:rPr>
              <w:t>"Supervisor, please note why we used the Transactional Outbox Pattern here instead of calling the ticketing service directly inside the leave approval method. If we called ticket reassignment or email notifications directly, and that downstream service threw a timeout or network failure, the entire leave approval database transaction would roll back! By using the Outbox pattern, the leave approval and the outbox event commit atomically to PostgreSQL in sub-milliseconds. The asynchronous background poller handles delivery with retry semantics. This guarantees zero dual-write inconsistencies."</w:t>
            </w:r>
          </w:p>
        </w:tc>
      </w:tr>
    </w:tbl>
    <w:p>
      <w:pPr>
        <w:spacing w:before="20" w:after="80"/>
      </w:pPr>
    </w:p>
    <w:p>
      <w:pPr>
        <w:keepNext/>
        <w:spacing w:before="360" w:after="120"/>
      </w:pPr>
      <w:r>
        <w:rPr>
          <w:rFonts w:ascii="Calibri" w:hAnsi="Calibri"/>
          <w:b/>
          <w:color w:val="1E3A8A"/>
          <w:sz w:val="34"/>
        </w:rPr>
        <w:t>5. Source Code Walkthrough Playbook (Exact Steps in VS Code)</w:t>
      </w:r>
    </w:p>
    <w:p>
      <w:pPr>
        <w:spacing w:before="40" w:after="80" w:line="276" w:lineRule="auto"/>
      </w:pPr>
      <w:r>
        <w:rPr>
          <w:rFonts w:ascii="Calibri" w:hAnsi="Calibri"/>
          <w:color w:val="0F172A"/>
          <w:sz w:val="21"/>
        </w:rPr>
        <w:t>Follow this exact sequence during your live presentation. Open the files in VS Code, point to the highlighted lines, and recite the accompanying developer talking points.</w:t>
      </w:r>
    </w:p>
    <w:tbl>
      <w:tblPr>
        <w:tblW w:type="auto" w:w="0"/>
        <w:jc w:val="center"/>
        <w:tblLayout w:type="fixed"/>
        <w:tblLook w:firstColumn="1" w:firstRow="1" w:lastColumn="0" w:lastRow="0" w:noHBand="0" w:noVBand="1" w:val="04A0"/>
      </w:tblPr>
      <w:tblGrid>
        <w:gridCol w:w="2340"/>
        <w:gridCol w:w="2340"/>
        <w:gridCol w:w="2340"/>
        <w:gridCol w:w="2340"/>
      </w:tblGrid>
      <w:tr>
        <w:trPr>
          <w:tblHeader/>
        </w:trPr>
        <w:tc>
          <w:tcPr>
            <w:tcW w:type="dxa" w:w="864"/>
            <w:shd w:fill="1E3A8A"/>
            <w:tcBorders>
              <w:top w:val="none" w:sz="4" w:space="0" w:color="auto"/>
              <w:left w:val="none" w:sz="4" w:space="0" w:color="auto"/>
              <w:bottom w:val="single" w:sz="8" w:space="0" w:color="0F172A"/>
              <w:right w:val="none" w:sz="4" w:space="0" w:color="auto"/>
              <w:insideH w:val="none"/>
              <w:insideV w:val="none"/>
            </w:tcBorders>
          </w:tcPr>
          <w:p>
            <w:pPr>
              <w:spacing w:before="100" w:after="100"/>
              <w:jc w:val="left"/>
            </w:pPr>
            <w:r>
              <w:rPr>
                <w:rFonts w:ascii="Calibri" w:hAnsi="Calibri"/>
                <w:b/>
                <w:color w:val="FFFFFF"/>
                <w:sz w:val="19"/>
              </w:rPr>
              <w:t>Step</w:t>
            </w:r>
          </w:p>
        </w:tc>
        <w:tc>
          <w:tcPr>
            <w:tcW w:type="dxa" w:w="3312"/>
            <w:shd w:fill="1E3A8A"/>
            <w:tcBorders>
              <w:top w:val="none" w:sz="4" w:space="0" w:color="auto"/>
              <w:left w:val="none" w:sz="4" w:space="0" w:color="auto"/>
              <w:bottom w:val="single" w:sz="8" w:space="0" w:color="0F172A"/>
              <w:right w:val="none" w:sz="4" w:space="0" w:color="auto"/>
              <w:insideH w:val="none"/>
              <w:insideV w:val="none"/>
            </w:tcBorders>
          </w:tcPr>
          <w:p>
            <w:pPr>
              <w:spacing w:before="100" w:after="100"/>
              <w:jc w:val="left"/>
            </w:pPr>
            <w:r>
              <w:rPr>
                <w:rFonts w:ascii="Calibri" w:hAnsi="Calibri"/>
                <w:b/>
                <w:color w:val="FFFFFF"/>
                <w:sz w:val="19"/>
              </w:rPr>
              <w:t>File to Open in IDE</w:t>
            </w:r>
          </w:p>
        </w:tc>
        <w:tc>
          <w:tcPr>
            <w:tcW w:type="dxa" w:w="2592"/>
            <w:shd w:fill="1E3A8A"/>
            <w:tcBorders>
              <w:top w:val="none" w:sz="4" w:space="0" w:color="auto"/>
              <w:left w:val="none" w:sz="4" w:space="0" w:color="auto"/>
              <w:bottom w:val="single" w:sz="8" w:space="0" w:color="0F172A"/>
              <w:right w:val="none" w:sz="4" w:space="0" w:color="auto"/>
              <w:insideH w:val="none"/>
              <w:insideV w:val="none"/>
            </w:tcBorders>
          </w:tcPr>
          <w:p>
            <w:pPr>
              <w:spacing w:before="100" w:after="100"/>
              <w:jc w:val="left"/>
            </w:pPr>
            <w:r>
              <w:rPr>
                <w:rFonts w:ascii="Calibri" w:hAnsi="Calibri"/>
                <w:b/>
                <w:color w:val="FFFFFF"/>
                <w:sz w:val="19"/>
              </w:rPr>
              <w:t>Key Lines / Methods</w:t>
            </w:r>
          </w:p>
        </w:tc>
        <w:tc>
          <w:tcPr>
            <w:tcW w:type="dxa" w:w="2592"/>
            <w:shd w:fill="1E3A8A"/>
            <w:tcBorders>
              <w:top w:val="none" w:sz="4" w:space="0" w:color="auto"/>
              <w:left w:val="none" w:sz="4" w:space="0" w:color="auto"/>
              <w:bottom w:val="single" w:sz="8" w:space="0" w:color="0F172A"/>
              <w:right w:val="none" w:sz="4" w:space="0" w:color="auto"/>
              <w:insideH w:val="none"/>
              <w:insideV w:val="none"/>
            </w:tcBorders>
          </w:tcPr>
          <w:p>
            <w:pPr>
              <w:spacing w:before="100" w:after="100"/>
              <w:jc w:val="left"/>
            </w:pPr>
            <w:r>
              <w:rPr>
                <w:rFonts w:ascii="Calibri" w:hAnsi="Calibri"/>
                <w:b/>
                <w:color w:val="FFFFFF"/>
                <w:sz w:val="19"/>
              </w:rPr>
              <w:t>What to Explain</w:t>
            </w:r>
          </w:p>
        </w:tc>
      </w:tr>
      <w:tr>
        <w:tc>
          <w:tcPr>
            <w:tcW w:type="dxa" w:w="864"/>
            <w:tcBorders>
              <w:top w:val="none" w:sz="4" w:space="0" w:color="auto"/>
              <w:left w:val="none" w:sz="4" w:space="0" w:color="auto"/>
              <w:bottom w:val="single" w:sz="4" w:space="0" w:color="E2E8F0"/>
              <w:right w:val="none" w:sz="4" w:space="0" w:color="auto"/>
              <w:insideH w:val="none"/>
              <w:insideV w:val="none"/>
            </w:tcBorders>
          </w:tcPr>
          <w:p>
            <w:pPr>
              <w:spacing w:before="80" w:after="80"/>
              <w:jc w:val="left"/>
            </w:pPr>
            <w:r>
              <w:rPr>
                <w:rFonts w:ascii="Calibri" w:hAnsi="Calibri"/>
                <w:color w:val="0F172A"/>
                <w:sz w:val="18"/>
              </w:rPr>
              <w:t>1</w:t>
            </w:r>
          </w:p>
        </w:tc>
        <w:tc>
          <w:tcPr>
            <w:tcW w:type="dxa" w:w="3312"/>
            <w:tcBorders>
              <w:top w:val="none" w:sz="4" w:space="0" w:color="auto"/>
              <w:left w:val="none" w:sz="4" w:space="0" w:color="auto"/>
              <w:bottom w:val="single" w:sz="4" w:space="0" w:color="E2E8F0"/>
              <w:right w:val="none" w:sz="4" w:space="0" w:color="auto"/>
              <w:insideH w:val="none"/>
              <w:insideV w:val="none"/>
            </w:tcBorders>
          </w:tcPr>
          <w:p>
            <w:pPr>
              <w:spacing w:before="80" w:after="80"/>
              <w:jc w:val="left"/>
            </w:pPr>
            <w:r>
              <w:rPr>
                <w:rFonts w:ascii="Calibri" w:hAnsi="Calibri"/>
                <w:color w:val="0F172A"/>
                <w:sz w:val="18"/>
              </w:rPr>
              <w:t>backend/.../resources/application.yml</w:t>
            </w:r>
          </w:p>
        </w:tc>
        <w:tc>
          <w:tcPr>
            <w:tcW w:type="dxa" w:w="2592"/>
            <w:tcBorders>
              <w:top w:val="none" w:sz="4" w:space="0" w:color="auto"/>
              <w:left w:val="none" w:sz="4" w:space="0" w:color="auto"/>
              <w:bottom w:val="single" w:sz="4" w:space="0" w:color="E2E8F0"/>
              <w:right w:val="none" w:sz="4" w:space="0" w:color="auto"/>
              <w:insideH w:val="none"/>
              <w:insideV w:val="none"/>
            </w:tcBorders>
          </w:tcPr>
          <w:p>
            <w:pPr>
              <w:spacing w:before="80" w:after="80"/>
              <w:jc w:val="left"/>
            </w:pPr>
            <w:r>
              <w:rPr>
                <w:rFonts w:ascii="Calibri" w:hAnsi="Calibri"/>
                <w:color w:val="0F172A"/>
                <w:sz w:val="18"/>
              </w:rPr>
              <w:t>management.health, app.scheduling</w:t>
            </w:r>
          </w:p>
        </w:tc>
        <w:tc>
          <w:tcPr>
            <w:tcW w:type="dxa" w:w="2592"/>
            <w:tcBorders>
              <w:top w:val="none" w:sz="4" w:space="0" w:color="auto"/>
              <w:left w:val="none" w:sz="4" w:space="0" w:color="auto"/>
              <w:bottom w:val="single" w:sz="4" w:space="0" w:color="E2E8F0"/>
              <w:right w:val="none" w:sz="4" w:space="0" w:color="auto"/>
              <w:insideH w:val="none"/>
              <w:insideV w:val="none"/>
            </w:tcBorders>
          </w:tcPr>
          <w:p>
            <w:pPr>
              <w:spacing w:before="80" w:after="80"/>
              <w:jc w:val="left"/>
            </w:pPr>
            <w:r>
              <w:rPr>
                <w:rFonts w:ascii="Calibri" w:hAnsi="Calibri"/>
                <w:color w:val="0F172A"/>
                <w:sz w:val="18"/>
              </w:rPr>
              <w:t>Show connection pool tuning, JWT expirations, cron timers, and actuator probe configurations.</w:t>
            </w:r>
          </w:p>
        </w:tc>
      </w:tr>
      <w:tr>
        <w:tc>
          <w:tcPr>
            <w:tcW w:type="dxa" w:w="864"/>
            <w:shd w:fill="F8FAFC"/>
            <w:tcBorders>
              <w:top w:val="none" w:sz="4" w:space="0" w:color="auto"/>
              <w:left w:val="none" w:sz="4" w:space="0" w:color="auto"/>
              <w:bottom w:val="single" w:sz="4" w:space="0" w:color="E2E8F0"/>
              <w:right w:val="none" w:sz="4" w:space="0" w:color="auto"/>
              <w:insideH w:val="none"/>
              <w:insideV w:val="none"/>
            </w:tcBorders>
          </w:tcPr>
          <w:p>
            <w:pPr>
              <w:spacing w:before="80" w:after="80"/>
              <w:jc w:val="left"/>
            </w:pPr>
            <w:r>
              <w:rPr>
                <w:rFonts w:ascii="Calibri" w:hAnsi="Calibri"/>
                <w:color w:val="0F172A"/>
                <w:sz w:val="18"/>
              </w:rPr>
              <w:t>2</w:t>
            </w:r>
          </w:p>
        </w:tc>
        <w:tc>
          <w:tcPr>
            <w:tcW w:type="dxa" w:w="3312"/>
            <w:shd w:fill="F8FAFC"/>
            <w:tcBorders>
              <w:top w:val="none" w:sz="4" w:space="0" w:color="auto"/>
              <w:left w:val="none" w:sz="4" w:space="0" w:color="auto"/>
              <w:bottom w:val="single" w:sz="4" w:space="0" w:color="E2E8F0"/>
              <w:right w:val="none" w:sz="4" w:space="0" w:color="auto"/>
              <w:insideH w:val="none"/>
              <w:insideV w:val="none"/>
            </w:tcBorders>
          </w:tcPr>
          <w:p>
            <w:pPr>
              <w:spacing w:before="80" w:after="80"/>
              <w:jc w:val="left"/>
            </w:pPr>
            <w:r>
              <w:rPr>
                <w:rFonts w:ascii="Calibri" w:hAnsi="Calibri"/>
                <w:color w:val="0F172A"/>
                <w:sz w:val="18"/>
              </w:rPr>
              <w:t>backend/.../security/SecurityConfig.java</w:t>
            </w:r>
          </w:p>
        </w:tc>
        <w:tc>
          <w:tcPr>
            <w:tcW w:type="dxa" w:w="2592"/>
            <w:shd w:fill="F8FAFC"/>
            <w:tcBorders>
              <w:top w:val="none" w:sz="4" w:space="0" w:color="auto"/>
              <w:left w:val="none" w:sz="4" w:space="0" w:color="auto"/>
              <w:bottom w:val="single" w:sz="4" w:space="0" w:color="E2E8F0"/>
              <w:right w:val="none" w:sz="4" w:space="0" w:color="auto"/>
              <w:insideH w:val="none"/>
              <w:insideV w:val="none"/>
            </w:tcBorders>
          </w:tcPr>
          <w:p>
            <w:pPr>
              <w:spacing w:before="80" w:after="80"/>
              <w:jc w:val="left"/>
            </w:pPr>
            <w:r>
              <w:rPr>
                <w:rFonts w:ascii="Calibri" w:hAnsi="Calibri"/>
                <w:color w:val="0F172A"/>
                <w:sz w:val="18"/>
              </w:rPr>
              <w:t>securityFilterChain(), permitAll()</w:t>
            </w:r>
          </w:p>
        </w:tc>
        <w:tc>
          <w:tcPr>
            <w:tcW w:type="dxa" w:w="2592"/>
            <w:shd w:fill="F8FAFC"/>
            <w:tcBorders>
              <w:top w:val="none" w:sz="4" w:space="0" w:color="auto"/>
              <w:left w:val="none" w:sz="4" w:space="0" w:color="auto"/>
              <w:bottom w:val="single" w:sz="4" w:space="0" w:color="E2E8F0"/>
              <w:right w:val="none" w:sz="4" w:space="0" w:color="auto"/>
              <w:insideH w:val="none"/>
              <w:insideV w:val="none"/>
            </w:tcBorders>
          </w:tcPr>
          <w:p>
            <w:pPr>
              <w:spacing w:before="80" w:after="80"/>
              <w:jc w:val="left"/>
            </w:pPr>
            <w:r>
              <w:rPr>
                <w:rFonts w:ascii="Calibri" w:hAnsi="Calibri"/>
                <w:color w:val="0F172A"/>
                <w:sz w:val="18"/>
              </w:rPr>
              <w:t>Show stateless JWT filter chain, security headers (HSTS, frameOptions DENY), and RBAC route matchers.</w:t>
            </w:r>
          </w:p>
        </w:tc>
      </w:tr>
      <w:tr>
        <w:tc>
          <w:tcPr>
            <w:tcW w:type="dxa" w:w="864"/>
            <w:tcBorders>
              <w:top w:val="none" w:sz="4" w:space="0" w:color="auto"/>
              <w:left w:val="none" w:sz="4" w:space="0" w:color="auto"/>
              <w:bottom w:val="single" w:sz="4" w:space="0" w:color="E2E8F0"/>
              <w:right w:val="none" w:sz="4" w:space="0" w:color="auto"/>
              <w:insideH w:val="none"/>
              <w:insideV w:val="none"/>
            </w:tcBorders>
          </w:tcPr>
          <w:p>
            <w:pPr>
              <w:spacing w:before="80" w:after="80"/>
              <w:jc w:val="left"/>
            </w:pPr>
            <w:r>
              <w:rPr>
                <w:rFonts w:ascii="Calibri" w:hAnsi="Calibri"/>
                <w:color w:val="0F172A"/>
                <w:sz w:val="18"/>
              </w:rPr>
              <w:t>3</w:t>
            </w:r>
          </w:p>
        </w:tc>
        <w:tc>
          <w:tcPr>
            <w:tcW w:type="dxa" w:w="3312"/>
            <w:tcBorders>
              <w:top w:val="none" w:sz="4" w:space="0" w:color="auto"/>
              <w:left w:val="none" w:sz="4" w:space="0" w:color="auto"/>
              <w:bottom w:val="single" w:sz="4" w:space="0" w:color="E2E8F0"/>
              <w:right w:val="none" w:sz="4" w:space="0" w:color="auto"/>
              <w:insideH w:val="none"/>
              <w:insideV w:val="none"/>
            </w:tcBorders>
          </w:tcPr>
          <w:p>
            <w:pPr>
              <w:spacing w:before="80" w:after="80"/>
              <w:jc w:val="left"/>
            </w:pPr>
            <w:r>
              <w:rPr>
                <w:rFonts w:ascii="Calibri" w:hAnsi="Calibri"/>
                <w:color w:val="0F172A"/>
                <w:sz w:val="18"/>
              </w:rPr>
              <w:t>backend/.../security/LoginRateLimiter.java</w:t>
            </w:r>
          </w:p>
        </w:tc>
        <w:tc>
          <w:tcPr>
            <w:tcW w:type="dxa" w:w="2592"/>
            <w:tcBorders>
              <w:top w:val="none" w:sz="4" w:space="0" w:color="auto"/>
              <w:left w:val="none" w:sz="4" w:space="0" w:color="auto"/>
              <w:bottom w:val="single" w:sz="4" w:space="0" w:color="E2E8F0"/>
              <w:right w:val="none" w:sz="4" w:space="0" w:color="auto"/>
              <w:insideH w:val="none"/>
              <w:insideV w:val="none"/>
            </w:tcBorders>
          </w:tcPr>
          <w:p>
            <w:pPr>
              <w:spacing w:before="80" w:after="80"/>
              <w:jc w:val="left"/>
            </w:pPr>
            <w:r>
              <w:rPr>
                <w:rFonts w:ascii="Calibri" w:hAnsi="Calibri"/>
                <w:color w:val="0F172A"/>
                <w:sz w:val="18"/>
              </w:rPr>
              <w:t>recordFailedAttempt(), isBlocked()</w:t>
            </w:r>
          </w:p>
        </w:tc>
        <w:tc>
          <w:tcPr>
            <w:tcW w:type="dxa" w:w="2592"/>
            <w:tcBorders>
              <w:top w:val="none" w:sz="4" w:space="0" w:color="auto"/>
              <w:left w:val="none" w:sz="4" w:space="0" w:color="auto"/>
              <w:bottom w:val="single" w:sz="4" w:space="0" w:color="E2E8F0"/>
              <w:right w:val="none" w:sz="4" w:space="0" w:color="auto"/>
              <w:insideH w:val="none"/>
              <w:insideV w:val="none"/>
            </w:tcBorders>
          </w:tcPr>
          <w:p>
            <w:pPr>
              <w:spacing w:before="80" w:after="80"/>
              <w:jc w:val="left"/>
            </w:pPr>
            <w:r>
              <w:rPr>
                <w:rFonts w:ascii="Calibri" w:hAnsi="Calibri"/>
                <w:color w:val="0F172A"/>
                <w:sz w:val="18"/>
              </w:rPr>
              <w:t>Explain memory-bounded brute-force defense that locks IP/account after 5 failures for 15 minutes.</w:t>
            </w:r>
          </w:p>
        </w:tc>
      </w:tr>
      <w:tr>
        <w:tc>
          <w:tcPr>
            <w:tcW w:type="dxa" w:w="864"/>
            <w:shd w:fill="F8FAFC"/>
            <w:tcBorders>
              <w:top w:val="none" w:sz="4" w:space="0" w:color="auto"/>
              <w:left w:val="none" w:sz="4" w:space="0" w:color="auto"/>
              <w:bottom w:val="single" w:sz="4" w:space="0" w:color="E2E8F0"/>
              <w:right w:val="none" w:sz="4" w:space="0" w:color="auto"/>
              <w:insideH w:val="none"/>
              <w:insideV w:val="none"/>
            </w:tcBorders>
          </w:tcPr>
          <w:p>
            <w:pPr>
              <w:spacing w:before="80" w:after="80"/>
              <w:jc w:val="left"/>
            </w:pPr>
            <w:r>
              <w:rPr>
                <w:rFonts w:ascii="Calibri" w:hAnsi="Calibri"/>
                <w:color w:val="0F172A"/>
                <w:sz w:val="18"/>
              </w:rPr>
              <w:t>4</w:t>
            </w:r>
          </w:p>
        </w:tc>
        <w:tc>
          <w:tcPr>
            <w:tcW w:type="dxa" w:w="3312"/>
            <w:shd w:fill="F8FAFC"/>
            <w:tcBorders>
              <w:top w:val="none" w:sz="4" w:space="0" w:color="auto"/>
              <w:left w:val="none" w:sz="4" w:space="0" w:color="auto"/>
              <w:bottom w:val="single" w:sz="4" w:space="0" w:color="E2E8F0"/>
              <w:right w:val="none" w:sz="4" w:space="0" w:color="auto"/>
              <w:insideH w:val="none"/>
              <w:insideV w:val="none"/>
            </w:tcBorders>
          </w:tcPr>
          <w:p>
            <w:pPr>
              <w:spacing w:before="80" w:after="80"/>
              <w:jc w:val="left"/>
            </w:pPr>
            <w:r>
              <w:rPr>
                <w:rFonts w:ascii="Calibri" w:hAnsi="Calibri"/>
                <w:color w:val="0F172A"/>
                <w:sz w:val="18"/>
              </w:rPr>
              <w:t>backend/.../leave/service/LeaveRequestService.java</w:t>
            </w:r>
          </w:p>
        </w:tc>
        <w:tc>
          <w:tcPr>
            <w:tcW w:type="dxa" w:w="2592"/>
            <w:shd w:fill="F8FAFC"/>
            <w:tcBorders>
              <w:top w:val="none" w:sz="4" w:space="0" w:color="auto"/>
              <w:left w:val="none" w:sz="4" w:space="0" w:color="auto"/>
              <w:bottom w:val="single" w:sz="4" w:space="0" w:color="E2E8F0"/>
              <w:right w:val="none" w:sz="4" w:space="0" w:color="auto"/>
              <w:insideH w:val="none"/>
              <w:insideV w:val="none"/>
            </w:tcBorders>
          </w:tcPr>
          <w:p>
            <w:pPr>
              <w:spacing w:before="80" w:after="80"/>
              <w:jc w:val="left"/>
            </w:pPr>
            <w:r>
              <w:rPr>
                <w:rFonts w:ascii="Calibri" w:hAnsi="Calibri"/>
                <w:color w:val="0F172A"/>
                <w:sz w:val="18"/>
              </w:rPr>
              <w:t>submitRequest(), approve()</w:t>
            </w:r>
          </w:p>
        </w:tc>
        <w:tc>
          <w:tcPr>
            <w:tcW w:type="dxa" w:w="2592"/>
            <w:shd w:fill="F8FAFC"/>
            <w:tcBorders>
              <w:top w:val="none" w:sz="4" w:space="0" w:color="auto"/>
              <w:left w:val="none" w:sz="4" w:space="0" w:color="auto"/>
              <w:bottom w:val="single" w:sz="4" w:space="0" w:color="E2E8F0"/>
              <w:right w:val="none" w:sz="4" w:space="0" w:color="auto"/>
              <w:insideH w:val="none"/>
              <w:insideV w:val="none"/>
            </w:tcBorders>
          </w:tcPr>
          <w:p>
            <w:pPr>
              <w:spacing w:before="80" w:after="80"/>
              <w:jc w:val="left"/>
            </w:pPr>
            <w:r>
              <w:rPr>
                <w:rFonts w:ascii="Calibri" w:hAnsi="Calibri"/>
                <w:color w:val="0F172A"/>
                <w:sz w:val="18"/>
              </w:rPr>
              <w:t>Highlight @Transactional boundaries, Kenya holiday checks, and atomic outbox event generation.</w:t>
            </w:r>
          </w:p>
        </w:tc>
      </w:tr>
      <w:tr>
        <w:tc>
          <w:tcPr>
            <w:tcW w:type="dxa" w:w="864"/>
            <w:tcBorders>
              <w:top w:val="none" w:sz="4" w:space="0" w:color="auto"/>
              <w:left w:val="none" w:sz="4" w:space="0" w:color="auto"/>
              <w:bottom w:val="single" w:sz="4" w:space="0" w:color="E2E8F0"/>
              <w:right w:val="none" w:sz="4" w:space="0" w:color="auto"/>
              <w:insideH w:val="none"/>
              <w:insideV w:val="none"/>
            </w:tcBorders>
          </w:tcPr>
          <w:p>
            <w:pPr>
              <w:spacing w:before="80" w:after="80"/>
              <w:jc w:val="left"/>
            </w:pPr>
            <w:r>
              <w:rPr>
                <w:rFonts w:ascii="Calibri" w:hAnsi="Calibri"/>
                <w:color w:val="0F172A"/>
                <w:sz w:val="18"/>
              </w:rPr>
              <w:t>5</w:t>
            </w:r>
          </w:p>
        </w:tc>
        <w:tc>
          <w:tcPr>
            <w:tcW w:type="dxa" w:w="3312"/>
            <w:tcBorders>
              <w:top w:val="none" w:sz="4" w:space="0" w:color="auto"/>
              <w:left w:val="none" w:sz="4" w:space="0" w:color="auto"/>
              <w:bottom w:val="single" w:sz="4" w:space="0" w:color="E2E8F0"/>
              <w:right w:val="none" w:sz="4" w:space="0" w:color="auto"/>
              <w:insideH w:val="none"/>
              <w:insideV w:val="none"/>
            </w:tcBorders>
          </w:tcPr>
          <w:p>
            <w:pPr>
              <w:spacing w:before="80" w:after="80"/>
              <w:jc w:val="left"/>
            </w:pPr>
            <w:r>
              <w:rPr>
                <w:rFonts w:ascii="Calibri" w:hAnsi="Calibri"/>
                <w:color w:val="0F172A"/>
                <w:sz w:val="18"/>
              </w:rPr>
              <w:t>backend/.../leave/engine/BalanceAccrualEngine.java</w:t>
            </w:r>
          </w:p>
        </w:tc>
        <w:tc>
          <w:tcPr>
            <w:tcW w:type="dxa" w:w="2592"/>
            <w:tcBorders>
              <w:top w:val="none" w:sz="4" w:space="0" w:color="auto"/>
              <w:left w:val="none" w:sz="4" w:space="0" w:color="auto"/>
              <w:bottom w:val="single" w:sz="4" w:space="0" w:color="E2E8F0"/>
              <w:right w:val="none" w:sz="4" w:space="0" w:color="auto"/>
              <w:insideH w:val="none"/>
              <w:insideV w:val="none"/>
            </w:tcBorders>
          </w:tcPr>
          <w:p>
            <w:pPr>
              <w:spacing w:before="80" w:after="80"/>
              <w:jc w:val="left"/>
            </w:pPr>
            <w:r>
              <w:rPr>
                <w:rFonts w:ascii="Calibri" w:hAnsi="Calibri"/>
                <w:color w:val="0F172A"/>
                <w:sz w:val="18"/>
              </w:rPr>
              <w:t>scheduledMonthlyAccrual()</w:t>
            </w:r>
          </w:p>
        </w:tc>
        <w:tc>
          <w:tcPr>
            <w:tcW w:type="dxa" w:w="2592"/>
            <w:tcBorders>
              <w:top w:val="none" w:sz="4" w:space="0" w:color="auto"/>
              <w:left w:val="none" w:sz="4" w:space="0" w:color="auto"/>
              <w:bottom w:val="single" w:sz="4" w:space="0" w:color="E2E8F0"/>
              <w:right w:val="none" w:sz="4" w:space="0" w:color="auto"/>
              <w:insideH w:val="none"/>
              <w:insideV w:val="none"/>
            </w:tcBorders>
          </w:tcPr>
          <w:p>
            <w:pPr>
              <w:spacing w:before="80" w:after="80"/>
              <w:jc w:val="left"/>
            </w:pPr>
            <w:r>
              <w:rPr>
                <w:rFonts w:ascii="Calibri" w:hAnsi="Calibri"/>
                <w:color w:val="0F172A"/>
                <w:sz w:val="18"/>
              </w:rPr>
              <w:t>Show cron-driven monthly leave credit engine with double-entry balance transaction logging.</w:t>
            </w:r>
          </w:p>
        </w:tc>
      </w:tr>
      <w:tr>
        <w:tc>
          <w:tcPr>
            <w:tcW w:type="dxa" w:w="864"/>
            <w:shd w:fill="F8FAFC"/>
            <w:tcBorders>
              <w:top w:val="none" w:sz="4" w:space="0" w:color="auto"/>
              <w:left w:val="none" w:sz="4" w:space="0" w:color="auto"/>
              <w:bottom w:val="single" w:sz="4" w:space="0" w:color="E2E8F0"/>
              <w:right w:val="none" w:sz="4" w:space="0" w:color="auto"/>
              <w:insideH w:val="none"/>
              <w:insideV w:val="none"/>
            </w:tcBorders>
          </w:tcPr>
          <w:p>
            <w:pPr>
              <w:spacing w:before="80" w:after="80"/>
              <w:jc w:val="left"/>
            </w:pPr>
            <w:r>
              <w:rPr>
                <w:rFonts w:ascii="Calibri" w:hAnsi="Calibri"/>
                <w:color w:val="0F172A"/>
                <w:sz w:val="18"/>
              </w:rPr>
              <w:t>6</w:t>
            </w:r>
          </w:p>
        </w:tc>
        <w:tc>
          <w:tcPr>
            <w:tcW w:type="dxa" w:w="3312"/>
            <w:shd w:fill="F8FAFC"/>
            <w:tcBorders>
              <w:top w:val="none" w:sz="4" w:space="0" w:color="auto"/>
              <w:left w:val="none" w:sz="4" w:space="0" w:color="auto"/>
              <w:bottom w:val="single" w:sz="4" w:space="0" w:color="E2E8F0"/>
              <w:right w:val="none" w:sz="4" w:space="0" w:color="auto"/>
              <w:insideH w:val="none"/>
              <w:insideV w:val="none"/>
            </w:tcBorders>
          </w:tcPr>
          <w:p>
            <w:pPr>
              <w:spacing w:before="80" w:after="80"/>
              <w:jc w:val="left"/>
            </w:pPr>
            <w:r>
              <w:rPr>
                <w:rFonts w:ascii="Calibri" w:hAnsi="Calibri"/>
                <w:color w:val="0F172A"/>
                <w:sz w:val="18"/>
              </w:rPr>
              <w:t>backend/.../helpdesk/engine/SlaBreachMonitorEngine.java</w:t>
            </w:r>
          </w:p>
        </w:tc>
        <w:tc>
          <w:tcPr>
            <w:tcW w:type="dxa" w:w="2592"/>
            <w:shd w:fill="F8FAFC"/>
            <w:tcBorders>
              <w:top w:val="none" w:sz="4" w:space="0" w:color="auto"/>
              <w:left w:val="none" w:sz="4" w:space="0" w:color="auto"/>
              <w:bottom w:val="single" w:sz="4" w:space="0" w:color="E2E8F0"/>
              <w:right w:val="none" w:sz="4" w:space="0" w:color="auto"/>
              <w:insideH w:val="none"/>
              <w:insideV w:val="none"/>
            </w:tcBorders>
          </w:tcPr>
          <w:p>
            <w:pPr>
              <w:spacing w:before="80" w:after="80"/>
              <w:jc w:val="left"/>
            </w:pPr>
            <w:r>
              <w:rPr>
                <w:rFonts w:ascii="Calibri" w:hAnsi="Calibri"/>
                <w:color w:val="0F172A"/>
                <w:sz w:val="18"/>
              </w:rPr>
              <w:t>sweepBreachedTickets()</w:t>
            </w:r>
          </w:p>
        </w:tc>
        <w:tc>
          <w:tcPr>
            <w:tcW w:type="dxa" w:w="2592"/>
            <w:shd w:fill="F8FAFC"/>
            <w:tcBorders>
              <w:top w:val="none" w:sz="4" w:space="0" w:color="auto"/>
              <w:left w:val="none" w:sz="4" w:space="0" w:color="auto"/>
              <w:bottom w:val="single" w:sz="4" w:space="0" w:color="E2E8F0"/>
              <w:right w:val="none" w:sz="4" w:space="0" w:color="auto"/>
              <w:insideH w:val="none"/>
              <w:insideV w:val="none"/>
            </w:tcBorders>
          </w:tcPr>
          <w:p>
            <w:pPr>
              <w:spacing w:before="80" w:after="80"/>
              <w:jc w:val="left"/>
            </w:pPr>
            <w:r>
              <w:rPr>
                <w:rFonts w:ascii="Calibri" w:hAnsi="Calibri"/>
                <w:color w:val="0F172A"/>
                <w:sz w:val="18"/>
              </w:rPr>
              <w:t>Show 60-second fixedRate scheduler detecting SLA breaches and recording breach audit logs.</w:t>
            </w:r>
          </w:p>
        </w:tc>
      </w:tr>
      <w:tr>
        <w:tc>
          <w:tcPr>
            <w:tcW w:type="dxa" w:w="864"/>
            <w:tcBorders>
              <w:top w:val="none" w:sz="4" w:space="0" w:color="auto"/>
              <w:left w:val="none" w:sz="4" w:space="0" w:color="auto"/>
              <w:bottom w:val="single" w:sz="4" w:space="0" w:color="E2E8F0"/>
              <w:right w:val="none" w:sz="4" w:space="0" w:color="auto"/>
              <w:insideH w:val="none"/>
              <w:insideV w:val="none"/>
            </w:tcBorders>
          </w:tcPr>
          <w:p>
            <w:pPr>
              <w:spacing w:before="80" w:after="80"/>
              <w:jc w:val="left"/>
            </w:pPr>
            <w:r>
              <w:rPr>
                <w:rFonts w:ascii="Calibri" w:hAnsi="Calibri"/>
                <w:color w:val="0F172A"/>
                <w:sz w:val="18"/>
              </w:rPr>
              <w:t>7</w:t>
            </w:r>
          </w:p>
        </w:tc>
        <w:tc>
          <w:tcPr>
            <w:tcW w:type="dxa" w:w="3312"/>
            <w:tcBorders>
              <w:top w:val="none" w:sz="4" w:space="0" w:color="auto"/>
              <w:left w:val="none" w:sz="4" w:space="0" w:color="auto"/>
              <w:bottom w:val="single" w:sz="4" w:space="0" w:color="E2E8F0"/>
              <w:right w:val="none" w:sz="4" w:space="0" w:color="auto"/>
              <w:insideH w:val="none"/>
              <w:insideV w:val="none"/>
            </w:tcBorders>
          </w:tcPr>
          <w:p>
            <w:pPr>
              <w:spacing w:before="80" w:after="80"/>
              <w:jc w:val="left"/>
            </w:pPr>
            <w:r>
              <w:rPr>
                <w:rFonts w:ascii="Calibri" w:hAnsi="Calibri"/>
                <w:color w:val="0F172A"/>
                <w:sz w:val="18"/>
              </w:rPr>
              <w:t>backend/.../platform/handler/OooSyncHandler.java</w:t>
            </w:r>
          </w:p>
        </w:tc>
        <w:tc>
          <w:tcPr>
            <w:tcW w:type="dxa" w:w="2592"/>
            <w:tcBorders>
              <w:top w:val="none" w:sz="4" w:space="0" w:color="auto"/>
              <w:left w:val="none" w:sz="4" w:space="0" w:color="auto"/>
              <w:bottom w:val="single" w:sz="4" w:space="0" w:color="E2E8F0"/>
              <w:right w:val="none" w:sz="4" w:space="0" w:color="auto"/>
              <w:insideH w:val="none"/>
              <w:insideV w:val="none"/>
            </w:tcBorders>
          </w:tcPr>
          <w:p>
            <w:pPr>
              <w:spacing w:before="80" w:after="80"/>
              <w:jc w:val="left"/>
            </w:pPr>
            <w:r>
              <w:rPr>
                <w:rFonts w:ascii="Calibri" w:hAnsi="Calibri"/>
                <w:color w:val="0F172A"/>
                <w:sz w:val="18"/>
              </w:rPr>
              <w:t>handle(), reassignTickets()</w:t>
            </w:r>
          </w:p>
        </w:tc>
        <w:tc>
          <w:tcPr>
            <w:tcW w:type="dxa" w:w="2592"/>
            <w:tcBorders>
              <w:top w:val="none" w:sz="4" w:space="0" w:color="auto"/>
              <w:left w:val="none" w:sz="4" w:space="0" w:color="auto"/>
              <w:bottom w:val="single" w:sz="4" w:space="0" w:color="E2E8F0"/>
              <w:right w:val="none" w:sz="4" w:space="0" w:color="auto"/>
              <w:insideH w:val="none"/>
              <w:insideV w:val="none"/>
            </w:tcBorders>
          </w:tcPr>
          <w:p>
            <w:pPr>
              <w:spacing w:before="80" w:after="80"/>
              <w:jc w:val="left"/>
            </w:pPr>
            <w:r>
              <w:rPr>
                <w:rFonts w:ascii="Calibri" w:hAnsi="Calibri"/>
                <w:color w:val="0F172A"/>
                <w:sz w:val="18"/>
              </w:rPr>
              <w:t>Show the crown-jewel workflow: auto-reassigning open helpdesk tickets when an agent's leave is approved.</w:t>
            </w:r>
          </w:p>
        </w:tc>
      </w:tr>
      <w:tr>
        <w:tc>
          <w:tcPr>
            <w:tcW w:type="dxa" w:w="864"/>
            <w:shd w:fill="F8FAFC"/>
            <w:tcBorders>
              <w:top w:val="none" w:sz="4" w:space="0" w:color="auto"/>
              <w:left w:val="none" w:sz="4" w:space="0" w:color="auto"/>
              <w:bottom w:val="single" w:sz="4" w:space="0" w:color="E2E8F0"/>
              <w:right w:val="none" w:sz="4" w:space="0" w:color="auto"/>
              <w:insideH w:val="none"/>
              <w:insideV w:val="none"/>
            </w:tcBorders>
          </w:tcPr>
          <w:p>
            <w:pPr>
              <w:spacing w:before="80" w:after="80"/>
              <w:jc w:val="left"/>
            </w:pPr>
            <w:r>
              <w:rPr>
                <w:rFonts w:ascii="Calibri" w:hAnsi="Calibri"/>
                <w:color w:val="0F172A"/>
                <w:sz w:val="18"/>
              </w:rPr>
              <w:t>8</w:t>
            </w:r>
          </w:p>
        </w:tc>
        <w:tc>
          <w:tcPr>
            <w:tcW w:type="dxa" w:w="3312"/>
            <w:shd w:fill="F8FAFC"/>
            <w:tcBorders>
              <w:top w:val="none" w:sz="4" w:space="0" w:color="auto"/>
              <w:left w:val="none" w:sz="4" w:space="0" w:color="auto"/>
              <w:bottom w:val="single" w:sz="4" w:space="0" w:color="E2E8F0"/>
              <w:right w:val="none" w:sz="4" w:space="0" w:color="auto"/>
              <w:insideH w:val="none"/>
              <w:insideV w:val="none"/>
            </w:tcBorders>
          </w:tcPr>
          <w:p>
            <w:pPr>
              <w:spacing w:before="80" w:after="80"/>
              <w:jc w:val="left"/>
            </w:pPr>
            <w:r>
              <w:rPr>
                <w:rFonts w:ascii="Calibri" w:hAnsi="Calibri"/>
                <w:color w:val="0F172A"/>
                <w:sz w:val="18"/>
              </w:rPr>
              <w:t>frontend/src/api/client.ts</w:t>
            </w:r>
          </w:p>
        </w:tc>
        <w:tc>
          <w:tcPr>
            <w:tcW w:type="dxa" w:w="2592"/>
            <w:shd w:fill="F8FAFC"/>
            <w:tcBorders>
              <w:top w:val="none" w:sz="4" w:space="0" w:color="auto"/>
              <w:left w:val="none" w:sz="4" w:space="0" w:color="auto"/>
              <w:bottom w:val="single" w:sz="4" w:space="0" w:color="E2E8F0"/>
              <w:right w:val="none" w:sz="4" w:space="0" w:color="auto"/>
              <w:insideH w:val="none"/>
              <w:insideV w:val="none"/>
            </w:tcBorders>
          </w:tcPr>
          <w:p>
            <w:pPr>
              <w:spacing w:before="80" w:after="80"/>
              <w:jc w:val="left"/>
            </w:pPr>
            <w:r>
              <w:rPr>
                <w:rFonts w:ascii="Calibri" w:hAnsi="Calibri"/>
                <w:color w:val="0F172A"/>
                <w:sz w:val="18"/>
              </w:rPr>
              <w:t>interceptors.request, interceptors.response</w:t>
            </w:r>
          </w:p>
        </w:tc>
        <w:tc>
          <w:tcPr>
            <w:tcW w:type="dxa" w:w="2592"/>
            <w:shd w:fill="F8FAFC"/>
            <w:tcBorders>
              <w:top w:val="none" w:sz="4" w:space="0" w:color="auto"/>
              <w:left w:val="none" w:sz="4" w:space="0" w:color="auto"/>
              <w:bottom w:val="single" w:sz="4" w:space="0" w:color="E2E8F0"/>
              <w:right w:val="none" w:sz="4" w:space="0" w:color="auto"/>
              <w:insideH w:val="none"/>
              <w:insideV w:val="none"/>
            </w:tcBorders>
          </w:tcPr>
          <w:p>
            <w:pPr>
              <w:spacing w:before="80" w:after="80"/>
              <w:jc w:val="left"/>
            </w:pPr>
            <w:r>
              <w:rPr>
                <w:rFonts w:ascii="Calibri" w:hAnsi="Calibri"/>
                <w:color w:val="0F172A"/>
                <w:sz w:val="18"/>
              </w:rPr>
              <w:t>Explain Axios interceptors injecting Bearer tokens and automatically handling 401 token refresh loops.</w:t>
            </w:r>
          </w:p>
        </w:tc>
      </w:tr>
      <w:tr>
        <w:tc>
          <w:tcPr>
            <w:tcW w:type="dxa" w:w="864"/>
            <w:tcBorders>
              <w:top w:val="none" w:sz="4" w:space="0" w:color="auto"/>
              <w:left w:val="none" w:sz="4" w:space="0" w:color="auto"/>
              <w:bottom w:val="single" w:sz="4" w:space="0" w:color="E2E8F0"/>
              <w:right w:val="none" w:sz="4" w:space="0" w:color="auto"/>
              <w:insideH w:val="none"/>
              <w:insideV w:val="none"/>
            </w:tcBorders>
          </w:tcPr>
          <w:p>
            <w:pPr>
              <w:spacing w:before="80" w:after="80"/>
              <w:jc w:val="left"/>
            </w:pPr>
            <w:r>
              <w:rPr>
                <w:rFonts w:ascii="Calibri" w:hAnsi="Calibri"/>
                <w:color w:val="0F172A"/>
                <w:sz w:val="18"/>
              </w:rPr>
              <w:t>9</w:t>
            </w:r>
          </w:p>
        </w:tc>
        <w:tc>
          <w:tcPr>
            <w:tcW w:type="dxa" w:w="3312"/>
            <w:tcBorders>
              <w:top w:val="none" w:sz="4" w:space="0" w:color="auto"/>
              <w:left w:val="none" w:sz="4" w:space="0" w:color="auto"/>
              <w:bottom w:val="single" w:sz="4" w:space="0" w:color="E2E8F0"/>
              <w:right w:val="none" w:sz="4" w:space="0" w:color="auto"/>
              <w:insideH w:val="none"/>
              <w:insideV w:val="none"/>
            </w:tcBorders>
          </w:tcPr>
          <w:p>
            <w:pPr>
              <w:spacing w:before="80" w:after="80"/>
              <w:jc w:val="left"/>
            </w:pPr>
            <w:r>
              <w:rPr>
                <w:rFonts w:ascii="Calibri" w:hAnsi="Calibri"/>
                <w:color w:val="0F172A"/>
                <w:sz w:val="18"/>
              </w:rPr>
              <w:t>frontend/src/context/ThemeContext.tsx</w:t>
            </w:r>
          </w:p>
        </w:tc>
        <w:tc>
          <w:tcPr>
            <w:tcW w:type="dxa" w:w="2592"/>
            <w:tcBorders>
              <w:top w:val="none" w:sz="4" w:space="0" w:color="auto"/>
              <w:left w:val="none" w:sz="4" w:space="0" w:color="auto"/>
              <w:bottom w:val="single" w:sz="4" w:space="0" w:color="E2E8F0"/>
              <w:right w:val="none" w:sz="4" w:space="0" w:color="auto"/>
              <w:insideH w:val="none"/>
              <w:insideV w:val="none"/>
            </w:tcBorders>
          </w:tcPr>
          <w:p>
            <w:pPr>
              <w:spacing w:before="80" w:after="80"/>
              <w:jc w:val="left"/>
            </w:pPr>
            <w:r>
              <w:rPr>
                <w:rFonts w:ascii="Calibri" w:hAnsi="Calibri"/>
                <w:color w:val="0F172A"/>
                <w:sz w:val="18"/>
              </w:rPr>
              <w:t>toggleTheme(), dark class toggle</w:t>
            </w:r>
          </w:p>
        </w:tc>
        <w:tc>
          <w:tcPr>
            <w:tcW w:type="dxa" w:w="2592"/>
            <w:tcBorders>
              <w:top w:val="none" w:sz="4" w:space="0" w:color="auto"/>
              <w:left w:val="none" w:sz="4" w:space="0" w:color="auto"/>
              <w:bottom w:val="single" w:sz="4" w:space="0" w:color="E2E8F0"/>
              <w:right w:val="none" w:sz="4" w:space="0" w:color="auto"/>
              <w:insideH w:val="none"/>
              <w:insideV w:val="none"/>
            </w:tcBorders>
          </w:tcPr>
          <w:p>
            <w:pPr>
              <w:spacing w:before="80" w:after="80"/>
              <w:jc w:val="left"/>
            </w:pPr>
            <w:r>
              <w:rPr>
                <w:rFonts w:ascii="Calibri" w:hAnsi="Calibri"/>
                <w:color w:val="0F172A"/>
                <w:sz w:val="18"/>
              </w:rPr>
              <w:t>Demonstrate seamless dark/light theme switching with WCAG-compliant high-contrast colors.</w:t>
            </w:r>
          </w:p>
        </w:tc>
      </w:tr>
    </w:tbl>
    <w:p>
      <w:pPr>
        <w:spacing w:before="40" w:after="120"/>
      </w:pPr>
    </w:p>
    <w:p>
      <w:pPr>
        <w:keepNext/>
        <w:spacing w:before="280" w:after="80"/>
      </w:pPr>
      <w:r>
        <w:rPr>
          <w:rFonts w:ascii="Calibri" w:hAnsi="Calibri"/>
          <w:b/>
          <w:color w:val="334155"/>
          <w:sz w:val="26"/>
        </w:rPr>
        <w:t>5.1 Deep-Dive File 1: SecurityConfig.java</w:t>
      </w:r>
    </w:p>
    <w:tbl>
      <w:tblPr>
        <w:tblW w:type="auto" w:w="0"/>
        <w:jc w:val="center"/>
        <w:tblLayout w:type="fixed"/>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insideH w:val="none"/>
              <w:insideV w:val="none"/>
            </w:tcBorders>
          </w:tcPr>
          <w:p>
            <w:pPr>
              <w:spacing w:before="80" w:after="80"/>
              <w:ind w:left="173" w:right="173"/>
            </w:pPr>
            <w:r>
              <w:rPr>
                <w:rFonts w:ascii="Consolas" w:hAnsi="Consolas"/>
                <w:color w:val="1E293B"/>
                <w:sz w:val="17"/>
              </w:rPr>
              <w:t>// SecurityConfig.java - Hardened Spring Security 6</w:t>
              <w:br/>
              <w:t>@Bean</w:t>
              <w:br/>
              <w:t>public SecurityFilterChain securityFilterChain(HttpSecurity http) throws Exception {</w:t>
              <w:br/>
              <w:t xml:space="preserve">    http</w:t>
              <w:br/>
              <w:t xml:space="preserve">        .cors(cors -&gt; cors.configurationSource(corsConfigurationSource()))</w:t>
              <w:br/>
              <w:t xml:space="preserve">        .csrf(AbstractHttpConfigurer::disable)</w:t>
              <w:br/>
              <w:t xml:space="preserve">        .headers(headers -&gt; headers</w:t>
              <w:br/>
              <w:t xml:space="preserve">            .frameOptions(frame -&gt; frame.deny())</w:t>
              <w:br/>
              <w:t xml:space="preserve">            .contentTypeOptions(contentType -&gt; {})</w:t>
              <w:br/>
              <w:t xml:space="preserve">            .httpStrictTransportSecurity(hsts -&gt; hsts.includeSubDomains(true).maxAgeInSeconds(31536000))</w:t>
              <w:br/>
              <w:t xml:space="preserve">        )</w:t>
              <w:br/>
              <w:t xml:space="preserve">        .sessionManagement(s -&gt; s.sessionCreationPolicy(SessionCreationPolicy.STATELESS))</w:t>
              <w:br/>
              <w:t xml:space="preserve">        .authorizeHttpRequests(auth -&gt; auth</w:t>
              <w:br/>
              <w:t xml:space="preserve">            .requestMatchers("/api/auth/**").permitAll()</w:t>
              <w:br/>
              <w:t xml:space="preserve">            .requestMatchers("/actuator/health", "/actuator/info").permitAll()</w:t>
              <w:br/>
              <w:t xml:space="preserve">            .requestMatchers("/api/leave/policies/**").hasAnyAuthority("ROLE_HR_ADMIN", "HR_ADMIN")</w:t>
              <w:br/>
              <w:t xml:space="preserve">            .requestMatchers("/api/helpdesk/queues/**").authenticated()</w:t>
              <w:br/>
              <w:t xml:space="preserve">            .anyRequest().authenticated()</w:t>
              <w:br/>
              <w:t xml:space="preserve">        )</w:t>
              <w:br/>
              <w:t xml:space="preserve">        .addFilterBefore(jwtAuthFilter, UsernamePasswordAuthenticationFilter.class);</w:t>
              <w:br/>
              <w:t xml:space="preserve">    return http.build();</w:t>
              <w:br/>
              <w:t>}</w:t>
            </w:r>
          </w:p>
        </w:tc>
      </w:tr>
    </w:tbl>
    <w:p>
      <w:pPr>
        <w:spacing w:before="40" w:after="80"/>
      </w:pPr>
    </w:p>
    <w:p>
      <w:pPr>
        <w:keepNext/>
        <w:spacing w:before="280" w:after="80"/>
      </w:pPr>
      <w:r>
        <w:rPr>
          <w:rFonts w:ascii="Calibri" w:hAnsi="Calibri"/>
          <w:b/>
          <w:color w:val="334155"/>
          <w:sz w:val="26"/>
        </w:rPr>
        <w:t>5.2 Deep-Dive File 2: OooSyncHandler.java (Outbox Handler)</w:t>
      </w:r>
    </w:p>
    <w:tbl>
      <w:tblPr>
        <w:tblW w:type="auto" w:w="0"/>
        <w:jc w:val="center"/>
        <w:tblLayout w:type="fixed"/>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insideH w:val="none"/>
              <w:insideV w:val="none"/>
            </w:tcBorders>
          </w:tcPr>
          <w:p>
            <w:pPr>
              <w:spacing w:before="80" w:after="80"/>
              <w:ind w:left="173" w:right="173"/>
            </w:pPr>
            <w:r>
              <w:rPr>
                <w:rFonts w:ascii="Consolas" w:hAnsi="Consolas"/>
                <w:color w:val="1E293B"/>
                <w:sz w:val="17"/>
              </w:rPr>
              <w:t>// OooSyncHandler.java - Automated Ticket Reassignment on Leave Approval</w:t>
              <w:br/>
              <w:t>@Override</w:t>
              <w:br/>
              <w:t>@Transactional</w:t>
              <w:br/>
              <w:t>public void handle(EventOutbox event) {</w:t>
              <w:br/>
              <w:t xml:space="preserve">    JsonNode payload = objectMapper.readTree(event.getPayload());</w:t>
              <w:br/>
              <w:t xml:space="preserve">    UUID employeeId = UUID.fromString(payload.get("employeeId").asText());</w:t>
              <w:br/>
              <w:t xml:space="preserve">    </w:t>
              <w:br/>
              <w:t xml:space="preserve">    // Query open tickets assigned to the employee going on leave</w:t>
              <w:br/>
              <w:t xml:space="preserve">    List&lt;Ticket&gt; activeTickets = ticketRepository.findActiveByAssigneeId(employeeId);</w:t>
              <w:br/>
              <w:t xml:space="preserve">    for (Ticket ticket : activeTickets) {</w:t>
              <w:br/>
              <w:t xml:space="preserve">        // Find eligible peer agents in the same support queue</w:t>
              <w:br/>
              <w:t xml:space="preserve">        List&lt;User&gt; availablePeers = queueMemberRepository.findAvailablePeers(ticket.getQueue().getId(), employeeId);</w:t>
              <w:br/>
              <w:t xml:space="preserve">        if (!availablePeers.isEmpty()) {</w:t>
              <w:br/>
              <w:t xml:space="preserve">            User replacement = availablePeers.get(0); // Least-loaded peer</w:t>
              <w:br/>
              <w:t xml:space="preserve">            ticket.setAssignedTo(replacement);</w:t>
              <w:br/>
              <w:t xml:space="preserve">            routingHistoryRepository.save(new TicketRoutingHistory(ticket, employeeId, replacement.getId(), "OOO_AUTO_REASSIGN"));</w:t>
              <w:br/>
              <w:t xml:space="preserve">        } else {</w:t>
              <w:br/>
              <w:t xml:space="preserve">            ticket.setAssignedTo(null); // Unassign to queue pool for triage</w:t>
              <w:br/>
              <w:t xml:space="preserve">        }</w:t>
              <w:br/>
              <w:t xml:space="preserve">        ticketRepository.save(ticket);</w:t>
              <w:br/>
              <w:t xml:space="preserve">    }</w:t>
              <w:br/>
              <w:t>}</w:t>
            </w:r>
          </w:p>
        </w:tc>
      </w:tr>
    </w:tbl>
    <w:p>
      <w:pPr>
        <w:spacing w:before="40" w:after="80"/>
      </w:pPr>
    </w:p>
    <w:p>
      <w:pPr>
        <w:keepNext/>
        <w:spacing w:before="280" w:after="80"/>
      </w:pPr>
      <w:r>
        <w:rPr>
          <w:rFonts w:ascii="Calibri" w:hAnsi="Calibri"/>
          <w:b/>
          <w:color w:val="334155"/>
          <w:sz w:val="26"/>
        </w:rPr>
        <w:t>5.3 Deep-Dive File 3: frontend/src/api/client.ts (Axios JWT Interceptor)</w:t>
      </w:r>
    </w:p>
    <w:tbl>
      <w:tblPr>
        <w:tblW w:type="auto" w:w="0"/>
        <w:jc w:val="center"/>
        <w:tblLayout w:type="fixed"/>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insideH w:val="none"/>
              <w:insideV w:val="none"/>
            </w:tcBorders>
          </w:tcPr>
          <w:p>
            <w:pPr>
              <w:spacing w:before="80" w:after="80"/>
              <w:ind w:left="173" w:right="173"/>
            </w:pPr>
            <w:r>
              <w:rPr>
                <w:rFonts w:ascii="Consolas" w:hAnsi="Consolas"/>
                <w:color w:val="1E293B"/>
                <w:sz w:val="17"/>
              </w:rPr>
              <w:t>// client.ts - Clean Bearer Token Injection &amp; Interception</w:t>
              <w:br/>
              <w:t>apiClient.interceptors.request.use((config) =&gt; {</w:t>
              <w:br/>
              <w:t xml:space="preserve">  const token = localStorage.getItem('access_token');</w:t>
              <w:br/>
              <w:t xml:space="preserve">  if (token) {</w:t>
              <w:br/>
              <w:t xml:space="preserve">    config.headers.Authorization = `Bearer ${token}`;</w:t>
              <w:br/>
              <w:t xml:space="preserve">  }</w:t>
              <w:br/>
              <w:t xml:space="preserve">  return config;</w:t>
              <w:br/>
              <w:t>});</w:t>
              <w:br/>
              <w:br/>
              <w:t>apiClient.interceptors.response.use(</w:t>
              <w:br/>
              <w:t xml:space="preserve">  (response) =&gt; response,</w:t>
              <w:br/>
              <w:t xml:space="preserve">  async (error) =&gt; {</w:t>
              <w:br/>
              <w:t xml:space="preserve">    if (error.response?.status === 401 &amp;&amp; !error.config._retry) {</w:t>
              <w:br/>
              <w:t xml:space="preserve">      // Handle transparent token refresh or secure redirection to /login</w:t>
              <w:br/>
              <w:t xml:space="preserve">      localStorage.removeItem('access_token');</w:t>
              <w:br/>
              <w:t xml:space="preserve">      window.location.href = '/login';</w:t>
              <w:br/>
              <w:t xml:space="preserve">    }</w:t>
              <w:br/>
              <w:t xml:space="preserve">    return Promise.reject(error);</w:t>
              <w:br/>
              <w:t xml:space="preserve">  }</w:t>
              <w:br/>
              <w:t>);</w:t>
            </w:r>
          </w:p>
        </w:tc>
      </w:tr>
    </w:tbl>
    <w:p>
      <w:pPr>
        <w:spacing w:before="40" w:after="80"/>
      </w:pPr>
    </w:p>
    <w:p>
      <w:pPr>
        <w:keepNext/>
        <w:spacing w:before="360" w:after="120"/>
      </w:pPr>
      <w:r>
        <w:rPr>
          <w:rFonts w:ascii="Calibri" w:hAnsi="Calibri"/>
          <w:b/>
          <w:color w:val="1E3A8A"/>
          <w:sz w:val="34"/>
        </w:rPr>
        <w:t>6. Frontend Architecture, State &amp; Accessibility</w:t>
      </w:r>
    </w:p>
    <w:p>
      <w:pPr>
        <w:spacing w:before="40" w:after="80" w:line="276" w:lineRule="auto"/>
      </w:pPr>
      <w:r>
        <w:rPr>
          <w:rFonts w:ascii="Calibri" w:hAnsi="Calibri"/>
          <w:color w:val="0F172A"/>
          <w:sz w:val="21"/>
        </w:rPr>
        <w:t>The user interface is engineered in React 18 using TypeScript and Tailwind CSS, structured for rapid navigation and zero visual fatigue across long operational shifts.</w:t>
      </w:r>
    </w:p>
    <w:p>
      <w:pPr>
        <w:pStyle w:val="ListBullet"/>
        <w:spacing w:before="20" w:after="60" w:line="276" w:lineRule="auto"/>
      </w:pPr>
      <w:r>
        <w:rPr>
          <w:rFonts w:ascii="Calibri" w:hAnsi="Calibri"/>
          <w:b/>
          <w:color w:val="0F172A"/>
          <w:sz w:val="20"/>
        </w:rPr>
        <w:t xml:space="preserve">Strict TypeScript Typing: </w:t>
      </w:r>
      <w:r>
        <w:rPr>
          <w:rFonts w:ascii="Calibri" w:hAnsi="Calibri"/>
          <w:color w:val="0F172A"/>
          <w:sz w:val="20"/>
        </w:rPr>
        <w:t>All API entities (User, LeaveRequest, Ticket, SlaPolicy) have exact TypeScript counterparts in types/index.ts, guaranteeing compile-time type safety across all components.</w:t>
      </w:r>
    </w:p>
    <w:p>
      <w:pPr>
        <w:pStyle w:val="ListBullet"/>
        <w:spacing w:before="20" w:after="60" w:line="276" w:lineRule="auto"/>
      </w:pPr>
      <w:r>
        <w:rPr>
          <w:rFonts w:ascii="Calibri" w:hAnsi="Calibri"/>
          <w:b/>
          <w:color w:val="0F172A"/>
          <w:sz w:val="20"/>
        </w:rPr>
        <w:t xml:space="preserve">Centralized Auth Context: </w:t>
      </w:r>
      <w:r>
        <w:rPr>
          <w:rFonts w:ascii="Calibri" w:hAnsi="Calibri"/>
          <w:color w:val="0F172A"/>
          <w:sz w:val="20"/>
        </w:rPr>
        <w:t>Global authentication state is handled by AuthContext.tsx. On initial boot, it validates existing tokens, hydrates user roles, and gates protected routes via ProtectedRoute.tsx.</w:t>
      </w:r>
    </w:p>
    <w:p>
      <w:pPr>
        <w:pStyle w:val="ListBullet"/>
        <w:spacing w:before="20" w:after="60" w:line="276" w:lineRule="auto"/>
      </w:pPr>
      <w:r>
        <w:rPr>
          <w:rFonts w:ascii="Calibri" w:hAnsi="Calibri"/>
          <w:b/>
          <w:color w:val="0F172A"/>
          <w:sz w:val="20"/>
        </w:rPr>
        <w:t xml:space="preserve">Accessibility &amp; Dark Theme: </w:t>
      </w:r>
      <w:r>
        <w:rPr>
          <w:rFonts w:ascii="Calibri" w:hAnsi="Calibri"/>
          <w:color w:val="0F172A"/>
          <w:sz w:val="20"/>
        </w:rPr>
        <w:t>Implements a high-contrast dark mode system using CSS variables and Tailwind's dark: variant classes. All ticket cards, status badges, leave balance metrics, and tables maintain WCAG-compliant color contrast.</w:t>
      </w:r>
    </w:p>
    <w:p>
      <w:pPr>
        <w:pStyle w:val="ListBullet"/>
        <w:spacing w:before="20" w:after="60" w:line="276" w:lineRule="auto"/>
      </w:pPr>
      <w:r>
        <w:rPr>
          <w:rFonts w:ascii="Calibri" w:hAnsi="Calibri"/>
          <w:b/>
          <w:color w:val="0F172A"/>
          <w:sz w:val="20"/>
        </w:rPr>
        <w:t xml:space="preserve">Defensive UI States: </w:t>
      </w:r>
      <w:r>
        <w:rPr>
          <w:rFonts w:ascii="Calibri" w:hAnsi="Calibri"/>
          <w:color w:val="0F172A"/>
          <w:sz w:val="20"/>
        </w:rPr>
        <w:t>Asynchronous data fetching renders clean &lt;Skeleton /&gt; loaders to prevent layout shifts (CLS), accompanied by toast notifications for optimistic user feedback.</w:t>
      </w:r>
    </w:p>
    <w:p>
      <w:pPr>
        <w:keepNext/>
        <w:spacing w:before="360" w:after="120"/>
      </w:pPr>
      <w:r>
        <w:rPr>
          <w:rFonts w:ascii="Calibri" w:hAnsi="Calibri"/>
          <w:b/>
          <w:color w:val="1E3A8A"/>
          <w:sz w:val="34"/>
        </w:rPr>
        <w:t>7. Security Hardening, Concurrency &amp; Production Readiness</w:t>
      </w:r>
    </w:p>
    <w:p>
      <w:pPr>
        <w:spacing w:before="40" w:after="80" w:line="276" w:lineRule="auto"/>
      </w:pPr>
      <w:r>
        <w:rPr>
          <w:rFonts w:ascii="Calibri" w:hAnsi="Calibri"/>
          <w:color w:val="0F172A"/>
          <w:sz w:val="21"/>
        </w:rPr>
        <w:t>The system has been hardened against common web application vulnerabilities (OWASP Top 10):</w:t>
      </w:r>
    </w:p>
    <w:p>
      <w:pPr>
        <w:pStyle w:val="ListBullet"/>
        <w:spacing w:before="20" w:after="60" w:line="276" w:lineRule="auto"/>
      </w:pPr>
      <w:r>
        <w:rPr>
          <w:rFonts w:ascii="Calibri" w:hAnsi="Calibri"/>
          <w:b/>
          <w:color w:val="0F172A"/>
          <w:sz w:val="20"/>
        </w:rPr>
        <w:t xml:space="preserve">Cryptographic Hashing: </w:t>
      </w:r>
      <w:r>
        <w:rPr>
          <w:rFonts w:ascii="Calibri" w:hAnsi="Calibri"/>
          <w:color w:val="0F172A"/>
          <w:sz w:val="20"/>
        </w:rPr>
        <w:t>Passwords are encrypted using BCrypt with a calculation cost factor of 12 ($2a$12$), making brute-force rainbow table cracking computationally prohibitive.</w:t>
      </w:r>
    </w:p>
    <w:p>
      <w:pPr>
        <w:pStyle w:val="ListBullet"/>
        <w:spacing w:before="20" w:after="60" w:line="276" w:lineRule="auto"/>
      </w:pPr>
      <w:r>
        <w:rPr>
          <w:rFonts w:ascii="Calibri" w:hAnsi="Calibri"/>
          <w:b/>
          <w:color w:val="0F172A"/>
          <w:sz w:val="20"/>
        </w:rPr>
        <w:t xml:space="preserve">Brute-Force &amp; Credential Stuffing Defense: </w:t>
      </w:r>
      <w:r>
        <w:rPr>
          <w:rFonts w:ascii="Calibri" w:hAnsi="Calibri"/>
          <w:color w:val="0F172A"/>
          <w:sz w:val="20"/>
        </w:rPr>
        <w:t>The LoginRateLimiter enforces an in-memory sliding window that locks any IP address or employee code attempting more than 5 failed logins within 15 minutes.</w:t>
      </w:r>
    </w:p>
    <w:p>
      <w:pPr>
        <w:pStyle w:val="ListBullet"/>
        <w:spacing w:before="20" w:after="60" w:line="276" w:lineRule="auto"/>
      </w:pPr>
      <w:r>
        <w:rPr>
          <w:rFonts w:ascii="Calibri" w:hAnsi="Calibri"/>
          <w:b/>
          <w:color w:val="0F172A"/>
          <w:sz w:val="20"/>
        </w:rPr>
        <w:t xml:space="preserve">Hardened Security Headers: </w:t>
      </w:r>
      <w:r>
        <w:rPr>
          <w:rFonts w:ascii="Calibri" w:hAnsi="Calibri"/>
          <w:color w:val="0F172A"/>
          <w:sz w:val="20"/>
        </w:rPr>
        <w:t>Protection against Clickjacking via X-Frame-Options: DENY, MIME-sniffing prevention via X-Content-Type-Options: nosniff, and HTTP Strict Transport Security (HSTS) enforced for 1 year with subdomain inclusion.</w:t>
      </w:r>
    </w:p>
    <w:p>
      <w:pPr>
        <w:pStyle w:val="ListBullet"/>
        <w:spacing w:before="20" w:after="60" w:line="276" w:lineRule="auto"/>
      </w:pPr>
      <w:r>
        <w:rPr>
          <w:rFonts w:ascii="Calibri" w:hAnsi="Calibri"/>
          <w:b/>
          <w:color w:val="0F172A"/>
          <w:sz w:val="20"/>
        </w:rPr>
        <w:t xml:space="preserve">Strict CORS Policy: </w:t>
      </w:r>
      <w:r>
        <w:rPr>
          <w:rFonts w:ascii="Calibri" w:hAnsi="Calibri"/>
          <w:color w:val="0F172A"/>
          <w:sz w:val="20"/>
        </w:rPr>
        <w:t>Cross-Origin Resource Sharing (CORS) explicitly whitelist trusted domains (Vercel frontend, local development hosts) with preflight caching.</w:t>
      </w:r>
    </w:p>
    <w:p>
      <w:pPr>
        <w:pStyle w:val="ListBullet"/>
        <w:spacing w:before="20" w:after="60" w:line="276" w:lineRule="auto"/>
      </w:pPr>
      <w:r>
        <w:rPr>
          <w:rFonts w:ascii="Calibri" w:hAnsi="Calibri"/>
          <w:b/>
          <w:color w:val="0F172A"/>
          <w:sz w:val="20"/>
        </w:rPr>
        <w:t xml:space="preserve">Zero-Downtime Actuator Health: </w:t>
      </w:r>
      <w:r>
        <w:rPr>
          <w:rFonts w:ascii="Calibri" w:hAnsi="Calibri"/>
          <w:color w:val="0F172A"/>
          <w:sz w:val="20"/>
        </w:rPr>
        <w:t>Spring Boot Actuator probes (/actuator/health and /actuator/info) are exposed for Docker/Railway container healthchecks, while mail and diskspace false-positives are disabled to ensure rock-solid 200 OK uptime reporting.</w:t>
      </w:r>
    </w:p>
    <w:p>
      <w:pPr>
        <w:keepNext/>
        <w:spacing w:before="360" w:after="120"/>
      </w:pPr>
      <w:r>
        <w:rPr>
          <w:rFonts w:ascii="Calibri" w:hAnsi="Calibri"/>
          <w:b/>
          <w:color w:val="1E3A8A"/>
          <w:sz w:val="34"/>
        </w:rPr>
        <w:t>8. Supervisor Q&amp;A Defense Guide (10 Tough Questions &amp; Answers)</w:t>
      </w:r>
    </w:p>
    <w:p>
      <w:pPr>
        <w:spacing w:before="40" w:after="80" w:line="276" w:lineRule="auto"/>
      </w:pPr>
      <w:r>
        <w:rPr>
          <w:rFonts w:ascii="Calibri" w:hAnsi="Calibri"/>
          <w:color w:val="0F172A"/>
          <w:sz w:val="21"/>
        </w:rPr>
        <w:t>Supervisors often probe deep into edge cases, scalability, and design trade-offs. Use these prepared responses to answer authoritatively like a senior developer.</w:t>
      </w:r>
    </w:p>
    <w:tbl>
      <w:tblPr>
        <w:tblW w:type="auto" w:w="0"/>
        <w:jc w:val="center"/>
        <w:tblLayout w:type="fixed"/>
        <w:tblLook w:firstColumn="1" w:firstRow="1" w:lastColumn="0" w:lastRow="0" w:noHBand="0" w:noVBand="1" w:val="04A0"/>
      </w:tblPr>
      <w:tblGrid>
        <w:gridCol w:w="9360"/>
      </w:tblGrid>
      <w:tr>
        <w:tc>
          <w:tcPr>
            <w:tcW w:type="dxa" w:w="9360"/>
            <w:shd w:fill="F8FAFC"/>
            <w:tcBorders>
              <w:top w:val="none" w:sz="4" w:space="0" w:color="auto"/>
              <w:left w:val="single" w:sz="24" w:space="0" w:color="2563EB"/>
              <w:bottom w:val="none" w:sz="4" w:space="0" w:color="auto"/>
              <w:right w:val="none" w:sz="4" w:space="0" w:color="auto"/>
              <w:insideH w:val="none"/>
              <w:insideV w:val="none"/>
            </w:tcBorders>
          </w:tcPr>
          <w:p>
            <w:pPr>
              <w:spacing w:before="100" w:after="80" w:line="276" w:lineRule="auto"/>
              <w:ind w:left="216" w:right="216"/>
            </w:pPr>
            <w:r>
              <w:rPr>
                <w:rFonts w:ascii="Calibri" w:hAnsi="Calibri"/>
                <w:b/>
                <w:color w:val="1E3A8A"/>
                <w:sz w:val="21"/>
              </w:rPr>
              <w:t>❓ Q1: What happens if an employee double-clicks 'Submit' on a leave request? Can they overdraw their balance?</w:t>
              <w:br/>
            </w:r>
            <w:r>
              <w:rPr>
                <w:rFonts w:ascii="Calibri" w:hAnsi="Calibri"/>
                <w:color w:val="0F172A"/>
                <w:sz w:val="19"/>
              </w:rPr>
              <w:t>Answer: No. Our database enforces strict transactional boundaries with @Transactional(isolation = Isolation.READ_COMMITTED). Inside LeaveRequestService, the balance is verified and locked prior to deducting. Furthermore, our frontend disables the submission button immediately upon the first click (isSubmitting state) to prevent duplicate HTTP POST dispatches.</w:t>
            </w:r>
          </w:p>
        </w:tc>
      </w:tr>
    </w:tbl>
    <w:p>
      <w:pPr>
        <w:spacing w:before="20" w:after="80"/>
      </w:pPr>
    </w:p>
    <w:tbl>
      <w:tblPr>
        <w:tblW w:type="auto" w:w="0"/>
        <w:jc w:val="center"/>
        <w:tblLayout w:type="fixed"/>
        <w:tblLook w:firstColumn="1" w:firstRow="1" w:lastColumn="0" w:lastRow="0" w:noHBand="0" w:noVBand="1" w:val="04A0"/>
      </w:tblPr>
      <w:tblGrid>
        <w:gridCol w:w="9360"/>
      </w:tblGrid>
      <w:tr>
        <w:tc>
          <w:tcPr>
            <w:tcW w:type="dxa" w:w="9360"/>
            <w:shd w:fill="F8FAFC"/>
            <w:tcBorders>
              <w:top w:val="none" w:sz="4" w:space="0" w:color="auto"/>
              <w:left w:val="single" w:sz="24" w:space="0" w:color="2563EB"/>
              <w:bottom w:val="none" w:sz="4" w:space="0" w:color="auto"/>
              <w:right w:val="none" w:sz="4" w:space="0" w:color="auto"/>
              <w:insideH w:val="none"/>
              <w:insideV w:val="none"/>
            </w:tcBorders>
          </w:tcPr>
          <w:p>
            <w:pPr>
              <w:spacing w:before="100" w:after="80" w:line="276" w:lineRule="auto"/>
              <w:ind w:left="216" w:right="216"/>
            </w:pPr>
            <w:r>
              <w:rPr>
                <w:rFonts w:ascii="Calibri" w:hAnsi="Calibri"/>
                <w:b/>
                <w:color w:val="1E3A8A"/>
                <w:sz w:val="21"/>
              </w:rPr>
              <w:t>❓ Q2: Why use the Transactional Outbox Pattern rather than direct method calls or Spring ApplicationEventPublisher?</w:t>
              <w:br/>
            </w:r>
            <w:r>
              <w:rPr>
                <w:rFonts w:ascii="Calibri" w:hAnsi="Calibri"/>
                <w:color w:val="0F172A"/>
                <w:sz w:val="19"/>
              </w:rPr>
              <w:t>Answer: Direct method calls create tight coupling. If an email service or ticket reassignment fails, it causes the entire leave transaction to rollback. Spring in-memory events are not durable across application restarts. The Transactional Outbox writes the event to the database within the same ACID transaction. The asynchronous poller processes it with retry logic, guaranteeing at-least-once delivery without risking data loss.</w:t>
            </w:r>
          </w:p>
        </w:tc>
      </w:tr>
    </w:tbl>
    <w:p>
      <w:pPr>
        <w:spacing w:before="20" w:after="80"/>
      </w:pPr>
    </w:p>
    <w:tbl>
      <w:tblPr>
        <w:tblW w:type="auto" w:w="0"/>
        <w:jc w:val="center"/>
        <w:tblLayout w:type="fixed"/>
        <w:tblLook w:firstColumn="1" w:firstRow="1" w:lastColumn="0" w:lastRow="0" w:noHBand="0" w:noVBand="1" w:val="04A0"/>
      </w:tblPr>
      <w:tblGrid>
        <w:gridCol w:w="9360"/>
      </w:tblGrid>
      <w:tr>
        <w:tc>
          <w:tcPr>
            <w:tcW w:type="dxa" w:w="9360"/>
            <w:shd w:fill="F8FAFC"/>
            <w:tcBorders>
              <w:top w:val="none" w:sz="4" w:space="0" w:color="auto"/>
              <w:left w:val="single" w:sz="24" w:space="0" w:color="2563EB"/>
              <w:bottom w:val="none" w:sz="4" w:space="0" w:color="auto"/>
              <w:right w:val="none" w:sz="4" w:space="0" w:color="auto"/>
              <w:insideH w:val="none"/>
              <w:insideV w:val="none"/>
            </w:tcBorders>
          </w:tcPr>
          <w:p>
            <w:pPr>
              <w:spacing w:before="100" w:after="80" w:line="276" w:lineRule="auto"/>
              <w:ind w:left="216" w:right="216"/>
            </w:pPr>
            <w:r>
              <w:rPr>
                <w:rFonts w:ascii="Calibri" w:hAnsi="Calibri"/>
                <w:b/>
                <w:color w:val="1E3A8A"/>
                <w:sz w:val="21"/>
              </w:rPr>
              <w:t>❓ Q3: How does the system handle public holidays? Does an employee get charged leave days for Christmas or Madaraka Day?</w:t>
              <w:br/>
            </w:r>
            <w:r>
              <w:rPr>
                <w:rFonts w:ascii="Calibri" w:hAnsi="Calibri"/>
                <w:color w:val="0F172A"/>
                <w:sz w:val="19"/>
              </w:rPr>
              <w:t>Answer: The system incorporates a dedicated HolidayService and kenyaHolidays utility. When computing the requested duration, it iterates through each date in the range, filtering out Saturdays, Sundays, and official Kenyan National Public Holidays. Only legitimate business days are subtracted from the employee's balance.</w:t>
            </w:r>
          </w:p>
        </w:tc>
      </w:tr>
    </w:tbl>
    <w:p>
      <w:pPr>
        <w:spacing w:before="20" w:after="80"/>
      </w:pPr>
    </w:p>
    <w:tbl>
      <w:tblPr>
        <w:tblW w:type="auto" w:w="0"/>
        <w:jc w:val="center"/>
        <w:tblLayout w:type="fixed"/>
        <w:tblLook w:firstColumn="1" w:firstRow="1" w:lastColumn="0" w:lastRow="0" w:noHBand="0" w:noVBand="1" w:val="04A0"/>
      </w:tblPr>
      <w:tblGrid>
        <w:gridCol w:w="9360"/>
      </w:tblGrid>
      <w:tr>
        <w:tc>
          <w:tcPr>
            <w:tcW w:type="dxa" w:w="9360"/>
            <w:shd w:fill="F8FAFC"/>
            <w:tcBorders>
              <w:top w:val="none" w:sz="4" w:space="0" w:color="auto"/>
              <w:left w:val="single" w:sz="24" w:space="0" w:color="2563EB"/>
              <w:bottom w:val="none" w:sz="4" w:space="0" w:color="auto"/>
              <w:right w:val="none" w:sz="4" w:space="0" w:color="auto"/>
              <w:insideH w:val="none"/>
              <w:insideV w:val="none"/>
            </w:tcBorders>
          </w:tcPr>
          <w:p>
            <w:pPr>
              <w:spacing w:before="100" w:after="80" w:line="276" w:lineRule="auto"/>
              <w:ind w:left="216" w:right="216"/>
            </w:pPr>
            <w:r>
              <w:rPr>
                <w:rFonts w:ascii="Calibri" w:hAnsi="Calibri"/>
                <w:b/>
                <w:color w:val="1E3A8A"/>
                <w:sz w:val="21"/>
              </w:rPr>
              <w:t>❓ Q4: How does the SLA breach monitor perform at scale with thousands of open tickets?</w:t>
              <w:br/>
            </w:r>
            <w:r>
              <w:rPr>
                <w:rFonts w:ascii="Calibri" w:hAnsi="Calibri"/>
                <w:color w:val="0F172A"/>
                <w:sz w:val="19"/>
              </w:rPr>
              <w:t>Answer: The SlaBreachMonitorEngine queries only active, non-terminal tickets (excluding RESOLVED and CLOSED) using an indexed composite query on (status, first_response_due_at, resolution_due_at). The query only inspects tickets whose deadline is earlier than OffsetDateTime.now(). Because this set is small and indexed, the database query executes in sub-5 milliseconds.</w:t>
            </w:r>
          </w:p>
        </w:tc>
      </w:tr>
    </w:tbl>
    <w:p>
      <w:pPr>
        <w:spacing w:before="20" w:after="80"/>
      </w:pPr>
    </w:p>
    <w:tbl>
      <w:tblPr>
        <w:tblW w:type="auto" w:w="0"/>
        <w:jc w:val="center"/>
        <w:tblLayout w:type="fixed"/>
        <w:tblLook w:firstColumn="1" w:firstRow="1" w:lastColumn="0" w:lastRow="0" w:noHBand="0" w:noVBand="1" w:val="04A0"/>
      </w:tblPr>
      <w:tblGrid>
        <w:gridCol w:w="9360"/>
      </w:tblGrid>
      <w:tr>
        <w:tc>
          <w:tcPr>
            <w:tcW w:type="dxa" w:w="9360"/>
            <w:shd w:fill="F8FAFC"/>
            <w:tcBorders>
              <w:top w:val="none" w:sz="4" w:space="0" w:color="auto"/>
              <w:left w:val="single" w:sz="24" w:space="0" w:color="2563EB"/>
              <w:bottom w:val="none" w:sz="4" w:space="0" w:color="auto"/>
              <w:right w:val="none" w:sz="4" w:space="0" w:color="auto"/>
              <w:insideH w:val="none"/>
              <w:insideV w:val="none"/>
            </w:tcBorders>
          </w:tcPr>
          <w:p>
            <w:pPr>
              <w:spacing w:before="100" w:after="80" w:line="276" w:lineRule="auto"/>
              <w:ind w:left="216" w:right="216"/>
            </w:pPr>
            <w:r>
              <w:rPr>
                <w:rFonts w:ascii="Calibri" w:hAnsi="Calibri"/>
                <w:b/>
                <w:color w:val="1E3A8A"/>
                <w:sz w:val="21"/>
              </w:rPr>
              <w:t>❓ Q5: Why did you choose Stateless JWT authentication instead of traditional HTTP Sessions?</w:t>
              <w:br/>
            </w:r>
            <w:r>
              <w:rPr>
                <w:rFonts w:ascii="Calibri" w:hAnsi="Calibri"/>
                <w:color w:val="0F172A"/>
                <w:sz w:val="19"/>
              </w:rPr>
              <w:t>Answer: Stateless JWT allows the backend to scale horizontally without sticky sessions or centralized Redis session replication. The access token has a short 15-minute lifespan to minimize exposure if intercepted, paired with an encrypted refresh token mechanism that enables continuous user sessions while allowing instant revocation.</w:t>
            </w:r>
          </w:p>
        </w:tc>
      </w:tr>
    </w:tbl>
    <w:p>
      <w:pPr>
        <w:spacing w:before="20" w:after="80"/>
      </w:pPr>
    </w:p>
    <w:tbl>
      <w:tblPr>
        <w:tblW w:type="auto" w:w="0"/>
        <w:jc w:val="center"/>
        <w:tblLayout w:type="fixed"/>
        <w:tblLook w:firstColumn="1" w:firstRow="1" w:lastColumn="0" w:lastRow="0" w:noHBand="0" w:noVBand="1" w:val="04A0"/>
      </w:tblPr>
      <w:tblGrid>
        <w:gridCol w:w="9360"/>
      </w:tblGrid>
      <w:tr>
        <w:tc>
          <w:tcPr>
            <w:tcW w:type="dxa" w:w="9360"/>
            <w:shd w:fill="F8FAFC"/>
            <w:tcBorders>
              <w:top w:val="none" w:sz="4" w:space="0" w:color="auto"/>
              <w:left w:val="single" w:sz="24" w:space="0" w:color="2563EB"/>
              <w:bottom w:val="none" w:sz="4" w:space="0" w:color="auto"/>
              <w:right w:val="none" w:sz="4" w:space="0" w:color="auto"/>
              <w:insideH w:val="none"/>
              <w:insideV w:val="none"/>
            </w:tcBorders>
          </w:tcPr>
          <w:p>
            <w:pPr>
              <w:spacing w:before="100" w:after="80" w:line="276" w:lineRule="auto"/>
              <w:ind w:left="216" w:right="216"/>
            </w:pPr>
            <w:r>
              <w:rPr>
                <w:rFonts w:ascii="Calibri" w:hAnsi="Calibri"/>
                <w:b/>
                <w:color w:val="1E3A8A"/>
                <w:sz w:val="21"/>
              </w:rPr>
              <w:t>❓ Q6: How does the system prevent unauthorized users from viewing or approving someone else's tickets or leaves?</w:t>
              <w:br/>
            </w:r>
            <w:r>
              <w:rPr>
                <w:rFonts w:ascii="Calibri" w:hAnsi="Calibri"/>
                <w:color w:val="0F172A"/>
                <w:sz w:val="19"/>
              </w:rPr>
              <w:t>Answer: Security is enforced in two independent layers: First, Spring Security URL matchers restrict routes by authority (e.g., HR_ADMIN). Second, in the service layer (LeaveRequestService, TicketService), we verify the caller's authenticated user ID. A Line Manager can only query or approve requests where the requester's reporting hierarchy points to them. Employees can only access their own records unless granted support agent rights.</w:t>
            </w:r>
          </w:p>
        </w:tc>
      </w:tr>
    </w:tbl>
    <w:p>
      <w:pPr>
        <w:spacing w:before="20" w:after="80"/>
      </w:pPr>
    </w:p>
    <w:tbl>
      <w:tblPr>
        <w:tblW w:type="auto" w:w="0"/>
        <w:jc w:val="center"/>
        <w:tblLayout w:type="fixed"/>
        <w:tblLook w:firstColumn="1" w:firstRow="1" w:lastColumn="0" w:lastRow="0" w:noHBand="0" w:noVBand="1" w:val="04A0"/>
      </w:tblPr>
      <w:tblGrid>
        <w:gridCol w:w="9360"/>
      </w:tblGrid>
      <w:tr>
        <w:tc>
          <w:tcPr>
            <w:tcW w:type="dxa" w:w="9360"/>
            <w:shd w:fill="F8FAFC"/>
            <w:tcBorders>
              <w:top w:val="none" w:sz="4" w:space="0" w:color="auto"/>
              <w:left w:val="single" w:sz="24" w:space="0" w:color="2563EB"/>
              <w:bottom w:val="none" w:sz="4" w:space="0" w:color="auto"/>
              <w:right w:val="none" w:sz="4" w:space="0" w:color="auto"/>
              <w:insideH w:val="none"/>
              <w:insideV w:val="none"/>
            </w:tcBorders>
          </w:tcPr>
          <w:p>
            <w:pPr>
              <w:spacing w:before="100" w:after="80" w:line="276" w:lineRule="auto"/>
              <w:ind w:left="216" w:right="216"/>
            </w:pPr>
            <w:r>
              <w:rPr>
                <w:rFonts w:ascii="Calibri" w:hAnsi="Calibri"/>
                <w:b/>
                <w:color w:val="1E3A8A"/>
                <w:sz w:val="21"/>
              </w:rPr>
              <w:t>❓ Q7: What happens if an IT Support Agent takes leave and no other agents exist in the queue?</w:t>
              <w:br/>
            </w:r>
            <w:r>
              <w:rPr>
                <w:rFonts w:ascii="Calibri" w:hAnsi="Calibri"/>
                <w:color w:val="0F172A"/>
                <w:sz w:val="19"/>
              </w:rPr>
              <w:t>Answer: The OooSyncHandler handles this gracefully: if queueMemberRepository.findAvailablePeers() returns an empty list, the system sets the ticket's assignedTo field to null (returning it to the unassigned queue pool) and logs a warning in ticket_routing_history. The Help Desk triage queue immediately flags it as unassigned so any available department manager can reallocate it.</w:t>
            </w:r>
          </w:p>
        </w:tc>
      </w:tr>
    </w:tbl>
    <w:p>
      <w:pPr>
        <w:spacing w:before="20" w:after="80"/>
      </w:pPr>
    </w:p>
    <w:tbl>
      <w:tblPr>
        <w:tblW w:type="auto" w:w="0"/>
        <w:jc w:val="center"/>
        <w:tblLayout w:type="fixed"/>
        <w:tblLook w:firstColumn="1" w:firstRow="1" w:lastColumn="0" w:lastRow="0" w:noHBand="0" w:noVBand="1" w:val="04A0"/>
      </w:tblPr>
      <w:tblGrid>
        <w:gridCol w:w="9360"/>
      </w:tblGrid>
      <w:tr>
        <w:tc>
          <w:tcPr>
            <w:tcW w:type="dxa" w:w="9360"/>
            <w:shd w:fill="F8FAFC"/>
            <w:tcBorders>
              <w:top w:val="none" w:sz="4" w:space="0" w:color="auto"/>
              <w:left w:val="single" w:sz="24" w:space="0" w:color="2563EB"/>
              <w:bottom w:val="none" w:sz="4" w:space="0" w:color="auto"/>
              <w:right w:val="none" w:sz="4" w:space="0" w:color="auto"/>
              <w:insideH w:val="none"/>
              <w:insideV w:val="none"/>
            </w:tcBorders>
          </w:tcPr>
          <w:p>
            <w:pPr>
              <w:spacing w:before="100" w:after="80" w:line="276" w:lineRule="auto"/>
              <w:ind w:left="216" w:right="216"/>
            </w:pPr>
            <w:r>
              <w:rPr>
                <w:rFonts w:ascii="Calibri" w:hAnsi="Calibri"/>
                <w:b/>
                <w:color w:val="1E3A8A"/>
                <w:sz w:val="21"/>
              </w:rPr>
              <w:t>❓ Q8: How is the database structured to avoid data anomalies if an employee's department changes?</w:t>
              <w:br/>
            </w:r>
            <w:r>
              <w:rPr>
                <w:rFonts w:ascii="Calibri" w:hAnsi="Calibri"/>
                <w:color w:val="0F172A"/>
                <w:sz w:val="19"/>
              </w:rPr>
              <w:t>Answer: In schema.sql, users.department_id is a foreign key with ON DELETE SET NULL. Furthermore, department manager assignments use deferred constraints. When an employee transfers departments, their historical balance transactions and past approved leaves remain permanently tied to their user UUID, preserving historical audit records without corrupting past department metrics.</w:t>
            </w:r>
          </w:p>
        </w:tc>
      </w:tr>
    </w:tbl>
    <w:p>
      <w:pPr>
        <w:spacing w:before="20" w:after="80"/>
      </w:pPr>
    </w:p>
    <w:tbl>
      <w:tblPr>
        <w:tblW w:type="auto" w:w="0"/>
        <w:jc w:val="center"/>
        <w:tblLayout w:type="fixed"/>
        <w:tblLook w:firstColumn="1" w:firstRow="1" w:lastColumn="0" w:lastRow="0" w:noHBand="0" w:noVBand="1" w:val="04A0"/>
      </w:tblPr>
      <w:tblGrid>
        <w:gridCol w:w="9360"/>
      </w:tblGrid>
      <w:tr>
        <w:tc>
          <w:tcPr>
            <w:tcW w:type="dxa" w:w="9360"/>
            <w:shd w:fill="F8FAFC"/>
            <w:tcBorders>
              <w:top w:val="none" w:sz="4" w:space="0" w:color="auto"/>
              <w:left w:val="single" w:sz="24" w:space="0" w:color="2563EB"/>
              <w:bottom w:val="none" w:sz="4" w:space="0" w:color="auto"/>
              <w:right w:val="none" w:sz="4" w:space="0" w:color="auto"/>
              <w:insideH w:val="none"/>
              <w:insideV w:val="none"/>
            </w:tcBorders>
          </w:tcPr>
          <w:p>
            <w:pPr>
              <w:spacing w:before="100" w:after="80" w:line="276" w:lineRule="auto"/>
              <w:ind w:left="216" w:right="216"/>
            </w:pPr>
            <w:r>
              <w:rPr>
                <w:rFonts w:ascii="Calibri" w:hAnsi="Calibri"/>
                <w:b/>
                <w:color w:val="1E3A8A"/>
                <w:sz w:val="21"/>
              </w:rPr>
              <w:t>❓ Q9: How do you verify the system works before going to production?</w:t>
              <w:br/>
            </w:r>
            <w:r>
              <w:rPr>
                <w:rFonts w:ascii="Calibri" w:hAnsi="Calibri"/>
                <w:color w:val="0F172A"/>
                <w:sz w:val="19"/>
              </w:rPr>
              <w:t>Answer: We maintain an end-to-end automated integration test suite in backend/src/test/java/com/leavemgt/ covering Phase 1 through Phase 7 (Security, Hierarchy, Catalog, Approvals, Taxonomy, Ticket Lifecycle, and Outbox Engines). In addition, we run ProductionSecurityAndConcurrencyIntegrationTest to validate concurrent requests and token validation. Frontend builds are strictly validated via vite build and TypeScript compiler checks.</w:t>
            </w:r>
          </w:p>
        </w:tc>
      </w:tr>
    </w:tbl>
    <w:p>
      <w:pPr>
        <w:spacing w:before="20" w:after="80"/>
      </w:pPr>
    </w:p>
    <w:tbl>
      <w:tblPr>
        <w:tblW w:type="auto" w:w="0"/>
        <w:jc w:val="center"/>
        <w:tblLayout w:type="fixed"/>
        <w:tblLook w:firstColumn="1" w:firstRow="1" w:lastColumn="0" w:lastRow="0" w:noHBand="0" w:noVBand="1" w:val="04A0"/>
      </w:tblPr>
      <w:tblGrid>
        <w:gridCol w:w="9360"/>
      </w:tblGrid>
      <w:tr>
        <w:tc>
          <w:tcPr>
            <w:tcW w:type="dxa" w:w="9360"/>
            <w:shd w:fill="F8FAFC"/>
            <w:tcBorders>
              <w:top w:val="none" w:sz="4" w:space="0" w:color="auto"/>
              <w:left w:val="single" w:sz="24" w:space="0" w:color="2563EB"/>
              <w:bottom w:val="none" w:sz="4" w:space="0" w:color="auto"/>
              <w:right w:val="none" w:sz="4" w:space="0" w:color="auto"/>
              <w:insideH w:val="none"/>
              <w:insideV w:val="none"/>
            </w:tcBorders>
          </w:tcPr>
          <w:p>
            <w:pPr>
              <w:spacing w:before="100" w:after="80" w:line="276" w:lineRule="auto"/>
              <w:ind w:left="216" w:right="216"/>
            </w:pPr>
            <w:r>
              <w:rPr>
                <w:rFonts w:ascii="Calibri" w:hAnsi="Calibri"/>
                <w:b/>
                <w:color w:val="1E3A8A"/>
                <w:sz w:val="21"/>
              </w:rPr>
              <w:t>❓ Q10: What are the deployment requirements for this application?</w:t>
              <w:br/>
            </w:r>
            <w:r>
              <w:rPr>
                <w:rFonts w:ascii="Calibri" w:hAnsi="Calibri"/>
                <w:color w:val="0F172A"/>
                <w:sz w:val="19"/>
              </w:rPr>
              <w:t>Answer: The backend compiles into a single executable JAR containerized via our root Dockerfile. It can run on Railway, AWS ECS, or any standard Linux VM with Java 19 and PostgreSQL. The frontend builds into pure static assets (HTML/JS/CSS) hostable on Vercel, Netlify, or AWS S3 + CloudFront.</w:t>
            </w:r>
          </w:p>
        </w:tc>
      </w:tr>
    </w:tbl>
    <w:p>
      <w:pPr>
        <w:spacing w:before="20" w:after="80"/>
      </w:pPr>
    </w:p>
    <w:p>
      <w:pPr>
        <w:keepNext/>
        <w:spacing w:before="360" w:after="120"/>
      </w:pPr>
      <w:r>
        <w:rPr>
          <w:rFonts w:ascii="Calibri" w:hAnsi="Calibri"/>
          <w:b/>
          <w:color w:val="1E3A8A"/>
          <w:sz w:val="34"/>
        </w:rPr>
        <w:t>9. Conclusion &amp; Production Handover Checklist</w:t>
      </w:r>
    </w:p>
    <w:p>
      <w:pPr>
        <w:spacing w:before="40" w:after="80" w:line="276" w:lineRule="auto"/>
      </w:pPr>
      <w:r>
        <w:rPr>
          <w:rFonts w:ascii="Calibri" w:hAnsi="Calibri"/>
          <w:color w:val="0F172A"/>
          <w:sz w:val="21"/>
        </w:rPr>
        <w:t>This platform bridges the gap between human resource operations and internal IT workflows. Through disciplined adherence to Spring Boot best practices, React component modularity, and PostgreSQL relational integrity, the application achieves high enterprise reliability, complete auditability, and exceptional user experience.</w:t>
      </w:r>
    </w:p>
    <w:p>
      <w:pPr>
        <w:keepNext/>
        <w:spacing w:before="280" w:after="80"/>
      </w:pPr>
      <w:r>
        <w:rPr>
          <w:rFonts w:ascii="Calibri" w:hAnsi="Calibri"/>
          <w:b/>
          <w:color w:val="334155"/>
          <w:sz w:val="26"/>
        </w:rPr>
        <w:t>9.1 Production Handover Checklist</w:t>
      </w:r>
    </w:p>
    <w:p>
      <w:pPr>
        <w:pStyle w:val="ListBullet"/>
        <w:spacing w:before="20" w:after="60" w:line="276" w:lineRule="auto"/>
      </w:pPr>
      <w:r>
        <w:rPr>
          <w:rFonts w:ascii="Calibri" w:hAnsi="Calibri"/>
          <w:b/>
          <w:color w:val="0F172A"/>
          <w:sz w:val="20"/>
        </w:rPr>
        <w:t xml:space="preserve">1. Environment Secrets: </w:t>
      </w:r>
      <w:r>
        <w:rPr>
          <w:rFonts w:ascii="Calibri" w:hAnsi="Calibri"/>
          <w:color w:val="0F172A"/>
          <w:sz w:val="20"/>
        </w:rPr>
        <w:t>Verify production database credentials and enable SSL mode (sslmode=require) in environment variables.</w:t>
      </w:r>
    </w:p>
    <w:p>
      <w:pPr>
        <w:pStyle w:val="ListBullet"/>
        <w:spacing w:before="20" w:after="60" w:line="276" w:lineRule="auto"/>
      </w:pPr>
      <w:r>
        <w:rPr>
          <w:rFonts w:ascii="Calibri" w:hAnsi="Calibri"/>
          <w:b/>
          <w:color w:val="0F172A"/>
          <w:sz w:val="20"/>
        </w:rPr>
        <w:t xml:space="preserve">2. Cryptographic Keys: </w:t>
      </w:r>
      <w:r>
        <w:rPr>
          <w:rFonts w:ascii="Calibri" w:hAnsi="Calibri"/>
          <w:color w:val="0F172A"/>
          <w:sz w:val="20"/>
        </w:rPr>
        <w:t>Replace default JWT signing secret with a cryptographically generated 512-bit HMAC key.</w:t>
      </w:r>
    </w:p>
    <w:p>
      <w:pPr>
        <w:pStyle w:val="ListBullet"/>
        <w:spacing w:before="20" w:after="60" w:line="276" w:lineRule="auto"/>
      </w:pPr>
      <w:r>
        <w:rPr>
          <w:rFonts w:ascii="Calibri" w:hAnsi="Calibri"/>
          <w:b/>
          <w:color w:val="0F172A"/>
          <w:sz w:val="20"/>
        </w:rPr>
        <w:t xml:space="preserve">3. SMTP Relay: </w:t>
      </w:r>
      <w:r>
        <w:rPr>
          <w:rFonts w:ascii="Calibri" w:hAnsi="Calibri"/>
          <w:color w:val="0F172A"/>
          <w:sz w:val="20"/>
        </w:rPr>
        <w:t>Verify SMTP relay credentials for transactional email delivery via spring-boot-starter-mail.</w:t>
      </w:r>
    </w:p>
    <w:p>
      <w:pPr>
        <w:pStyle w:val="ListBullet"/>
        <w:spacing w:before="20" w:after="60" w:line="276" w:lineRule="auto"/>
      </w:pPr>
      <w:r>
        <w:rPr>
          <w:rFonts w:ascii="Calibri" w:hAnsi="Calibri"/>
          <w:b/>
          <w:color w:val="0F172A"/>
          <w:sz w:val="20"/>
        </w:rPr>
        <w:t xml:space="preserve">4. Webhook Alerts: </w:t>
      </w:r>
      <w:r>
        <w:rPr>
          <w:rFonts w:ascii="Calibri" w:hAnsi="Calibri"/>
          <w:color w:val="0F172A"/>
          <w:sz w:val="20"/>
        </w:rPr>
        <w:t>Confirm Slack webhook URL in application.yml for critical ticket SLA breach notifications.</w:t>
      </w:r>
    </w:p>
    <w:p>
      <w:pPr>
        <w:pStyle w:val="ListBullet"/>
        <w:spacing w:before="20" w:after="60" w:line="276" w:lineRule="auto"/>
      </w:pPr>
      <w:r>
        <w:rPr>
          <w:rFonts w:ascii="Calibri" w:hAnsi="Calibri"/>
          <w:b/>
          <w:color w:val="0F172A"/>
          <w:sz w:val="20"/>
        </w:rPr>
        <w:t xml:space="preserve">5. Scheduled Tasks: </w:t>
      </w:r>
      <w:r>
        <w:rPr>
          <w:rFonts w:ascii="Calibri" w:hAnsi="Calibri"/>
          <w:color w:val="0F172A"/>
          <w:sz w:val="20"/>
        </w:rPr>
        <w:t>Confirm cron schedules for monthly balance accrual (0 0 1 1 * *) and SLA monitor rate (60000ms).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748B"/>
        <w:sz w:val="17"/>
      </w:rPr>
      <w:t>Confidential — Internal Engineering &amp; Supervisory Documentation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Enterprise Employee Management &amp; Help Desk System | Senior Developer Walkthrough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