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pStyle w:val="Title"/>
        <w:jc w:val="center"/>
      </w:pPr>
      <w:r>
        <w:t>Diseño y simulación de un sistema de control automático de la calidad del agua para piscicultura mediante retroalimentación</w:t>
      </w:r>
    </w:p>
    <w:p>
      <w:pPr>
        <w:ind w:firstLine="0"/>
        <w:jc w:val="center"/>
      </w:pPr>
    </w:p>
    <w:p>
      <w:pPr>
        <w:ind w:firstLine="0"/>
        <w:jc w:val="center"/>
      </w:pPr>
      <w:r>
        <w:t>Elvis Erik Huaynoca Condori</w:t>
      </w:r>
    </w:p>
    <w:p>
      <w:pPr>
        <w:ind w:firstLine="0"/>
        <w:jc w:val="center"/>
      </w:pPr>
      <w:r>
        <w:t>Universidad Mayor de San Andrés</w:t>
      </w:r>
    </w:p>
    <w:p>
      <w:pPr>
        <w:ind w:firstLine="0"/>
        <w:jc w:val="center"/>
      </w:pPr>
      <w:r>
        <w:t>Facultad de Ciencias Puras y Naturales</w:t>
      </w:r>
    </w:p>
    <w:p>
      <w:pPr>
        <w:ind w:firstLine="0"/>
        <w:jc w:val="center"/>
      </w:pPr>
      <w:r>
        <w:t>Carrera de Informática</w:t>
      </w:r>
    </w:p>
    <w:p>
      <w:pPr>
        <w:ind w:firstLine="0"/>
        <w:jc w:val="center"/>
      </w:pPr>
      <w:r>
        <w:t>Ingeniería de Sistemas</w:t>
      </w:r>
    </w:p>
    <w:p>
      <w:pPr>
        <w:ind w:firstLine="0"/>
        <w:jc w:val="center"/>
      </w:pPr>
      <w:r>
        <w:t>Docente: ____________________</w:t>
      </w:r>
    </w:p>
    <w:p>
      <w:pPr>
        <w:ind w:firstLine="0"/>
        <w:jc w:val="center"/>
      </w:pPr>
      <w:r>
        <w:t>14 de octubre de 2026</w:t>
      </w:r>
    </w:p>
    <w:p>
      <w:pPr>
        <w:pStyle w:val="Heading1"/>
        <w:pageBreakBefore/>
      </w:pPr>
      <w:r>
        <w:t>Capítulo I Introducción</w:t>
      </w:r>
    </w:p>
    <w:p>
      <w:pPr>
        <w:pStyle w:val="Heading2"/>
      </w:pPr>
      <w:r>
        <w:t>1.1 Antecedentes</w:t>
      </w:r>
    </w:p>
    <w:p>
      <w:r>
        <w:t>El material de la asignatura define un sistema como un conjunto de elementos relacionados que participan en el cumplimiento de un objetivo común. Desde esta perspectiva, estudiar un proceso exige identificar sus componentes y comprender las relaciones que explican su comportamiento. El mismo documento describe el control como un conjunto de acciones que permite orientar un proceso ante perturbaciones y distingue las estrategias de lazo abierto y lazo cerrado (</w:t>
      </w:r>
      <w:r>
        <w:rPr>
          <w:i/>
        </w:rPr>
        <w:t>Introducción a la Ingeniería de Sistemas</w:t>
      </w:r>
      <w:r>
        <w:t>, s. f.).</w:t>
      </w:r>
    </w:p>
    <w:p>
      <w:r>
        <w:t>Estos conceptos ofrecen una base para estudiar el mantenimiento de las condiciones del agua en piscicultura. Un estanque reúne componentes biológicos, físicos y operativos cuyos cambios se relacionan. La temperatura, por ejemplo, influye en la disponibilidad de oxígeno y en la respiración de los peces. El oxígeno también varía por procesos como la fotosíntesis, la respiración y el intercambio con la atmósfera (Organización de las Naciones Unidas para la Alimentación y la Agricultura [FAO], s. f.). Estas relaciones justifican abordar el proceso mediante un análisis del conjunto.</w:t>
      </w:r>
    </w:p>
    <w:p>
      <w:r>
        <w:t>El presente proyecto adopta la simulación computacional como medio para representar esas relaciones y estudiar las decisiones de un controlador. No se parte de ensayos propios ni de datos de una instalación piscícola concreta. Se propone construir un entorno académico en el que sea posible observar cómo evolucionan las variables, introducir perturbaciones y comparar acciones programadas con acciones basadas en mediciones.</w:t>
      </w:r>
    </w:p>
    <w:p>
      <w:pPr>
        <w:pStyle w:val="Heading2"/>
      </w:pPr>
      <w:r>
        <w:t>1.2 Contextualización de la piscicultura</w:t>
      </w:r>
    </w:p>
    <w:p>
      <w:r>
        <w:t>Para este proyecto, la piscicultura se entiende como la crianza de peces en un ambiente acuático gestionado. Su estudio requiere considerar las características de la especie y las condiciones del medio. El manual de la FAO sobre calidad del agua explica que temperatura, oxígeno y pH se relacionan con procesos físicos y biológicos del estanque; por tanto, una condición apropiada para un escenario no debe trasladarse automáticamente a otro (FAO, s. f.).</w:t>
      </w:r>
    </w:p>
    <w:p>
      <w:r>
        <w:t>El nivel de agua se incorpora como variable operativa vinculada con la cantidad disponible y los intercambios de agua. La turbidez se incluye para representar cambios en la condición óptica del agua. Su interpretación requiere distinguirla de la concentración de sólidos y de la transparencia medida con otros métodos. Las unidades, relaciones y límites de estas variables se justificarán en las etapas de investigación y modelado.</w:t>
      </w:r>
    </w:p>
    <w:p>
      <w:r>
        <w:t>La aplicación contemplará perfiles iniciales de tilapia, trucha y carpa. Cada perfil deberá identificar la especie concreta, la etapa de cultivo considerada y la procedencia de sus valores. La denominación general de un pez no bastará para atribuirle un rango universal. Cuando no exista sustento suficiente para un valor, este se identificará como demostrativo y no como recomendación de manejo.</w:t>
      </w:r>
    </w:p>
    <w:p>
      <w:pPr>
        <w:pStyle w:val="Heading2"/>
      </w:pPr>
      <w:r>
        <w:t>1.3 Descripción general del proyecto</w:t>
      </w:r>
    </w:p>
    <w:p>
      <w:r>
        <w:t>Se propone diseñar una aplicación que simule el control automático de temperatura, oxígeno disuelto, pH, turbidez y nivel de agua. El usuario seleccionará un perfil de especie, configurará el estanque, establecerá condiciones iniciales y elegirá un escenario de operación. Un modelo dinámico calculará la evolución del proceso durante un intervalo de tiempo definido.</w:t>
      </w:r>
    </w:p>
    <w:p>
      <w:r>
        <w:t>Los sensores virtuales producirán mediciones del estado simulado. En la estrategia de lazo cerrado, el controlador utilizará esas mediciones y las referencias para determinar acciones mediante actuadores virtuales. Las acciones modificarán la evolución del proceso y las nuevas mediciones permitirán revisar las decisiones. Esta secuencia representa la retroalimentación descrita en el material de la asignatura (</w:t>
      </w:r>
      <w:r>
        <w:rPr>
          <w:i/>
        </w:rPr>
        <w:t>Introducción a la Ingeniería de Sistemas</w:t>
      </w:r>
      <w:r>
        <w:t>, s. f.).</w:t>
      </w:r>
    </w:p>
    <w:p>
      <w:r>
        <w:t>En la estrategia de lazo abierto, las acciones seguirán una programación temporal o por eventos definidos sin utilizar las mediciones para corregirlas. Será posible conservar sensores para visualizar y registrar datos: en ese caso, la medición tendrá una función de observación y no cerrará el lazo. La comparación utilizará condiciones iniciales y perturbaciones equivalentes para atribuir las diferencias al comportamiento de las estrategias.</w:t>
      </w:r>
    </w:p>
    <w:p>
      <w:r>
        <w:t>La primera implementación utiliza Python, NumPy, SciPy, Streamlit, Pandas, Plotly y SQLite, con comprobaciones en Pytest. Los gráficos y registros permiten examinar perturbaciones, mediciones y decisiones. El capítulo VII contrasta la implementación recibida y sus evidencias con el diseño; la aceptación integral permanece pendiente de correcciones.</w:t>
      </w:r>
    </w:p>
    <w:p>
      <w:pPr>
        <w:pStyle w:val="Heading2"/>
      </w:pPr>
      <w:r>
        <w:t>1.4 Alcance y delimitación</w:t>
      </w:r>
    </w:p>
    <w:p>
      <w:r>
        <w:t>El proyecto se delimita a un estanque virtual por ejecución y a las cinco variables indicadas. Se incluirán perfiles configurables, sensores y actuadores virtuales, estrategias de lazo abierto y cerrado, perturbaciones, alarmas, fallos simulados y registros temporales. La delimitación a un estanque facilita seguir el flujo de información y observar las interacciones entre sus variables.</w:t>
      </w:r>
    </w:p>
    <w:p>
      <w:r>
        <w:t>La simulación será completamente digital. No comprenderá adquisición de sensores físicos, instalación de equipos, operación de una piscigranja ni certificación para uso productivo. Tampoco abarcará un modelo completo de crecimiento, enfermedades, nutrición, amoníaco, salinidad o ecosistema del estanque. Algunas de estas condiciones podrán intervenir como factores simplificados, siempre que se declaren sus supuestos.</w:t>
      </w:r>
    </w:p>
    <w:p>
      <w:r>
        <w:t>El trabajo comprende documentación, investigación, diseño, modelado, implementación y revisión. Esta edición incorpora evidencias de la primera implementación y conclusiones limitadas por los resultados disponibles.</w:t>
      </w:r>
    </w:p>
    <w:p>
      <w:pPr>
        <w:pStyle w:val="Heading1"/>
        <w:pageBreakBefore/>
      </w:pPr>
      <w:r>
        <w:t>Capítulo II Planteamiento del problema</w:t>
      </w:r>
    </w:p>
    <w:p>
      <w:pPr>
        <w:pStyle w:val="Heading2"/>
      </w:pPr>
      <w:r>
        <w:t>2.1 Descripción del problema</w:t>
      </w:r>
    </w:p>
    <w:p>
      <w:r>
        <w:t>La calidad del agua presenta variaciones a lo largo del tiempo. La FAO describe relaciones entre temperatura, oxígeno disuelto, actividad biológica y cambios diarios del pH (FAO, s. f.). Estas interacciones hacen necesario considerar la evolución del proceso al estudiar una estrategia de control.</w:t>
      </w:r>
    </w:p>
    <w:p>
      <w:r>
        <w:t>Desde el punto de vista académico, representar el control únicamente mediante un diagrama o una tabla de umbrales resulta insuficiente para examinar cómo responde el sistema a una perturbación. Una aplicación que sustituya directamente un valor alterado por el valor deseado tampoco permitiría observar los efectos de la capacidad limitada de los actuadores, la incertidumbre de los sensores o el tiempo requerido para modificar el proceso.</w:t>
      </w:r>
    </w:p>
    <w:p>
      <w:r>
        <w:t>El problema del proyecto consiste en construir una representación computacional coherente del proceso y de su control, de manera que las decisiones tengan efectos progresivos y verificables. La simulación deberá mostrar qué se mide, qué se desea mantener, qué se manipula y cómo se registran las respuestas. Asimismo, deberá permitir comparar estrategias bajo condiciones reproducibles, sin anticipar que el lazo cerrado será superior en todos los casos.</w:t>
      </w:r>
    </w:p>
    <w:p>
      <w:r>
        <w:t>La propuesta no se sustenta en un diagnóstico de pérdidas de una piscigranja determinada. Su necesidad es educativa y técnica: integrar los conceptos de Ingeniería de Sistemas con una aplicación funcional y una evaluación documentada.</w:t>
      </w:r>
    </w:p>
    <w:p>
      <w:pPr>
        <w:pStyle w:val="Heading2"/>
      </w:pPr>
      <w:r>
        <w:t>2.2 Formulación del problema</w:t>
      </w:r>
    </w:p>
    <w:p>
      <w:r>
        <w:t>¿Cómo diseñar y simular un sistema de control con retroalimentación que represente la evolución de temperatura, oxígeno disuelto, pH, turbidez y nivel de agua en un estanque de piscicultura, y permita evaluar su respuesta frente a perturbaciones mediante una comparación reproducible con una estrategia de lazo abierto?</w:t>
      </w:r>
    </w:p>
    <w:p>
      <w:pPr>
        <w:pStyle w:val="Heading2"/>
      </w:pPr>
      <w:r>
        <w:t>2.3 Objetivo general</w:t>
      </w:r>
    </w:p>
    <w:p>
      <w:r>
        <w:t>Diseñar y desarrollar una simulación computacional de un sistema de control automático de la calidad del agua para piscicultura, basada en retroalimentación, que represente cinco variables del estanque y permita evaluar su respuesta ante perturbaciones mediante indicadores y escenarios reproducibles.</w:t>
      </w:r>
    </w:p>
    <w:p>
      <w:pPr>
        <w:pStyle w:val="Heading2"/>
      </w:pPr>
      <w:r>
        <w:t>2.4 Objetivos específicos</w:t>
      </w:r>
    </w:p>
    <w:p>
      <w:pPr>
        <w:ind w:hanging="360" w:left="720"/>
      </w:pPr>
      <w:r>
        <w:t>1. Identificar los elementos, atributos, relaciones, fronteras, entradas, salidas y subsistemas del proceso a partir del material de Ingeniería de Sistemas.</w:t>
      </w:r>
    </w:p>
    <w:p>
      <w:pPr>
        <w:ind w:hanging="360" w:left="720"/>
      </w:pPr>
      <w:r>
        <w:t>2. Definir perfiles configurables de tilapia, trucha y carpa, diferenciando valores sustentados en fuentes técnicas de valores demostrativos.</w:t>
      </w:r>
    </w:p>
    <w:p>
      <w:pPr>
        <w:ind w:hanging="360" w:left="720"/>
      </w:pPr>
      <w:r>
        <w:t>3. Especificar modelos dinámicos para las cinco variables, los sensores y los actuadores, declarando unidades, supuestos y limitaciones.</w:t>
      </w:r>
    </w:p>
    <w:p>
      <w:pPr>
        <w:ind w:hanging="360" w:left="720"/>
      </w:pPr>
      <w:r>
        <w:t>4. Diseñar estrategias de lazo abierto y cerrado con límites de actuación y reglas de decisión explícitas.</w:t>
      </w:r>
    </w:p>
    <w:p>
      <w:pPr>
        <w:ind w:hanging="360" w:left="720"/>
      </w:pPr>
      <w:r>
        <w:t>5. Implementar una interfaz que permita configurar, ejecutar y observar escenarios, junto con el historial de mediciones, acciones y alarmas.</w:t>
      </w:r>
    </w:p>
    <w:p>
      <w:pPr>
        <w:ind w:hanging="360" w:left="720"/>
      </w:pPr>
      <w:r>
        <w:t>6. Evaluar el comportamiento de ambas estrategias mediante pruebas reproducibles, registros e indicadores de desempeño previamente definidos.</w:t>
      </w:r>
    </w:p>
    <w:p>
      <w:pPr>
        <w:ind w:hanging="360" w:left="720"/>
      </w:pPr>
      <w:r>
        <w:t>7. Mantener trazabilidad entre los conceptos académicos, los requisitos, el diseño y las evidencias de implementación.</w:t>
      </w:r>
    </w:p>
    <w:p>
      <w:pPr>
        <w:pStyle w:val="Heading2"/>
      </w:pPr>
      <w:r>
        <w:t>2.5 Justificación técnica</w:t>
      </w:r>
    </w:p>
    <w:p>
      <w:r>
        <w:t>La simulación permitirá examinar la respuesta temporal del proceso y la influencia de las decisiones de control. La separación entre estado real simulado y medición virtual hará posible introducir ruido, sesgos o fallos sin alterar de forma arbitraria el modelo del estanque. La definición de capacidad y tiempos de respuesta de los actuadores permitirá evaluar situaciones en las que la corrección sea lenta o insuficiente.</w:t>
      </w:r>
    </w:p>
    <w:p>
      <w:r>
        <w:t>Registrar la configuración y las perturbaciones permitirá repetir los experimentos. Además, la comparación entre estrategias utilizará el mismo modelo del proceso, con condiciones equivalentes. Estas decisiones metodológicas facilitarán revisar si las diferencias observadas se deben al controlador o a cambios no controlados en el experimento.</w:t>
      </w:r>
    </w:p>
    <w:p>
      <w:pPr>
        <w:pStyle w:val="Heading2"/>
      </w:pPr>
      <w:r>
        <w:t>2.6 Justificación académica</w:t>
      </w:r>
    </w:p>
    <w:p>
      <w:r>
        <w:t>El proyecto aplicará los conceptos de sistema, objetivo, elementos, atributos, estructura, organización y frontera a un caso concreto. También permitirá distinguir variables medidas, controladas y manipuladas, así como referencias y perturbaciones. La retroalimentación se observará como una relación funcional entre medición, comparación, decisión y actuación, conforme a la base de la asignatura (</w:t>
      </w:r>
      <w:r>
        <w:rPr>
          <w:i/>
        </w:rPr>
        <w:t>Introducción a la Ingeniería de Sistemas</w:t>
      </w:r>
      <w:r>
        <w:t>, s. f.).</w:t>
      </w:r>
    </w:p>
    <w:p>
      <w:r>
        <w:t>La documentación y las pruebas facilitarán verificar que los conceptos tengan una representación en el software. De este modo, el trabajo integrará análisis sistémico, diseño y evaluación, en lugar de limitarse a la presentación visual de datos.</w:t>
      </w:r>
    </w:p>
    <w:p>
      <w:pPr>
        <w:pStyle w:val="Heading2"/>
      </w:pPr>
      <w:r>
        <w:t>2.7 Justificación práctica</w:t>
      </w:r>
    </w:p>
    <w:p>
      <w:r>
        <w:t>La aplicación ofrecerá un entorno de experimentación sin requerir equipos físicos. El estudiante podrá modificar condiciones, introducir fallos y revisar decisiones para comprender el funcionamiento del control. Su utilidad práctica inicial será didáctica: no se atribuirán mejoras productivas, ahorro real de agua o reducción de mortalidad sin evidencia de campo.</w:t>
      </w:r>
    </w:p>
    <w:p>
      <w:r>
        <w:t>Los registros también permitirán preparar demostraciones y explicar resultados durante la exposición. La posibilidad de repetir un escenario contribuirá a revisar errores y contrastar decisiones entre el informe y el programa.</w:t>
      </w:r>
    </w:p>
    <w:p>
      <w:pPr>
        <w:pStyle w:val="Heading2"/>
      </w:pPr>
      <w:r>
        <w:t>2.8 Alcances y limitaciones</w:t>
      </w:r>
    </w:p>
    <w:p>
      <w:r>
        <w:t>El compromiso funcional comprende las cinco variables, tres perfiles iniciales, dos estrategias de control, perturbaciones programables, fallos, alarmas, gráficos e historial persistente. Los escenarios e indicadores se especificarán antes de la programación y servirán como base para las pruebas de aceptación.</w:t>
      </w:r>
    </w:p>
    <w:p>
      <w:r>
        <w:t>La fidelidad dependerá de los modelos y de sus parámetros. Un estanque representado mediante valores agregados no describirá todas las diferencias espaciales del agua. El pH requerirá especial cuidado por su relación con procesos químicos; una aproximación empírica deberá declararse como tal. La turbidez tampoco se convertirá automáticamente a concentración de sólidos sin una relación sustentada.</w:t>
      </w:r>
    </w:p>
    <w:p>
      <w:r>
        <w:t>Las pruebas con datos sintéticos permiten verificar la consistencia numérica y el comportamiento del programa, pero no demuestran precisión predictiva en una instalación real. El análisis distingue los escenarios evaluados, las limitaciones y los defectos pendientes; sus conclusiones se restringen a la evidencia recibida y comprobada.</w:t>
      </w:r>
    </w:p>
    <w:p>
      <w:pPr>
        <w:pStyle w:val="Heading1"/>
        <w:pageBreakBefore/>
      </w:pPr>
      <w:r>
        <w:t>Capítulo III Marco teórico</w:t>
      </w:r>
    </w:p>
    <w:p>
      <w:pPr>
        <w:pStyle w:val="Heading2"/>
      </w:pPr>
      <w:r>
        <w:t>3.1 Ingeniería de Sistemas</w:t>
      </w:r>
    </w:p>
    <w:p>
      <w:r>
        <w:t>El material de la asignatura establece que un sistema reúne elementos relacionados orientados a un objetivo. También diferencia las propiedades de esos elementos, sus relaciones y las reglas que condicionan su funcionamiento (</w:t>
      </w:r>
      <w:r>
        <w:rPr>
          <w:i/>
        </w:rPr>
        <w:t>Introducción a la Ingeniería de Sistemas</w:t>
      </w:r>
      <w:r>
        <w:t>, s. f.). En el proyecto, estas categorías permitirán describir el estanque virtual, el sistema de control y su coordinación.</w:t>
      </w:r>
    </w:p>
    <w:p>
      <w:r>
        <w:t>Como complemento, el International Council on Systems Engineering (INCOSE, s. f.) presenta la Ingeniería de Sistemas como un enfoque integrador y transdisciplinario que considera la realización, el uso y el retiro de sistemas. Esta perspectiva amplía el análisis del objeto controlado hacia sus necesidades, diseño y evaluación. Para la simulación propuesta, implica mantener coherencia entre la finalidad educativa, los requisitos, los modelos y las pruebas.</w:t>
      </w:r>
    </w:p>
    <w:p>
      <w:r>
        <w:t>La aplicación de este enfoque exige explicar las relaciones. Un sensor aporta información, pero no modifica por sí mismo el agua; el controlador decide y el actuador ejecuta una acción cuyo efecto depende del proceso. El historial conserva evidencia, mientras la interfaz permite observar y configurar. Ninguna de estas funciones, de manera aislada, representa el control completo del estanque.</w:t>
      </w:r>
    </w:p>
    <w:p>
      <w:pPr>
        <w:pStyle w:val="Heading2"/>
      </w:pPr>
      <w:r>
        <w:t>3.2 Teoría General de Sistemas y enfoque sistémico</w:t>
      </w:r>
    </w:p>
    <w:p>
      <w:r>
        <w:t>La Teoría General de Sistemas proporciona un marco para estudiar conjuntos organizados mediante conceptos aplicables a distintos dominios. En este trabajo, su aplicación se concentra en las relaciones entre elementos, el objetivo común, la delimitación y los intercambios. Estas categorías se sustentan en las definiciones del capítulo de la materia. No se pretende desarrollar toda la teoría ni atribuir al documento contenidos que aparecen solamente en su índice.</w:t>
      </w:r>
    </w:p>
    <w:p>
      <w:r>
        <w:t>Adcock (s. f.), en el SEBoK, explica que el pensamiento sistémico utiliza conceptos, principios y patrones comunes para comprender situaciones, y que su aplicación puede apoyarse en modelos. Su artículo identifica la obra de Bertalanffy entre sus referencias principales. Aquí se cita el artículo consultado; no se presenta la obra original de Bertalanffy como si se hubiera revisado directamente.</w:t>
      </w:r>
    </w:p>
    <w:p>
      <w:r>
        <w:t>Para este proyecto, el enfoque sistémico significa examinar si una decisión sobre una variable influye en las demás. Por ejemplo, la reposición de agua podría modificar el nivel y, según las características de la entrada, también la temperatura o la composición. Esta relación es una hipótesis de diseño que deberá especificarse en el modelo. El análisis posterior indicará cuáles interacciones se representan y cuáles se excluyen.</w:t>
      </w:r>
    </w:p>
    <w:p>
      <w:r>
        <w:t>La frontera conceptual delimitará un estanque y los componentes que intervienen en su simulación. El ambiente aportará condiciones y perturbaciones. Estar dentro de esa frontera no implica que cada variable pueda imponerse libremente: el controlador solo dispondrá de las acciones y capacidades definidas.</w:t>
      </w:r>
    </w:p>
    <w:p>
      <w:pPr>
        <w:pStyle w:val="Heading2"/>
      </w:pPr>
      <w:r>
        <w:t>3.3 Sistemas de control</w:t>
      </w:r>
    </w:p>
    <w:p>
      <w:r>
        <w:t>El documento de la asignatura caracteriza un sistema de control por su influencia sobre un sistema controlado, orientada a alcanzar referencias mediante acciones. Sus elementos incluyen sensores, controlador, decisor y actuadores. En la descripción del lazo cerrado incorpora el comparador y la señal de referencia (</w:t>
      </w:r>
      <w:r>
        <w:rPr>
          <w:i/>
        </w:rPr>
        <w:t>Introducción a la Ingeniería de Sistemas</w:t>
      </w:r>
      <w:r>
        <w:t>, s. f.).</w:t>
      </w:r>
    </w:p>
    <w:p>
      <w:r>
        <w:t>En la simulación, el sistema controlado será el modelo del agua. Las variables controladas serán las propiedades para las que se establezcan objetivos. Las variables medidas serán las lecturas de los sensores virtuales; las manipuladas serán las acciones efectivas, como una potencia o un caudal cuando estos se definan. Esta distinción evita confundir un resultado deseado con el mecanismo utilizado para obtenerlo.</w:t>
      </w:r>
    </w:p>
    <w:p>
      <w:r>
        <w:t>Una referencia puede ser un valor o una condición de operación. La especificación diferencia consigna, banda aceptable y umbral de alarma. También separa la orden calculada de la acción efectiva, puesto que un actuador puede tener capacidad limitada o presentar un fallo.</w:t>
      </w:r>
    </w:p>
    <w:p>
      <w:pPr>
        <w:pStyle w:val="Heading2"/>
      </w:pPr>
      <w:r>
        <w:t>3.4 Control de lazo abierto y lazo cerrado</w:t>
      </w:r>
    </w:p>
    <w:p>
      <w:r>
        <w:t>En el lazo abierto, las acciones siguen una programación sin corregirse con la medición de la salida. En el lazo cerrado, la información de salida interviene en la decisión posterior (</w:t>
      </w:r>
      <w:r>
        <w:rPr>
          <w:i/>
        </w:rPr>
        <w:t>Introducción a la Ingeniería de Sistemas</w:t>
      </w:r>
      <w:r>
        <w:t>, s. f.). Ambos modos podrán observarse mediante gráficos; la diferencia estará en el uso de las mediciones para actuar.</w:t>
      </w:r>
    </w:p>
    <w:p>
      <w:r>
        <w:t>Como aplicación conceptual, un aireador programado por horario representaría una estrategia abierta. Si su acción se modifica a partir de la lectura de oxígeno y de una referencia, representaría una estrategia cerrada. Son ejemplos conceptuales; el capítulo V fija la histéresis y el abierto calibrado utilizados por el simulador.</w:t>
      </w:r>
    </w:p>
    <w:p>
      <w:r>
        <w:t>La comparación exigirá mantener equivalentes las condiciones iniciales y las perturbaciones. Si el modo denominado abierto modifica sus acciones por alarmas basadas en mediciones, esa protección introducirá retroalimentación. Por ello, las reglas de comparación deberán declarar cualquier intervención que altere el tipo de estrategia.</w:t>
      </w:r>
    </w:p>
    <w:p>
      <w:pPr>
        <w:pStyle w:val="Heading2"/>
      </w:pPr>
      <w:r>
        <w:t>3.5 Retroalimentación y respuesta dinámica</w:t>
      </w:r>
    </w:p>
    <w:p>
      <w:r>
        <w:t>La retroalimentación negativa orienta las acciones hacia la reducción de desviaciones. El material de la materia también advierte que un ajuste inadecuado puede producir oscilaciones (</w:t>
      </w:r>
      <w:r>
        <w:rPr>
          <w:i/>
        </w:rPr>
        <w:t>Introducción a la Ingeniería de Sistemas</w:t>
      </w:r>
      <w:r>
        <w:t>, s. f.). En consecuencia, el cierre del lazo no bastará para declarar que el diseño es estable o preciso.</w:t>
      </w:r>
    </w:p>
    <w:p>
      <w:r>
        <w:t>Åström y Murray (s. f.-a) presentan la atenuación de perturbaciones, el seguimiento de referencias y la robustez frente a incertidumbres como propiedades que se estudian en sistemas con retroalimentación. Su tratamiento incluye modelos dinámicos y análisis de estabilidad. Este complemento fundamenta la necesidad de evaluar la respuesta del controlador, en lugar de atribuirle ventajas universales.</w:t>
      </w:r>
    </w:p>
    <w:p>
      <w:r>
        <w:t>En el proyecto se observarán la evolución temporal, las desviaciones, la recuperación y la actividad de los actuadores. Si una acción no logra corregir una perturbación, el registro deberá mostrarlo. El programa no sustituirá el estado alterado por la referencia para aparentar una respuesta satisfactoria.</w:t>
      </w:r>
    </w:p>
    <w:p>
      <w:pPr>
        <w:pStyle w:val="Heading2"/>
      </w:pPr>
      <w:r>
        <w:t>3.6 Principios de piscicultura y perfiles de especies</w:t>
      </w:r>
    </w:p>
    <w:p>
      <w:r>
        <w:t>El entorno acuático es el medio en el que se desarrolla el cultivo de peces. Su representación exige identificar la especie y las condiciones de producción. Se propone trabajar con tilapia del Nilo, trucha arcoíris y carpa común. Las fichas de FAO permiten distinguir Oreochromis niloticus y Cyprinus carpio, mientras el manual de Woynarovich et al. (2011) aborda Oncorhynchus mykiss (FAO, 2009a, 2009b).</w:t>
      </w:r>
    </w:p>
    <w:p>
      <w:r>
        <w:t>Los perfiles no deben confundirse con tres estanques simultáneos. La aplicación ejecutará un estanque por corrida y utilizará el perfil seleccionado. Para mantener un alcance manejable, se propone representar una fase de crecimiento o engorde y dejar incubación y reproducción fuera del modelo inicial. La etapa de cultivo deberá figurar en la configuración aprobada.</w:t>
      </w:r>
    </w:p>
    <w:p>
      <w:r>
        <w:t>Las fuentes utilizan criterios diferentes para describir las temperaturas: preferencia, crecimiento, reproducción o tolerancia. Por ejemplo, la ficha de tilapia indica una preferencia de 31 a 36 °C, mientras la tabla térmica de adultos del manual de estanques informa 27 a 30 °C (FAO, 2009b, s. f.). Estos intervalos se conservarán con su contexto y no se combinarán mediante un promedio.</w:t>
      </w:r>
    </w:p>
    <w:p>
      <w:pPr>
        <w:pStyle w:val="Heading2"/>
      </w:pPr>
      <w:r>
        <w:t>3.7 Calidad del agua</w:t>
      </w:r>
    </w:p>
    <w:p>
      <w:pPr>
        <w:pStyle w:val="Heading3"/>
      </w:pPr>
      <w:r>
        <w:t>3.7.1 Temperatura</w:t>
      </w:r>
    </w:p>
    <w:p>
      <w:r>
        <w:t>La temperatura se representará en grados Celsius. Su referencia deberá relacionarse con especie y fase de cultivo. Woynarovich et al. (2011) señalan 13 a 15 °C en relación con aprovechamiento del alimento y crecimiento de trucha. La ficha de carpa informa 23 a 30 °C para mejor crecimiento (FAO, 2009a). Estos antecedentes orientan la selección posterior; no establecen por sí solos límites de alarma o capacidad de un equipo.</w:t>
      </w:r>
    </w:p>
    <w:p>
      <w:pPr>
        <w:pStyle w:val="Heading3"/>
      </w:pPr>
      <w:r>
        <w:t>3.7.2 Oxígeno disuelto</w:t>
      </w:r>
    </w:p>
    <w:p>
      <w:r>
        <w:t>El oxígeno se expresará en mg/L y podrá examinarse también como porcentaje de saturación. DOTABLES considera temperatura, presión barométrica y salinidad para calcular solubilidad (U.S. Geological Survey [USGS], 2022). Por tanto, una saturación expresada en porcentaje no equivale a una concentración única para todos los escenarios.</w:t>
      </w:r>
    </w:p>
    <w:p>
      <w:r>
        <w:t>Para trucha, Woynarovich et al. (2011) distinguen condiciones próximas a saturación de concentraciones bajas aceptables para determinadas edades. De manera semejante, la tolerancia de carpa a poco oxígeno descrita por FAO (2009a) no se adoptará como objetivo de operación. El perfil del programa deberá identificar qué significado tiene cada valor.</w:t>
      </w:r>
    </w:p>
    <w:p>
      <w:pPr>
        <w:pStyle w:val="Heading3"/>
      </w:pPr>
      <w:r>
        <w:t>3.7.3 pH</w:t>
      </w:r>
    </w:p>
    <w:p>
      <w:r>
        <w:t>La International Union of Pure and Applied Chemistry (IUPAC, s. f.) define el pH mediante el logaritmo negativo de la actividad de los iones hidrógeno. Es una magnitud adimensional. Esta definición impide interpretarlo como una cantidad que se mezcla linealmente por simple promedio de los valores de pH.</w:t>
      </w:r>
    </w:p>
    <w:p>
      <w:r>
        <w:t>La simulación adopta la aproximación empírica del capítulo V para representar la respuesta de pH. Esta elección permite demostrar el control, pero no deducir dosificaciones reales. Una formulación química más completa requeriría otra especificación y datos de calibración.</w:t>
      </w:r>
    </w:p>
    <w:p>
      <w:pPr>
        <w:pStyle w:val="Heading3"/>
      </w:pPr>
      <w:r>
        <w:t>3.7.4 Turbidez</w:t>
      </w:r>
    </w:p>
    <w:p>
      <w:r>
        <w:t>La turbidez describe una condición óptica influida por materiales presentes en el agua. Anderson (2005) aborda la selección de equipos y el reporte de esta medición. La explicación del USGS (2026) identifica las unidades nefelométricas NTU en la medición descrita.</w:t>
      </w:r>
    </w:p>
    <w:p>
      <w:r>
        <w:t>El proyecto conservará NTU como unidad de su variable virtual. No supondrá que corresponde a mg/L de sólidos ni a centímetros de transparencia. Tampoco atribuirá un límite a cada especie sin una fuente aplicable. Un umbral adoptado únicamente para un ejercicio deberá identificarse como demostrativo.</w:t>
      </w:r>
    </w:p>
    <w:p>
      <w:pPr>
        <w:pStyle w:val="Heading3"/>
      </w:pPr>
      <w:r>
        <w:t>3.7.5 Nivel del agua</w:t>
      </w:r>
    </w:p>
    <w:p>
      <w:r>
        <w:t>El nivel se representará como altura en metros respecto del fondo definido. Su intervalo operativo dependerá de la geometría y del volumen útil propuesto. No se tratará como un límite fisiológico propio de la especie.</w:t>
      </w:r>
    </w:p>
    <w:p>
      <w:r>
        <w:t>Su evolución se relaciona con entradas y salidas de agua mediante el balance del capítulo V, que incluye fugas, reposición y evaporación. Las profundidades y bandas adoptadas son demostrativas; no se atribuyen a la literatura como condiciones universales por especie.</w:t>
      </w:r>
    </w:p>
    <w:p>
      <w:pPr>
        <w:pStyle w:val="Heading2"/>
      </w:pPr>
      <w:r>
        <w:t>3.8 Simulación computacional</w:t>
      </w:r>
    </w:p>
    <w:p>
      <w:r>
        <w:t>Åström y Murray (s. f.-b) explican que la elección de un modelo depende de las preguntas de análisis y del nivel de detalle requerido. Presentan estados que evolucionan mediante ecuaciones diferenciales o de diferencias. Para el proyecto, esto permite distinguir el proceso representado de su medición y de las decisiones de control.</w:t>
      </w:r>
    </w:p>
    <w:p>
      <w:r>
        <w:t>La documentación de SciPy describe solve_ivp como una función para resolver numéricamente problemas de valor inicial de ecuaciones diferenciales ordinarias (SciPy, s. f.). Su disponibilidad respalda la herramienta elegida; no determina las ecuaciones del agua ni demuestra que el modelo sea fiel a un estanque real.</w:t>
      </w:r>
    </w:p>
    <w:p>
      <w:r>
        <w:t>Se diferenciarán el tiempo simulado, el intervalo de medición y los pasos internos de integración. La animación en pantalla no definirá el comportamiento matemático. La configuración y los eventos se conservarán para repetir escenarios y comparar estrategias.</w:t>
      </w:r>
    </w:p>
    <w:p>
      <w:pPr>
        <w:pStyle w:val="Heading2"/>
      </w:pPr>
      <w:r>
        <w:t>3.9 Verificación y límites de validez</w:t>
      </w:r>
    </w:p>
    <w:p>
      <w:r>
        <w:t>En este proyecto, verificar el software significará comprobar que calcula y registra conforme a la especificación. La consistencia del modelo se examinará mediante unidades, balances aplicables, comportamientos esperados y sensibilidad numérica. Validar su precisión frente a un estanque real requeriría datos empíricos, que no están disponibles en esta etapa.</w:t>
      </w:r>
    </w:p>
    <w:p>
      <w:r>
        <w:t>Por ello, las conclusiones se limitarán al alcance de las evidencias. Una simulación puede mostrar un comportamiento coherente con sus supuestos sin predecir una piscigranja particular. La formulación matemática y los criterios de aceptación se aprobaron antes del traspaso a Codex; su comprobación se presenta en el capítulo VII.</w:t>
      </w:r>
    </w:p>
    <w:p>
      <w:pPr>
        <w:pStyle w:val="Heading1"/>
        <w:pageBreakBefore/>
      </w:pPr>
      <w:r>
        <w:t>Capítulo IV Análisis y diseño del sistema</w:t>
      </w:r>
    </w:p>
    <w:p>
      <w:pPr>
        <w:pStyle w:val="Heading2"/>
      </w:pPr>
      <w:r>
        <w:t>4.1 Objetivo del sistema</w:t>
      </w:r>
    </w:p>
    <w:p>
      <w:r>
        <w:t>El sistema propuesto tendrá como objetivo regular las condiciones representadas del agua mediante acciones limitadas y evaluar su respuesta ante perturbaciones. La finalidad académica será observar las relaciones entre medición, comparación, decisión y actuación. El cumplimiento se determinará con registros y pruebas; no se presume que toda perturbación pueda corregirse.</w:t>
      </w:r>
    </w:p>
    <w:p>
      <w:r>
        <w:t>El análisis utiliza las categorías de objetivo, elementos, atributos, estructura, organización y frontera del material de la asignatura (</w:t>
      </w:r>
      <w:r>
        <w:rPr>
          <w:i/>
        </w:rPr>
        <w:t>Introducción a la Ingeniería de Sistemas</w:t>
      </w:r>
      <w:r>
        <w:t>, s. f.). Las decisiones de arquitectura de este capítulo constituyen propuestas de diseño del proyecto y no definiciones extraídas de esa fuente.</w:t>
      </w:r>
    </w:p>
    <w:p>
      <w:pPr>
        <w:pStyle w:val="Heading2"/>
      </w:pPr>
      <w:r>
        <w:t>4.2 Elementos y atributos</w:t>
      </w:r>
    </w:p>
    <w:p>
      <w:r>
        <w:t>Se identifica un estanque virtual por ejecución. Su perfil corresponderá a tilapia del Nilo, trucha arcoíris o carpa común en crecimiento o engorde. Los peces se representarán mediante parámetros de carga biológica; no se simulará su crecimiento individual ni todo su ciclo de vida. La hipótesis inicial de agua bien mezclada deberá declararse en el modelo y limita la representación de diferencias entre superficie y fondo.</w:t>
      </w:r>
    </w:p>
    <w:p>
      <w:pPr>
        <w:keepNext/>
        <w:ind w:firstLine="0"/>
      </w:pPr>
      <w:r>
        <w:rPr>
          <w:b/>
        </w:rPr>
        <w:t>Tabla 1</w:t>
      </w:r>
    </w:p>
    <w:p>
      <w:pPr>
        <w:keepNext/>
        <w:ind w:firstLine="0"/>
      </w:pPr>
      <w:r>
        <w:rPr>
          <w:i/>
        </w:rPr>
        <w:t>Elementos del sistema y atributos previstos</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Elemento</w:t>
            </w:r>
          </w:p>
        </w:tc>
        <w:tc>
          <w:tcPr>
            <w:tcW w:type="dxa" w:w="3120"/>
            <w:tcBorders>
              <w:top w:val="single" w:sz="6"/>
              <w:bottom w:val="single" w:sz="6"/>
            </w:tcBorders>
          </w:tcPr>
          <w:p>
            <w:pPr>
              <w:keepNext w:val="0"/>
              <w:spacing w:line="240" w:lineRule="auto"/>
              <w:ind w:firstLine="0"/>
            </w:pPr>
            <w:r>
              <w:rPr>
                <w:b/>
                <w:sz w:val="22"/>
              </w:rPr>
              <w:t>Atributos principales</w:t>
            </w:r>
          </w:p>
        </w:tc>
        <w:tc>
          <w:tcPr>
            <w:tcW w:type="dxa" w:w="3120"/>
            <w:tcBorders>
              <w:top w:val="single" w:sz="6"/>
              <w:bottom w:val="single" w:sz="6"/>
            </w:tcBorders>
          </w:tcPr>
          <w:p>
            <w:pPr>
              <w:keepNext w:val="0"/>
              <w:spacing w:line="240" w:lineRule="auto"/>
              <w:ind w:firstLine="0"/>
            </w:pPr>
            <w:r>
              <w:rPr>
                <w:b/>
                <w:sz w:val="22"/>
              </w:rPr>
              <w:t>Función en la simulación</w:t>
            </w:r>
          </w:p>
        </w:tc>
      </w:tr>
      <w:tr>
        <w:trPr>
          <w:cantSplit/>
        </w:trPr>
        <w:tc>
          <w:tcPr>
            <w:tcW w:type="dxa" w:w="3120"/>
          </w:tcPr>
          <w:p>
            <w:pPr>
              <w:keepNext w:val="0"/>
              <w:spacing w:line="240" w:lineRule="auto"/>
              <w:ind w:firstLine="0"/>
            </w:pPr>
            <w:r>
              <w:rPr>
                <w:b w:val="0"/>
                <w:sz w:val="22"/>
              </w:rPr>
              <w:t>Estanque y agua</w:t>
            </w:r>
          </w:p>
        </w:tc>
        <w:tc>
          <w:tcPr>
            <w:tcW w:type="dxa" w:w="3120"/>
          </w:tcPr>
          <w:p>
            <w:pPr>
              <w:keepNext w:val="0"/>
              <w:spacing w:line="240" w:lineRule="auto"/>
              <w:ind w:firstLine="0"/>
            </w:pPr>
            <w:r>
              <w:rPr>
                <w:b w:val="0"/>
                <w:sz w:val="22"/>
              </w:rPr>
              <w:t>Geometría, volumen, cinco variables y condiciones iniciales</w:t>
            </w:r>
          </w:p>
        </w:tc>
        <w:tc>
          <w:tcPr>
            <w:tcW w:type="dxa" w:w="3120"/>
          </w:tcPr>
          <w:p>
            <w:pPr>
              <w:keepNext w:val="0"/>
              <w:spacing w:line="240" w:lineRule="auto"/>
              <w:ind w:firstLine="0"/>
            </w:pPr>
            <w:r>
              <w:rPr>
                <w:b w:val="0"/>
                <w:sz w:val="22"/>
              </w:rPr>
              <w:t>Representar el proceso controlado</w:t>
            </w:r>
          </w:p>
        </w:tc>
      </w:tr>
      <w:tr>
        <w:trPr>
          <w:cantSplit/>
        </w:trPr>
        <w:tc>
          <w:tcPr>
            <w:tcW w:type="dxa" w:w="3120"/>
          </w:tcPr>
          <w:p>
            <w:pPr>
              <w:keepNext w:val="0"/>
              <w:spacing w:line="240" w:lineRule="auto"/>
              <w:ind w:firstLine="0"/>
            </w:pPr>
            <w:r>
              <w:rPr>
                <w:b w:val="0"/>
                <w:sz w:val="22"/>
              </w:rPr>
              <w:t>Población de peces</w:t>
            </w:r>
          </w:p>
        </w:tc>
        <w:tc>
          <w:tcPr>
            <w:tcW w:type="dxa" w:w="3120"/>
          </w:tcPr>
          <w:p>
            <w:pPr>
              <w:keepNext w:val="0"/>
              <w:spacing w:line="240" w:lineRule="auto"/>
              <w:ind w:firstLine="0"/>
            </w:pPr>
            <w:r>
              <w:rPr>
                <w:b w:val="0"/>
                <w:sz w:val="22"/>
              </w:rPr>
              <w:t>Especie, fase y biomasa parametrizada</w:t>
            </w:r>
          </w:p>
        </w:tc>
        <w:tc>
          <w:tcPr>
            <w:tcW w:type="dxa" w:w="3120"/>
          </w:tcPr>
          <w:p>
            <w:pPr>
              <w:keepNext w:val="0"/>
              <w:spacing w:line="240" w:lineRule="auto"/>
              <w:ind w:firstLine="0"/>
            </w:pPr>
            <w:r>
              <w:rPr>
                <w:b w:val="0"/>
                <w:sz w:val="22"/>
              </w:rPr>
              <w:t>Representar demanda biológica simplificada</w:t>
            </w:r>
          </w:p>
        </w:tc>
      </w:tr>
      <w:tr>
        <w:trPr>
          <w:cantSplit/>
        </w:trPr>
        <w:tc>
          <w:tcPr>
            <w:tcW w:type="dxa" w:w="3120"/>
          </w:tcPr>
          <w:p>
            <w:pPr>
              <w:keepNext w:val="0"/>
              <w:spacing w:line="240" w:lineRule="auto"/>
              <w:ind w:firstLine="0"/>
            </w:pPr>
            <w:r>
              <w:rPr>
                <w:b w:val="0"/>
                <w:sz w:val="22"/>
              </w:rPr>
              <w:t>Perfil de cultivo</w:t>
            </w:r>
          </w:p>
        </w:tc>
        <w:tc>
          <w:tcPr>
            <w:tcW w:type="dxa" w:w="3120"/>
          </w:tcPr>
          <w:p>
            <w:pPr>
              <w:keepNext w:val="0"/>
              <w:spacing w:line="240" w:lineRule="auto"/>
              <w:ind w:firstLine="0"/>
            </w:pPr>
            <w:r>
              <w:rPr>
                <w:b w:val="0"/>
                <w:sz w:val="22"/>
              </w:rPr>
              <w:t>Fuentes, referencias, bandas y origen de valores</w:t>
            </w:r>
          </w:p>
        </w:tc>
        <w:tc>
          <w:tcPr>
            <w:tcW w:type="dxa" w:w="3120"/>
          </w:tcPr>
          <w:p>
            <w:pPr>
              <w:keepNext w:val="0"/>
              <w:spacing w:line="240" w:lineRule="auto"/>
              <w:ind w:firstLine="0"/>
            </w:pPr>
            <w:r>
              <w:rPr>
                <w:b w:val="0"/>
                <w:sz w:val="22"/>
              </w:rPr>
              <w:t>Configurar un escenario identificable</w:t>
            </w:r>
          </w:p>
        </w:tc>
      </w:tr>
      <w:tr>
        <w:trPr>
          <w:cantSplit/>
        </w:trPr>
        <w:tc>
          <w:tcPr>
            <w:tcW w:type="dxa" w:w="3120"/>
          </w:tcPr>
          <w:p>
            <w:pPr>
              <w:keepNext w:val="0"/>
              <w:spacing w:line="240" w:lineRule="auto"/>
              <w:ind w:firstLine="0"/>
            </w:pPr>
            <w:r>
              <w:rPr>
                <w:b w:val="0"/>
                <w:sz w:val="22"/>
              </w:rPr>
              <w:t>Sensores virtuales</w:t>
            </w:r>
          </w:p>
        </w:tc>
        <w:tc>
          <w:tcPr>
            <w:tcW w:type="dxa" w:w="3120"/>
          </w:tcPr>
          <w:p>
            <w:pPr>
              <w:keepNext w:val="0"/>
              <w:spacing w:line="240" w:lineRule="auto"/>
              <w:ind w:firstLine="0"/>
            </w:pPr>
            <w:r>
              <w:rPr>
                <w:b w:val="0"/>
                <w:sz w:val="22"/>
              </w:rPr>
              <w:t>Variable, unidad, muestreo, ruido, sesgo y calidad</w:t>
            </w:r>
          </w:p>
        </w:tc>
        <w:tc>
          <w:tcPr>
            <w:tcW w:type="dxa" w:w="3120"/>
          </w:tcPr>
          <w:p>
            <w:pPr>
              <w:keepNext w:val="0"/>
              <w:spacing w:line="240" w:lineRule="auto"/>
              <w:ind w:firstLine="0"/>
            </w:pPr>
            <w:r>
              <w:rPr>
                <w:b w:val="0"/>
                <w:sz w:val="22"/>
              </w:rPr>
              <w:t>Producir lecturas del proceso</w:t>
            </w:r>
          </w:p>
        </w:tc>
      </w:tr>
      <w:tr>
        <w:trPr>
          <w:cantSplit/>
        </w:trPr>
        <w:tc>
          <w:tcPr>
            <w:tcW w:type="dxa" w:w="3120"/>
          </w:tcPr>
          <w:p>
            <w:pPr>
              <w:keepNext w:val="0"/>
              <w:spacing w:line="240" w:lineRule="auto"/>
              <w:ind w:firstLine="0"/>
            </w:pPr>
            <w:r>
              <w:rPr>
                <w:b w:val="0"/>
                <w:sz w:val="22"/>
              </w:rPr>
              <w:t>Comparador y decisor</w:t>
            </w:r>
          </w:p>
        </w:tc>
        <w:tc>
          <w:tcPr>
            <w:tcW w:type="dxa" w:w="3120"/>
          </w:tcPr>
          <w:p>
            <w:pPr>
              <w:keepNext w:val="0"/>
              <w:spacing w:line="240" w:lineRule="auto"/>
              <w:ind w:firstLine="0"/>
            </w:pPr>
            <w:r>
              <w:rPr>
                <w:b w:val="0"/>
                <w:sz w:val="22"/>
              </w:rPr>
              <w:t>Referencias, reglas, errores y prioridades</w:t>
            </w:r>
          </w:p>
        </w:tc>
        <w:tc>
          <w:tcPr>
            <w:tcW w:type="dxa" w:w="3120"/>
          </w:tcPr>
          <w:p>
            <w:pPr>
              <w:keepNext w:val="0"/>
              <w:spacing w:line="240" w:lineRule="auto"/>
              <w:ind w:firstLine="0"/>
            </w:pPr>
            <w:r>
              <w:rPr>
                <w:b w:val="0"/>
                <w:sz w:val="22"/>
              </w:rPr>
              <w:t>Determinar órdenes justificadas</w:t>
            </w:r>
          </w:p>
        </w:tc>
      </w:tr>
      <w:tr>
        <w:trPr>
          <w:cantSplit/>
        </w:trPr>
        <w:tc>
          <w:tcPr>
            <w:tcW w:type="dxa" w:w="3120"/>
          </w:tcPr>
          <w:p>
            <w:pPr>
              <w:keepNext w:val="0"/>
              <w:spacing w:line="240" w:lineRule="auto"/>
              <w:ind w:firstLine="0"/>
            </w:pPr>
            <w:r>
              <w:rPr>
                <w:b w:val="0"/>
                <w:sz w:val="22"/>
              </w:rPr>
              <w:t>Actuadores virtuales</w:t>
            </w:r>
          </w:p>
        </w:tc>
        <w:tc>
          <w:tcPr>
            <w:tcW w:type="dxa" w:w="3120"/>
          </w:tcPr>
          <w:p>
            <w:pPr>
              <w:keepNext w:val="0"/>
              <w:spacing w:line="240" w:lineRule="auto"/>
              <w:ind w:firstLine="0"/>
            </w:pPr>
            <w:r>
              <w:rPr>
                <w:b w:val="0"/>
                <w:sz w:val="22"/>
              </w:rPr>
              <w:t>Capacidad, acción efectiva, respuesta y fallo</w:t>
            </w:r>
          </w:p>
        </w:tc>
        <w:tc>
          <w:tcPr>
            <w:tcW w:type="dxa" w:w="3120"/>
          </w:tcPr>
          <w:p>
            <w:pPr>
              <w:keepNext w:val="0"/>
              <w:spacing w:line="240" w:lineRule="auto"/>
              <w:ind w:firstLine="0"/>
            </w:pPr>
            <w:r>
              <w:rPr>
                <w:b w:val="0"/>
                <w:sz w:val="22"/>
              </w:rPr>
              <w:t>Modificar la evolución del agua</w:t>
            </w:r>
          </w:p>
        </w:tc>
      </w:tr>
      <w:tr>
        <w:trPr>
          <w:cantSplit/>
        </w:trPr>
        <w:tc>
          <w:tcPr>
            <w:tcW w:type="dxa" w:w="3120"/>
          </w:tcPr>
          <w:p>
            <w:pPr>
              <w:keepNext w:val="0"/>
              <w:spacing w:line="240" w:lineRule="auto"/>
              <w:ind w:firstLine="0"/>
            </w:pPr>
            <w:r>
              <w:rPr>
                <w:b w:val="0"/>
                <w:sz w:val="22"/>
              </w:rPr>
              <w:t>Ambiente simulado</w:t>
            </w:r>
          </w:p>
        </w:tc>
        <w:tc>
          <w:tcPr>
            <w:tcW w:type="dxa" w:w="3120"/>
          </w:tcPr>
          <w:p>
            <w:pPr>
              <w:keepNext w:val="0"/>
              <w:spacing w:line="240" w:lineRule="auto"/>
              <w:ind w:firstLine="0"/>
            </w:pPr>
            <w:r>
              <w:rPr>
                <w:b w:val="0"/>
                <w:sz w:val="22"/>
              </w:rPr>
              <w:t>Clima, aportes y perturbaciones programadas</w:t>
            </w:r>
          </w:p>
        </w:tc>
        <w:tc>
          <w:tcPr>
            <w:tcW w:type="dxa" w:w="3120"/>
          </w:tcPr>
          <w:p>
            <w:pPr>
              <w:keepNext w:val="0"/>
              <w:spacing w:line="240" w:lineRule="auto"/>
              <w:ind w:firstLine="0"/>
            </w:pPr>
            <w:r>
              <w:rPr>
                <w:b w:val="0"/>
                <w:sz w:val="22"/>
              </w:rPr>
              <w:t>Introducir condiciones externas</w:t>
            </w:r>
          </w:p>
        </w:tc>
      </w:tr>
      <w:tr>
        <w:trPr>
          <w:cantSplit/>
        </w:trPr>
        <w:tc>
          <w:tcPr>
            <w:tcW w:type="dxa" w:w="3120"/>
            <w:tcBorders>
              <w:bottom w:val="single" w:sz="6"/>
            </w:tcBorders>
          </w:tcPr>
          <w:p>
            <w:pPr>
              <w:keepNext w:val="0"/>
              <w:spacing w:line="240" w:lineRule="auto"/>
              <w:ind w:firstLine="0"/>
            </w:pPr>
            <w:r>
              <w:rPr>
                <w:b w:val="0"/>
                <w:sz w:val="22"/>
              </w:rPr>
              <w:t>Registro e interfaz</w:t>
            </w:r>
          </w:p>
        </w:tc>
        <w:tc>
          <w:tcPr>
            <w:tcW w:type="dxa" w:w="3120"/>
            <w:tcBorders>
              <w:bottom w:val="single" w:sz="6"/>
            </w:tcBorders>
          </w:tcPr>
          <w:p>
            <w:pPr>
              <w:keepNext w:val="0"/>
              <w:spacing w:line="240" w:lineRule="auto"/>
              <w:ind w:firstLine="0"/>
            </w:pPr>
            <w:r>
              <w:rPr>
                <w:b w:val="0"/>
                <w:sz w:val="22"/>
              </w:rPr>
              <w:t>Identificadores, tiempo simulado y versión</w:t>
            </w:r>
          </w:p>
        </w:tc>
        <w:tc>
          <w:tcPr>
            <w:tcW w:type="dxa" w:w="3120"/>
            <w:tcBorders>
              <w:bottom w:val="single" w:sz="6"/>
            </w:tcBorders>
          </w:tcPr>
          <w:p>
            <w:pPr>
              <w:keepNext w:val="0"/>
              <w:spacing w:line="240" w:lineRule="auto"/>
              <w:ind w:firstLine="0"/>
            </w:pPr>
            <w:r>
              <w:rPr>
                <w:b w:val="0"/>
                <w:sz w:val="22"/>
              </w:rPr>
              <w:t>Conservar evidencias y permitir observación</w:t>
            </w:r>
          </w:p>
        </w:tc>
      </w:tr>
    </w:tbl>
    <w:p>
      <w:pPr>
        <w:ind w:firstLine="0"/>
      </w:pPr>
      <w:r>
        <w:t>Nota. Elaboración propia a partir de las categorías del material de la asignatura. Las capacidades y los coeficientes se definen en el capítulo V y en la configuración numérica aprobada.</w:t>
      </w:r>
    </w:p>
    <w:p>
      <w:pPr>
        <w:pStyle w:val="Heading2"/>
      </w:pPr>
      <w:r>
        <w:t>4.3 Estructura y organización</w:t>
      </w:r>
    </w:p>
    <w:p>
      <w:r>
        <w:t>La estructura se define por las relaciones entre proceso, sensores, controlador y actuadores. Los sensores observan el proceso; el controlador recibe lecturas y referencias; los actuadores transforman las órdenes en acciones efectivas. El orquestador coordina la secuencia, mientras el registro conserva evidencia para evaluar el conjunto.</w:t>
      </w:r>
    </w:p>
    <w:p>
      <w:r>
        <w:t>La organización estará determinada por reglas: validar antes de iniciar, conservar la configuración de cada ejecución, respetar capacidades, registrar decisiones y distinguir estados de ejecución. La simulación tendrá estados preparada, en ejecución, pausada, completada, detenida, fallida e interrumpida. Una detención solicitada por el usuario conservará los resultados parciales. Una interrupción del proceso informático no se presentará como una ejecución completada.</w:t>
      </w:r>
    </w:p>
    <w:p>
      <w:r>
        <w:t>La configuración quedará congelada al iniciar. Cambiar especie, referencias o estrategia exigirá crear otra ejecución. Las perturbaciones se definirán antes de comenzar para garantizar repetibilidad. Durante una corrida se permitirá pausar, continuar, avanzar un intervalo o detener; no se modificarán valores del agua mediante controles de la interfaz.</w:t>
      </w:r>
    </w:p>
    <w:p>
      <w:pPr>
        <w:pStyle w:val="Heading2"/>
      </w:pPr>
      <w:r>
        <w:t>4.4 Frontera y ambiente</w:t>
      </w:r>
    </w:p>
    <w:p>
      <w:r>
        <w:t>La frontera del sistema representado incluirá el estanque y los componentes virtuales de control. El ambiente aportará condiciones climáticas, características del agua de entrada y eventos externos. El generador de escenarios conocerá estos eventos para reproducirlos, pero el controlador no recibirá su calendario oculto.</w:t>
      </w:r>
    </w:p>
    <w:p>
      <w:r>
        <w:t>Debe distinguirse esa frontera conceptual de la del programa. La aplicación intercambiará datos con el usuario y archivos locales; las entradas y salidas de agua, calor o energía serán cantidades calculadas. Tampoco se confundirá la aplicación con una piscigranja física: el diseño no comprende conexión con equipos reales.</w:t>
      </w:r>
    </w:p>
    <w:p>
      <w:pPr>
        <w:pStyle w:val="Heading2"/>
      </w:pPr>
      <w:r>
        <w:t>4.5 Entradas y salidas</w:t>
      </w:r>
    </w:p>
    <w:p>
      <w:pPr>
        <w:keepNext/>
        <w:ind w:firstLine="0"/>
      </w:pPr>
      <w:r>
        <w:rPr>
          <w:b/>
        </w:rPr>
        <w:t>Tabla 2</w:t>
      </w:r>
    </w:p>
    <w:p>
      <w:pPr>
        <w:keepNext/>
        <w:ind w:firstLine="0"/>
      </w:pPr>
      <w:r>
        <w:rPr>
          <w:i/>
        </w:rPr>
        <w:t>Flujos representados en la frontera del estanque y del control</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Tipo</w:t>
            </w:r>
          </w:p>
        </w:tc>
        <w:tc>
          <w:tcPr>
            <w:tcW w:type="dxa" w:w="3120"/>
            <w:tcBorders>
              <w:top w:val="single" w:sz="6"/>
              <w:bottom w:val="single" w:sz="6"/>
            </w:tcBorders>
          </w:tcPr>
          <w:p>
            <w:pPr>
              <w:keepNext w:val="0"/>
              <w:spacing w:line="240" w:lineRule="auto"/>
              <w:ind w:firstLine="0"/>
            </w:pPr>
            <w:r>
              <w:rPr>
                <w:b/>
                <w:sz w:val="22"/>
              </w:rPr>
              <w:t>Entradas representadas</w:t>
            </w:r>
          </w:p>
        </w:tc>
        <w:tc>
          <w:tcPr>
            <w:tcW w:type="dxa" w:w="3120"/>
            <w:tcBorders>
              <w:top w:val="single" w:sz="6"/>
              <w:bottom w:val="single" w:sz="6"/>
            </w:tcBorders>
          </w:tcPr>
          <w:p>
            <w:pPr>
              <w:keepNext w:val="0"/>
              <w:spacing w:line="240" w:lineRule="auto"/>
              <w:ind w:firstLine="0"/>
            </w:pPr>
            <w:r>
              <w:rPr>
                <w:b/>
                <w:sz w:val="22"/>
              </w:rPr>
              <w:t>Salidas representadas</w:t>
            </w:r>
          </w:p>
        </w:tc>
      </w:tr>
      <w:tr>
        <w:trPr>
          <w:cantSplit/>
        </w:trPr>
        <w:tc>
          <w:tcPr>
            <w:tcW w:type="dxa" w:w="3120"/>
          </w:tcPr>
          <w:p>
            <w:pPr>
              <w:keepNext w:val="0"/>
              <w:spacing w:line="240" w:lineRule="auto"/>
              <w:ind w:firstLine="0"/>
            </w:pPr>
            <w:r>
              <w:rPr>
                <w:b w:val="0"/>
                <w:sz w:val="22"/>
              </w:rPr>
              <w:t>Materia</w:t>
            </w:r>
          </w:p>
        </w:tc>
        <w:tc>
          <w:tcPr>
            <w:tcW w:type="dxa" w:w="3120"/>
          </w:tcPr>
          <w:p>
            <w:pPr>
              <w:keepNext w:val="0"/>
              <w:spacing w:line="240" w:lineRule="auto"/>
              <w:ind w:firstLine="0"/>
            </w:pPr>
            <w:r>
              <w:rPr>
                <w:b w:val="0"/>
                <w:sz w:val="22"/>
              </w:rPr>
              <w:t>Agua de reposición, oxígeno transferido y carga de alimento simplificada</w:t>
            </w:r>
          </w:p>
        </w:tc>
        <w:tc>
          <w:tcPr>
            <w:tcW w:type="dxa" w:w="3120"/>
          </w:tcPr>
          <w:p>
            <w:pPr>
              <w:keepNext w:val="0"/>
              <w:spacing w:line="240" w:lineRule="auto"/>
              <w:ind w:firstLine="0"/>
            </w:pPr>
            <w:r>
              <w:rPr>
                <w:b w:val="0"/>
                <w:sz w:val="22"/>
              </w:rPr>
              <w:t>Agua descargada y material retirado según el modelo</w:t>
            </w:r>
          </w:p>
        </w:tc>
      </w:tr>
      <w:tr>
        <w:trPr>
          <w:cantSplit/>
        </w:trPr>
        <w:tc>
          <w:tcPr>
            <w:tcW w:type="dxa" w:w="3120"/>
          </w:tcPr>
          <w:p>
            <w:pPr>
              <w:keepNext w:val="0"/>
              <w:spacing w:line="240" w:lineRule="auto"/>
              <w:ind w:firstLine="0"/>
            </w:pPr>
            <w:r>
              <w:rPr>
                <w:b w:val="0"/>
                <w:sz w:val="22"/>
              </w:rPr>
              <w:t>Energía</w:t>
            </w:r>
          </w:p>
        </w:tc>
        <w:tc>
          <w:tcPr>
            <w:tcW w:type="dxa" w:w="3120"/>
          </w:tcPr>
          <w:p>
            <w:pPr>
              <w:keepNext w:val="0"/>
              <w:spacing w:line="240" w:lineRule="auto"/>
              <w:ind w:firstLine="0"/>
            </w:pPr>
            <w:r>
              <w:rPr>
                <w:b w:val="0"/>
                <w:sz w:val="22"/>
              </w:rPr>
              <w:t>Intercambio térmico y energía asociada a equipos virtuales</w:t>
            </w:r>
          </w:p>
        </w:tc>
        <w:tc>
          <w:tcPr>
            <w:tcW w:type="dxa" w:w="3120"/>
          </w:tcPr>
          <w:p>
            <w:pPr>
              <w:keepNext w:val="0"/>
              <w:spacing w:line="240" w:lineRule="auto"/>
              <w:ind w:firstLine="0"/>
            </w:pPr>
            <w:r>
              <w:rPr>
                <w:b w:val="0"/>
                <w:sz w:val="22"/>
              </w:rPr>
              <w:t>Pérdidas térmicas y energía transferida al ambiente</w:t>
            </w:r>
          </w:p>
        </w:tc>
      </w:tr>
      <w:tr>
        <w:trPr>
          <w:cantSplit/>
        </w:trPr>
        <w:tc>
          <w:tcPr>
            <w:tcW w:type="dxa" w:w="3120"/>
            <w:tcBorders>
              <w:bottom w:val="single" w:sz="6"/>
            </w:tcBorders>
          </w:tcPr>
          <w:p>
            <w:pPr>
              <w:keepNext w:val="0"/>
              <w:spacing w:line="240" w:lineRule="auto"/>
              <w:ind w:firstLine="0"/>
            </w:pPr>
            <w:r>
              <w:rPr>
                <w:b w:val="0"/>
                <w:sz w:val="22"/>
              </w:rPr>
              <w:t>Información</w:t>
            </w:r>
          </w:p>
        </w:tc>
        <w:tc>
          <w:tcPr>
            <w:tcW w:type="dxa" w:w="3120"/>
            <w:tcBorders>
              <w:bottom w:val="single" w:sz="6"/>
            </w:tcBorders>
          </w:tcPr>
          <w:p>
            <w:pPr>
              <w:keepNext w:val="0"/>
              <w:spacing w:line="240" w:lineRule="auto"/>
              <w:ind w:firstLine="0"/>
            </w:pPr>
            <w:r>
              <w:rPr>
                <w:b w:val="0"/>
                <w:sz w:val="22"/>
              </w:rPr>
              <w:t>Perfil, referencias, lecturas y programación</w:t>
            </w:r>
          </w:p>
        </w:tc>
        <w:tc>
          <w:tcPr>
            <w:tcW w:type="dxa" w:w="3120"/>
            <w:tcBorders>
              <w:bottom w:val="single" w:sz="6"/>
            </w:tcBorders>
          </w:tcPr>
          <w:p>
            <w:pPr>
              <w:keepNext w:val="0"/>
              <w:spacing w:line="240" w:lineRule="auto"/>
              <w:ind w:firstLine="0"/>
            </w:pPr>
            <w:r>
              <w:rPr>
                <w:b w:val="0"/>
                <w:sz w:val="22"/>
              </w:rPr>
              <w:t>Mediciones, decisiones, alarmas y resultados</w:t>
            </w:r>
          </w:p>
        </w:tc>
      </w:tr>
    </w:tbl>
    <w:p>
      <w:pPr>
        <w:ind w:firstLine="0"/>
      </w:pPr>
      <w:r>
        <w:t>Nota. Las fronteras elegidas determinan qué se considera intercambio. El capítulo V establece los balances y evita contar dos veces un mismo flujo. Un filtro recirculante, por ejemplo, no reduce por sí mismo el volumen si el modelo no representa una descarga.</w:t>
      </w:r>
    </w:p>
    <w:p>
      <w:pPr>
        <w:pStyle w:val="Heading2"/>
      </w:pPr>
      <w:r>
        <w:t>4.6 Variables y parámetros</w:t>
      </w:r>
    </w:p>
    <w:p>
      <w:r>
        <w:t>Las cinco variables del alcance serán temperatura en °C, oxígeno disuelto en mg/L, pH adimensional, turbidez en NTU y nivel en m. El modelo podrá usar estados internos auxiliares si la formulación química o los actuadores los requieren; ello no incorporará automáticamente otra variable controlada a la interfaz.</w:t>
      </w:r>
    </w:p>
    <w:p>
      <w:r>
        <w:t>Se utilizará x para estado, y para medición, r para referencia, u para acción manipulada y d para perturbación. Una lectura puede diferir del estado por ruido o sesgo. El controlador tendrá acceso a y y r, pero no al estado exacto del simulador. Los evaluadores podrán consultar x para examinar los efectos del error de medición.</w:t>
      </w:r>
    </w:p>
    <w:p>
      <w:r>
        <w:t>Los parámetros fijos de una corrida comprenderán geometría, biomasa representada, coeficientes, capacidades y condiciones declaradas. El nivel será una variable; la geometría que permite relacionarlo con volumen será un parámetro. Presión y salinidad se tratarán como condiciones parametrizadas del escenario del oxígeno. Los valores numéricos figuran en el capítulo V y la configuración aprobada.</w:t>
      </w:r>
    </w:p>
    <w:p>
      <w:pPr>
        <w:pStyle w:val="Heading2"/>
      </w:pPr>
      <w:r>
        <w:t>4.7 Perturbaciones y fallos</w:t>
      </w:r>
    </w:p>
    <w:p>
      <w:r>
        <w:t>Se proponen cambios de temperatura ambiental, aportes de agua, cargas de alimentación, fugas e interrupciones del suministro. Cada evento tendrá tipo, instante, duración, magnitud, unidad y componente afectado. El modelo deberá especificar sus efectos; no bastará con mostrar una etiqueta en pantalla.</w:t>
      </w:r>
    </w:p>
    <w:p>
      <w:r>
        <w:t>Los fallos de sensor incluirán pérdida de lectura, sesgo y lectura congelada. Los de actuador incluirán indisponibilidad y reducción de capacidad. La pérdida de una lectura podrá identificarse como dato inválido. Un sesgo plausible o una lectura congelada no se considerarán detectados automáticamente si no existe una regla que los identifique. El historial de inyección de fallos será accesible para evaluación, sin dar esa información oculta al controlador.</w:t>
      </w:r>
    </w:p>
    <w:p>
      <w:r>
        <w:t>Como política inicial propuesta, si una lectura requerida resulta inválida, el coordinador registrará la alarma y finalizará la corrida como fallida antes de calcular nuevas acciones con ella. Esta regla describe una detención del experimento digital. Las políticas alternativas de operación degradada deberán justificarse en la especificación matemática si se incorporan.</w:t>
      </w:r>
    </w:p>
    <w:p>
      <w:pPr>
        <w:pStyle w:val="Heading2"/>
      </w:pPr>
      <w:r>
        <w:t>4.8 Subsistemas y arquitectura conceptual</w:t>
      </w:r>
    </w:p>
    <w:p>
      <w:r>
        <w:t>Se propone una arquitectura modular local. La presentación utilizará Streamlit y Plotly; los servicios de aplicación coordinarán las corridas; el dominio contendrá modelos, sensores y estrategias; la infraestructura gestionará SQLite y los formatos de intercambio. El núcleo de simulación deberá poder ejecutarse sin abrir la interfaz.</w:t>
      </w:r>
    </w:p>
    <w:p>
      <w:r>
        <w:t>La documentación de Streamlit describe la reevaluación del script y el uso de Session State para conservar datos entre esas reevaluaciones (Streamlit, s. f.). Por ello, la interfaz mantendrá el identificador de la corrida y enviará comandos explícitos. Dibujar un gráfico o cambiar una pestaña no deberá avanzar el reloj ni repetir la integración.</w:t>
      </w:r>
    </w:p>
    <w:p>
      <w:pPr>
        <w:keepNext/>
        <w:ind w:firstLine="0"/>
      </w:pPr>
      <w:r>
        <w:rPr>
          <w:b/>
        </w:rPr>
        <w:t>Tabla 3</w:t>
      </w:r>
    </w:p>
    <w:p>
      <w:pPr>
        <w:keepNext/>
        <w:ind w:firstLine="0"/>
      </w:pPr>
      <w:r>
        <w:rPr>
          <w:i/>
        </w:rPr>
        <w:t>Módulos propuestos y responsabilidades</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Módulo</w:t>
            </w:r>
          </w:p>
        </w:tc>
        <w:tc>
          <w:tcPr>
            <w:tcW w:type="dxa" w:w="3120"/>
            <w:tcBorders>
              <w:top w:val="single" w:sz="6"/>
              <w:bottom w:val="single" w:sz="6"/>
            </w:tcBorders>
          </w:tcPr>
          <w:p>
            <w:pPr>
              <w:keepNext w:val="0"/>
              <w:spacing w:line="240" w:lineRule="auto"/>
              <w:ind w:firstLine="0"/>
            </w:pPr>
            <w:r>
              <w:rPr>
                <w:b/>
                <w:sz w:val="22"/>
              </w:rPr>
              <w:t>Responsabilidad</w:t>
            </w:r>
          </w:p>
        </w:tc>
        <w:tc>
          <w:tcPr>
            <w:tcW w:type="dxa" w:w="3120"/>
            <w:tcBorders>
              <w:top w:val="single" w:sz="6"/>
              <w:bottom w:val="single" w:sz="6"/>
            </w:tcBorders>
          </w:tcPr>
          <w:p>
            <w:pPr>
              <w:keepNext w:val="0"/>
              <w:spacing w:line="240" w:lineRule="auto"/>
              <w:ind w:firstLine="0"/>
            </w:pPr>
            <w:r>
              <w:rPr>
                <w:b/>
                <w:sz w:val="22"/>
              </w:rPr>
              <w:t>Resultado principal</w:t>
            </w:r>
          </w:p>
        </w:tc>
      </w:tr>
      <w:tr>
        <w:trPr>
          <w:cantSplit/>
        </w:trPr>
        <w:tc>
          <w:tcPr>
            <w:tcW w:type="dxa" w:w="3120"/>
          </w:tcPr>
          <w:p>
            <w:pPr>
              <w:keepNext w:val="0"/>
              <w:spacing w:line="240" w:lineRule="auto"/>
              <w:ind w:firstLine="0"/>
            </w:pPr>
            <w:r>
              <w:rPr>
                <w:b w:val="0"/>
                <w:sz w:val="22"/>
              </w:rPr>
              <w:t>Configuración y perfiles</w:t>
            </w:r>
          </w:p>
        </w:tc>
        <w:tc>
          <w:tcPr>
            <w:tcW w:type="dxa" w:w="3120"/>
          </w:tcPr>
          <w:p>
            <w:pPr>
              <w:keepNext w:val="0"/>
              <w:spacing w:line="240" w:lineRule="auto"/>
              <w:ind w:firstLine="0"/>
            </w:pPr>
            <w:r>
              <w:rPr>
                <w:b w:val="0"/>
                <w:sz w:val="22"/>
              </w:rPr>
              <w:t>Validar especie, unidades y procedencia</w:t>
            </w:r>
          </w:p>
        </w:tc>
        <w:tc>
          <w:tcPr>
            <w:tcW w:type="dxa" w:w="3120"/>
          </w:tcPr>
          <w:p>
            <w:pPr>
              <w:keepNext w:val="0"/>
              <w:spacing w:line="240" w:lineRule="auto"/>
              <w:ind w:firstLine="0"/>
            </w:pPr>
            <w:r>
              <w:rPr>
                <w:b w:val="0"/>
                <w:sz w:val="22"/>
              </w:rPr>
              <w:t>Configuración congelada</w:t>
            </w:r>
          </w:p>
        </w:tc>
      </w:tr>
      <w:tr>
        <w:trPr>
          <w:cantSplit/>
        </w:trPr>
        <w:tc>
          <w:tcPr>
            <w:tcW w:type="dxa" w:w="3120"/>
          </w:tcPr>
          <w:p>
            <w:pPr>
              <w:keepNext w:val="0"/>
              <w:spacing w:line="240" w:lineRule="auto"/>
              <w:ind w:firstLine="0"/>
            </w:pPr>
            <w:r>
              <w:rPr>
                <w:b w:val="0"/>
                <w:sz w:val="22"/>
              </w:rPr>
              <w:t>Modelo del agua</w:t>
            </w:r>
          </w:p>
        </w:tc>
        <w:tc>
          <w:tcPr>
            <w:tcW w:type="dxa" w:w="3120"/>
          </w:tcPr>
          <w:p>
            <w:pPr>
              <w:keepNext w:val="0"/>
              <w:spacing w:line="240" w:lineRule="auto"/>
              <w:ind w:firstLine="0"/>
            </w:pPr>
            <w:r>
              <w:rPr>
                <w:b w:val="0"/>
                <w:sz w:val="22"/>
              </w:rPr>
              <w:t>Calcular cambios de las variables</w:t>
            </w:r>
          </w:p>
        </w:tc>
        <w:tc>
          <w:tcPr>
            <w:tcW w:type="dxa" w:w="3120"/>
          </w:tcPr>
          <w:p>
            <w:pPr>
              <w:keepNext w:val="0"/>
              <w:spacing w:line="240" w:lineRule="auto"/>
              <w:ind w:firstLine="0"/>
            </w:pPr>
            <w:r>
              <w:rPr>
                <w:b w:val="0"/>
                <w:sz w:val="22"/>
              </w:rPr>
              <w:t>Estado actualizado</w:t>
            </w:r>
          </w:p>
        </w:tc>
      </w:tr>
      <w:tr>
        <w:trPr>
          <w:cantSplit/>
        </w:trPr>
        <w:tc>
          <w:tcPr>
            <w:tcW w:type="dxa" w:w="3120"/>
          </w:tcPr>
          <w:p>
            <w:pPr>
              <w:keepNext w:val="0"/>
              <w:spacing w:line="240" w:lineRule="auto"/>
              <w:ind w:firstLine="0"/>
            </w:pPr>
            <w:r>
              <w:rPr>
                <w:b w:val="0"/>
                <w:sz w:val="22"/>
              </w:rPr>
              <w:t>Sensores</w:t>
            </w:r>
          </w:p>
        </w:tc>
        <w:tc>
          <w:tcPr>
            <w:tcW w:type="dxa" w:w="3120"/>
          </w:tcPr>
          <w:p>
            <w:pPr>
              <w:keepNext w:val="0"/>
              <w:spacing w:line="240" w:lineRule="auto"/>
              <w:ind w:firstLine="0"/>
            </w:pPr>
            <w:r>
              <w:rPr>
                <w:b w:val="0"/>
                <w:sz w:val="22"/>
              </w:rPr>
              <w:t>Aplicar muestreo y errores de medición</w:t>
            </w:r>
          </w:p>
        </w:tc>
        <w:tc>
          <w:tcPr>
            <w:tcW w:type="dxa" w:w="3120"/>
          </w:tcPr>
          <w:p>
            <w:pPr>
              <w:keepNext w:val="0"/>
              <w:spacing w:line="240" w:lineRule="auto"/>
              <w:ind w:firstLine="0"/>
            </w:pPr>
            <w:r>
              <w:rPr>
                <w:b w:val="0"/>
                <w:sz w:val="22"/>
              </w:rPr>
              <w:t>Lecturas con calidad</w:t>
            </w:r>
          </w:p>
        </w:tc>
      </w:tr>
      <w:tr>
        <w:trPr>
          <w:cantSplit/>
        </w:trPr>
        <w:tc>
          <w:tcPr>
            <w:tcW w:type="dxa" w:w="3120"/>
          </w:tcPr>
          <w:p>
            <w:pPr>
              <w:keepNext w:val="0"/>
              <w:spacing w:line="240" w:lineRule="auto"/>
              <w:ind w:firstLine="0"/>
            </w:pPr>
            <w:r>
              <w:rPr>
                <w:b w:val="0"/>
                <w:sz w:val="22"/>
              </w:rPr>
              <w:t>Control</w:t>
            </w:r>
          </w:p>
        </w:tc>
        <w:tc>
          <w:tcPr>
            <w:tcW w:type="dxa" w:w="3120"/>
          </w:tcPr>
          <w:p>
            <w:pPr>
              <w:keepNext w:val="0"/>
              <w:spacing w:line="240" w:lineRule="auto"/>
              <w:ind w:firstLine="0"/>
            </w:pPr>
            <w:r>
              <w:rPr>
                <w:b w:val="0"/>
                <w:sz w:val="22"/>
              </w:rPr>
              <w:t>Comparar y decidir según la estrategia</w:t>
            </w:r>
          </w:p>
        </w:tc>
        <w:tc>
          <w:tcPr>
            <w:tcW w:type="dxa" w:w="3120"/>
          </w:tcPr>
          <w:p>
            <w:pPr>
              <w:keepNext w:val="0"/>
              <w:spacing w:line="240" w:lineRule="auto"/>
              <w:ind w:firstLine="0"/>
            </w:pPr>
            <w:r>
              <w:rPr>
                <w:b w:val="0"/>
                <w:sz w:val="22"/>
              </w:rPr>
              <w:t>Órdenes y motivos</w:t>
            </w:r>
          </w:p>
        </w:tc>
      </w:tr>
      <w:tr>
        <w:trPr>
          <w:cantSplit/>
        </w:trPr>
        <w:tc>
          <w:tcPr>
            <w:tcW w:type="dxa" w:w="3120"/>
          </w:tcPr>
          <w:p>
            <w:pPr>
              <w:keepNext w:val="0"/>
              <w:spacing w:line="240" w:lineRule="auto"/>
              <w:ind w:firstLine="0"/>
            </w:pPr>
            <w:r>
              <w:rPr>
                <w:b w:val="0"/>
                <w:sz w:val="22"/>
              </w:rPr>
              <w:t>Actuadores</w:t>
            </w:r>
          </w:p>
        </w:tc>
        <w:tc>
          <w:tcPr>
            <w:tcW w:type="dxa" w:w="3120"/>
          </w:tcPr>
          <w:p>
            <w:pPr>
              <w:keepNext w:val="0"/>
              <w:spacing w:line="240" w:lineRule="auto"/>
              <w:ind w:firstLine="0"/>
            </w:pPr>
            <w:r>
              <w:rPr>
                <w:b w:val="0"/>
                <w:sz w:val="22"/>
              </w:rPr>
              <w:t>Limitar y transformar órdenes</w:t>
            </w:r>
          </w:p>
        </w:tc>
        <w:tc>
          <w:tcPr>
            <w:tcW w:type="dxa" w:w="3120"/>
          </w:tcPr>
          <w:p>
            <w:pPr>
              <w:keepNext w:val="0"/>
              <w:spacing w:line="240" w:lineRule="auto"/>
              <w:ind w:firstLine="0"/>
            </w:pPr>
            <w:r>
              <w:rPr>
                <w:b w:val="0"/>
                <w:sz w:val="22"/>
              </w:rPr>
              <w:t>Acciones efectivas</w:t>
            </w:r>
          </w:p>
        </w:tc>
      </w:tr>
      <w:tr>
        <w:trPr>
          <w:cantSplit/>
        </w:trPr>
        <w:tc>
          <w:tcPr>
            <w:tcW w:type="dxa" w:w="3120"/>
          </w:tcPr>
          <w:p>
            <w:pPr>
              <w:keepNext w:val="0"/>
              <w:spacing w:line="240" w:lineRule="auto"/>
              <w:ind w:firstLine="0"/>
            </w:pPr>
            <w:r>
              <w:rPr>
                <w:b w:val="0"/>
                <w:sz w:val="22"/>
              </w:rPr>
              <w:t>Escenarios</w:t>
            </w:r>
          </w:p>
        </w:tc>
        <w:tc>
          <w:tcPr>
            <w:tcW w:type="dxa" w:w="3120"/>
          </w:tcPr>
          <w:p>
            <w:pPr>
              <w:keepNext w:val="0"/>
              <w:spacing w:line="240" w:lineRule="auto"/>
              <w:ind w:firstLine="0"/>
            </w:pPr>
            <w:r>
              <w:rPr>
                <w:b w:val="0"/>
                <w:sz w:val="22"/>
              </w:rPr>
              <w:t>Proveer perturbaciones y fallos repetibles</w:t>
            </w:r>
          </w:p>
        </w:tc>
        <w:tc>
          <w:tcPr>
            <w:tcW w:type="dxa" w:w="3120"/>
          </w:tcPr>
          <w:p>
            <w:pPr>
              <w:keepNext w:val="0"/>
              <w:spacing w:line="240" w:lineRule="auto"/>
              <w:ind w:firstLine="0"/>
            </w:pPr>
            <w:r>
              <w:rPr>
                <w:b w:val="0"/>
                <w:sz w:val="22"/>
              </w:rPr>
              <w:t>Eventos del escenario</w:t>
            </w:r>
          </w:p>
        </w:tc>
      </w:tr>
      <w:tr>
        <w:trPr>
          <w:cantSplit/>
        </w:trPr>
        <w:tc>
          <w:tcPr>
            <w:tcW w:type="dxa" w:w="3120"/>
          </w:tcPr>
          <w:p>
            <w:pPr>
              <w:keepNext w:val="0"/>
              <w:spacing w:line="240" w:lineRule="auto"/>
              <w:ind w:firstLine="0"/>
            </w:pPr>
            <w:r>
              <w:rPr>
                <w:b w:val="0"/>
                <w:sz w:val="22"/>
              </w:rPr>
              <w:t>Orquestación</w:t>
            </w:r>
          </w:p>
        </w:tc>
        <w:tc>
          <w:tcPr>
            <w:tcW w:type="dxa" w:w="3120"/>
          </w:tcPr>
          <w:p>
            <w:pPr>
              <w:keepNext w:val="0"/>
              <w:spacing w:line="240" w:lineRule="auto"/>
              <w:ind w:firstLine="0"/>
            </w:pPr>
            <w:r>
              <w:rPr>
                <w:b w:val="0"/>
                <w:sz w:val="22"/>
              </w:rPr>
              <w:t>Coordinar reloj, pasos y estados</w:t>
            </w:r>
          </w:p>
        </w:tc>
        <w:tc>
          <w:tcPr>
            <w:tcW w:type="dxa" w:w="3120"/>
          </w:tcPr>
          <w:p>
            <w:pPr>
              <w:keepNext w:val="0"/>
              <w:spacing w:line="240" w:lineRule="auto"/>
              <w:ind w:firstLine="0"/>
            </w:pPr>
            <w:r>
              <w:rPr>
                <w:b w:val="0"/>
                <w:sz w:val="22"/>
              </w:rPr>
              <w:t>Resultado de cada avance</w:t>
            </w:r>
          </w:p>
        </w:tc>
      </w:tr>
      <w:tr>
        <w:trPr>
          <w:cantSplit/>
        </w:trPr>
        <w:tc>
          <w:tcPr>
            <w:tcW w:type="dxa" w:w="3120"/>
          </w:tcPr>
          <w:p>
            <w:pPr>
              <w:keepNext w:val="0"/>
              <w:spacing w:line="240" w:lineRule="auto"/>
              <w:ind w:firstLine="0"/>
            </w:pPr>
            <w:r>
              <w:rPr>
                <w:b w:val="0"/>
                <w:sz w:val="22"/>
              </w:rPr>
              <w:t>Alarmas</w:t>
            </w:r>
          </w:p>
        </w:tc>
        <w:tc>
          <w:tcPr>
            <w:tcW w:type="dxa" w:w="3120"/>
          </w:tcPr>
          <w:p>
            <w:pPr>
              <w:keepNext w:val="0"/>
              <w:spacing w:line="240" w:lineRule="auto"/>
              <w:ind w:firstLine="0"/>
            </w:pPr>
            <w:r>
              <w:rPr>
                <w:b w:val="0"/>
                <w:sz w:val="22"/>
              </w:rPr>
              <w:t>Clasificar condiciones y fallos detectados</w:t>
            </w:r>
          </w:p>
        </w:tc>
        <w:tc>
          <w:tcPr>
            <w:tcW w:type="dxa" w:w="3120"/>
          </w:tcPr>
          <w:p>
            <w:pPr>
              <w:keepNext w:val="0"/>
              <w:spacing w:line="240" w:lineRule="auto"/>
              <w:ind w:firstLine="0"/>
            </w:pPr>
            <w:r>
              <w:rPr>
                <w:b w:val="0"/>
                <w:sz w:val="22"/>
              </w:rPr>
              <w:t>Eventos informativos</w:t>
            </w:r>
          </w:p>
        </w:tc>
      </w:tr>
      <w:tr>
        <w:trPr>
          <w:cantSplit/>
        </w:trPr>
        <w:tc>
          <w:tcPr>
            <w:tcW w:type="dxa" w:w="3120"/>
          </w:tcPr>
          <w:p>
            <w:pPr>
              <w:keepNext w:val="0"/>
              <w:spacing w:line="240" w:lineRule="auto"/>
              <w:ind w:firstLine="0"/>
            </w:pPr>
            <w:r>
              <w:rPr>
                <w:b w:val="0"/>
                <w:sz w:val="22"/>
              </w:rPr>
              <w:t>Persistencia</w:t>
            </w:r>
          </w:p>
        </w:tc>
        <w:tc>
          <w:tcPr>
            <w:tcW w:type="dxa" w:w="3120"/>
          </w:tcPr>
          <w:p>
            <w:pPr>
              <w:keepNext w:val="0"/>
              <w:spacing w:line="240" w:lineRule="auto"/>
              <w:ind w:firstLine="0"/>
            </w:pPr>
            <w:r>
              <w:rPr>
                <w:b w:val="0"/>
                <w:sz w:val="22"/>
              </w:rPr>
              <w:t>Guardar ejecuciones y series relacionadas</w:t>
            </w:r>
          </w:p>
        </w:tc>
        <w:tc>
          <w:tcPr>
            <w:tcW w:type="dxa" w:w="3120"/>
          </w:tcPr>
          <w:p>
            <w:pPr>
              <w:keepNext w:val="0"/>
              <w:spacing w:line="240" w:lineRule="auto"/>
              <w:ind w:firstLine="0"/>
            </w:pPr>
            <w:r>
              <w:rPr>
                <w:b w:val="0"/>
                <w:sz w:val="22"/>
              </w:rPr>
              <w:t>Historial íntegro</w:t>
            </w:r>
          </w:p>
        </w:tc>
      </w:tr>
      <w:tr>
        <w:trPr>
          <w:cantSplit/>
        </w:trPr>
        <w:tc>
          <w:tcPr>
            <w:tcW w:type="dxa" w:w="3120"/>
          </w:tcPr>
          <w:p>
            <w:pPr>
              <w:keepNext w:val="0"/>
              <w:spacing w:line="240" w:lineRule="auto"/>
              <w:ind w:firstLine="0"/>
            </w:pPr>
            <w:r>
              <w:rPr>
                <w:b w:val="0"/>
                <w:sz w:val="22"/>
              </w:rPr>
              <w:t>Evaluación</w:t>
            </w:r>
          </w:p>
        </w:tc>
        <w:tc>
          <w:tcPr>
            <w:tcW w:type="dxa" w:w="3120"/>
          </w:tcPr>
          <w:p>
            <w:pPr>
              <w:keepNext w:val="0"/>
              <w:spacing w:line="240" w:lineRule="auto"/>
              <w:ind w:firstLine="0"/>
            </w:pPr>
            <w:r>
              <w:rPr>
                <w:b w:val="0"/>
                <w:sz w:val="22"/>
              </w:rPr>
              <w:t>Calcular métricas y comparar</w:t>
            </w:r>
          </w:p>
        </w:tc>
        <w:tc>
          <w:tcPr>
            <w:tcW w:type="dxa" w:w="3120"/>
          </w:tcPr>
          <w:p>
            <w:pPr>
              <w:keepNext w:val="0"/>
              <w:spacing w:line="240" w:lineRule="auto"/>
              <w:ind w:firstLine="0"/>
            </w:pPr>
            <w:r>
              <w:rPr>
                <w:b w:val="0"/>
                <w:sz w:val="22"/>
              </w:rPr>
              <w:t>Indicadores por variable</w:t>
            </w:r>
          </w:p>
        </w:tc>
      </w:tr>
      <w:tr>
        <w:trPr>
          <w:cantSplit/>
        </w:trPr>
        <w:tc>
          <w:tcPr>
            <w:tcW w:type="dxa" w:w="3120"/>
            <w:tcBorders>
              <w:bottom w:val="single" w:sz="6"/>
            </w:tcBorders>
          </w:tcPr>
          <w:p>
            <w:pPr>
              <w:keepNext w:val="0"/>
              <w:spacing w:line="240" w:lineRule="auto"/>
              <w:ind w:firstLine="0"/>
            </w:pPr>
            <w:r>
              <w:rPr>
                <w:b w:val="0"/>
                <w:sz w:val="22"/>
              </w:rPr>
              <w:t>Interfaz y exportación</w:t>
            </w:r>
          </w:p>
        </w:tc>
        <w:tc>
          <w:tcPr>
            <w:tcW w:type="dxa" w:w="3120"/>
            <w:tcBorders>
              <w:bottom w:val="single" w:sz="6"/>
            </w:tcBorders>
          </w:tcPr>
          <w:p>
            <w:pPr>
              <w:keepNext w:val="0"/>
              <w:spacing w:line="240" w:lineRule="auto"/>
              <w:ind w:firstLine="0"/>
            </w:pPr>
            <w:r>
              <w:rPr>
                <w:b w:val="0"/>
                <w:sz w:val="22"/>
              </w:rPr>
              <w:t>Mostrar resultados y generar archivos</w:t>
            </w:r>
          </w:p>
        </w:tc>
        <w:tc>
          <w:tcPr>
            <w:tcW w:type="dxa" w:w="3120"/>
            <w:tcBorders>
              <w:bottom w:val="single" w:sz="6"/>
            </w:tcBorders>
          </w:tcPr>
          <w:p>
            <w:pPr>
              <w:keepNext w:val="0"/>
              <w:spacing w:line="240" w:lineRule="auto"/>
              <w:ind w:firstLine="0"/>
            </w:pPr>
            <w:r>
              <w:rPr>
                <w:b w:val="0"/>
                <w:sz w:val="22"/>
              </w:rPr>
              <w:t>Panel y datos exportables</w:t>
            </w:r>
          </w:p>
        </w:tc>
      </w:tr>
    </w:tbl>
    <w:p>
      <w:pPr>
        <w:ind w:firstLine="0"/>
      </w:pPr>
      <w:r>
        <w:t>Nota. Elaboración propia. La clasificación funcional del capítulo I se conserva y se detalla; la exportación y las alarmas quedan identificadas como responsabilidades explícitas.</w:t>
      </w:r>
    </w:p>
    <w:p>
      <w:pPr>
        <w:keepNext/>
        <w:ind w:firstLine="0"/>
      </w:pPr>
      <w:r>
        <w:rPr>
          <w:b/>
        </w:rPr>
        <w:t>Figura 1</w:t>
      </w:r>
    </w:p>
    <w:p>
      <w:pPr>
        <w:keepNext/>
        <w:ind w:firstLine="0"/>
      </w:pPr>
      <w:r>
        <w:rPr>
          <w:i/>
        </w:rPr>
        <w:t>Lazo cerrado de la simulación</w:t>
      </w:r>
    </w:p>
    <w:p>
      <w:pPr>
        <w:keepNext/>
        <w:ind w:firstLine="0"/>
        <w:jc w:val="center"/>
      </w:pPr>
      <w:r>
        <w:drawing>
          <wp:inline xmlns:a="http://schemas.openxmlformats.org/drawingml/2006/main" xmlns:pic="http://schemas.openxmlformats.org/drawingml/2006/picture">
            <wp:extent cx="5943600" cy="4201510"/>
            <wp:docPr id="1" name="Picture 1"/>
            <wp:cNvGraphicFramePr>
              <a:graphicFrameLocks noChangeAspect="1"/>
            </wp:cNvGraphicFramePr>
            <a:graphic>
              <a:graphicData uri="http://schemas.openxmlformats.org/drawingml/2006/picture">
                <pic:pic>
                  <pic:nvPicPr>
                    <pic:cNvPr id="0" name="control_loop.png"/>
                    <pic:cNvPicPr/>
                  </pic:nvPicPr>
                  <pic:blipFill>
                    <a:blip r:embed="rId10"/>
                    <a:stretch>
                      <a:fillRect/>
                    </a:stretch>
                  </pic:blipFill>
                  <pic:spPr>
                    <a:xfrm>
                      <a:off x="0" y="0"/>
                      <a:ext cx="5943600" cy="4201510"/>
                    </a:xfrm>
                    <a:prstGeom prst="rect"/>
                  </pic:spPr>
                </pic:pic>
              </a:graphicData>
            </a:graphic>
          </wp:inline>
        </w:drawing>
      </w:r>
    </w:p>
    <w:p>
      <w:pPr>
        <w:ind w:firstLine="0"/>
      </w:pPr>
      <w:r>
        <w:t>Nota. Elaboración propia. El observador puede registrar el estado exacto, pero esa conexión no entrega información adicional al controlador. En lazo abierto, el programa temporal sustituye la decisión basada en mediciones.</w:t>
      </w:r>
    </w:p>
    <w:p>
      <w:pPr>
        <w:keepNext/>
        <w:ind w:firstLine="0"/>
      </w:pPr>
      <w:r>
        <w:rPr>
          <w:b/>
        </w:rPr>
        <w:t>Figura 2</w:t>
      </w:r>
    </w:p>
    <w:p>
      <w:pPr>
        <w:keepNext/>
        <w:ind w:firstLine="0"/>
      </w:pPr>
      <w:r>
        <w:rPr>
          <w:i/>
        </w:rPr>
        <w:t>Arquitectura modular propuesta</w:t>
      </w:r>
    </w:p>
    <w:p>
      <w:pPr>
        <w:keepNext/>
        <w:ind w:firstLine="0"/>
        <w:jc w:val="center"/>
      </w:pPr>
      <w:r>
        <w:drawing>
          <wp:inline xmlns:a="http://schemas.openxmlformats.org/drawingml/2006/main" xmlns:pic="http://schemas.openxmlformats.org/drawingml/2006/picture">
            <wp:extent cx="5943600" cy="420151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4201510"/>
                    </a:xfrm>
                    <a:prstGeom prst="rect"/>
                  </pic:spPr>
                </pic:pic>
              </a:graphicData>
            </a:graphic>
          </wp:inline>
        </w:drawing>
      </w:r>
    </w:p>
    <w:p>
      <w:pPr>
        <w:ind w:firstLine="0"/>
      </w:pPr>
      <w:r>
        <w:t>Nota. Elaboración propia. Las flechas representan dependencias y coordinación lógica; no añaden relaciones físicas al estanque. Los contratos y estructuras de datos se detallan en PROJECT_SPEC.</w:t>
      </w:r>
    </w:p>
    <w:p>
      <w:pPr>
        <w:pStyle w:val="Heading2"/>
      </w:pPr>
      <w:r>
        <w:t>4.9 Requisitos funcionales</w:t>
      </w:r>
    </w:p>
    <w:p>
      <w:r>
        <w:t>Los identificadores RF01 a RF11 se mantienen desde el inventario inicial. Su detalle se organiza en subrequisitos verificables para evitar que un cambio de versión rompa la trazabilidad.</w:t>
      </w:r>
    </w:p>
    <w:p>
      <w:r>
        <w:t>RF01 comprenderá perfiles configurables y procedencia de valores. RF02 cubrirá estanque, condiciones iniciales, referencias y validación. RF03 exigirá evolución progresiva y control del avance. RF04 distinguirá estado y medición. RF05 representará órdenes, límites y acciones efectivas. RF06 incluirá las estrategias abierta y cerrada.</w:t>
      </w:r>
    </w:p>
    <w:p>
      <w:r>
        <w:t>RF07 incorporará perturbaciones y fallos con efectos registrados. RF08 cubrirá gráficos, alarmas y calidad de los datos. RF09 guardará configuraciones, mediciones, decisiones y eventos. RF10 permitirá comparar corridas equivalentes y calcular indicadores. RF11 identificará versiones y evidencias de reproducción.</w:t>
      </w:r>
    </w:p>
    <w:p>
      <w:r>
        <w:t>La especificación detallada de REQUIREMENTS contiene 33 subrequisitos funcionales, sus condiciones de comprobación y la relación con los módulos. Su implementación se evalúa individualmente en la revisión de coherencia; tres subrequisitos requieren correcciones y no se declara aceptación integral.</w:t>
      </w:r>
    </w:p>
    <w:p>
      <w:pPr>
        <w:pStyle w:val="Heading2"/>
      </w:pPr>
      <w:r>
        <w:t>4.10 Requisitos no funcionales</w:t>
      </w:r>
    </w:p>
    <w:p>
      <w:r>
        <w:t>Se establecen requisitos sobre reproducibilidad, consistencia de unidades, integridad de registros, independencia del núcleo, prevención de avances duplicados, claridad de la interfaz, manejo de errores, ejecución local y trazabilidad. Las pruebas deberán distinguir la repetición dentro de un entorno fijado de la comparación entre entornos distintos.</w:t>
      </w:r>
    </w:p>
    <w:p>
      <w:r>
        <w:t>La persistencia se organizará mediante transacciones y relaciones verificables. La documentación de SQLite explica las transacciones y la activación de restricciones de claves foráneas (SQLite, s. f.-a, s. f.-b). La implementación recibida utiliza estas reglas y aporta pruebas de unicidad, claves foráneas y reversión de lotes.</w:t>
      </w:r>
    </w:p>
    <w:p>
      <w:r>
        <w:t>No se fijará una promesa de velocidad sin hardware de referencia ni una carga de datos determinada. El caso S8, su entorno y el umbral fueron definidos antes de programar. Esto evita presentar un requisito imposible de comprobar.</w:t>
      </w:r>
    </w:p>
    <w:p>
      <w:pPr>
        <w:pStyle w:val="Heading2"/>
      </w:pPr>
      <w:r>
        <w:t>4.11 Flujo de operación y persistencia</w:t>
      </w:r>
    </w:p>
    <w:p>
      <w:r>
        <w:t>El usuario configurará el escenario y solicitará su validación. Si existen errores, se indicarán los campos afectados y no se creará una corrida ejecutable. Si la configuración es válida, se generará un identificador y se conservará una copia de sus parámetros y versiones.</w:t>
      </w:r>
    </w:p>
    <w:p>
      <w:r>
        <w:t>Durante cada avance autorizado, el coordinador obtendrá mediciones, solicitará decisiones, aplicará la dinámica de los actuadores e integrará el proceso. Se registrarán muestras, órdenes, acciones y eventos con tiempo simulado. El capítulo V fija el orden temporal exacto y el tratamiento de eventos coincidentes.</w:t>
      </w:r>
    </w:p>
    <w:p>
      <w:r>
        <w:t>La base de datos contendrá ejecuciones, muestras, decisiones, acciones, eventos, métricas y grupos de comparación. El diseño diferenciará el estado guardado para estudiar una corrida de la información necesaria para continuar una pausa dentro de la sesión. La recuperación tras un cierre inesperado permitirá consultar datos parciales, pero no implicará reanudar automáticamente la integración.</w:t>
      </w:r>
    </w:p>
    <w:p>
      <w:r>
        <w:t>La comparación creará dos corridas vinculadas a una misma configuración base y realización exógena. Se identificarán la estrategia y sus parámetros como diferencias autorizadas. El sistema no declarará equivalencia únicamente porque se utilice la misma semilla aleatoria.</w:t>
      </w:r>
    </w:p>
    <w:p>
      <w:pPr>
        <w:pStyle w:val="Heading2"/>
      </w:pPr>
      <w:r>
        <w:t>4.12 Trazabilidad y cierre del diseño</w:t>
      </w:r>
    </w:p>
    <w:p>
      <w:r>
        <w:t>Cada familia de requisitos se vincula con objetivos, conceptos, módulos y evidencias en REQUIREMENTS. RF04 representa medición; RF05, actuación; RF06 y RF10, estrategias y evaluación. La etapa 4 completó el modelo y los criterios con histéresis. El capítulo VII contrasta ese diseño aprobado con la primera implementación.</w:t>
      </w:r>
    </w:p>
    <w:p>
      <w:pPr>
        <w:pStyle w:val="Heading1"/>
        <w:pageBreakBefore/>
      </w:pPr>
      <w:r>
        <w:t>Capítulo V Modelado matemático</w:t>
      </w:r>
    </w:p>
    <w:p>
      <w:pPr>
        <w:pStyle w:val="Heading2"/>
      </w:pPr>
      <w:r>
        <w:t>5.1 Naturaleza y procedencia del modelo</w:t>
      </w:r>
    </w:p>
    <w:p>
      <w:r>
        <w:t>Se propone el modelo M-AGUA-DEMO-1, orientado a estudiar la evolución de las cinco variables y las decisiones de control. La formulación combina balances simplificados con aproximaciones empíricas. La ecuación de saturación del oxígeno procede del memorando técnico del U.S. Geological Survey (USGS, 2011); los coeficientes de respuesta, las cargas y los umbrales operativos se seleccionan para la demostración académica.</w:t>
      </w:r>
    </w:p>
    <w:p>
      <w:r>
        <w:t>Cada valor se clasifica como bibliográfico, derivado o demostrativo. Un valor derivado puede seleccionarse dentro de un antecedente técnico sin constituir un óptimo universal. Un valor demostrativo permite definir un experimento reproducible, pero no representa una medición de campo ni una recomendación productiva. Las cifras completas y sus metadatos se conservan en MODEL_DEFAULTS.json.</w:t>
      </w:r>
    </w:p>
    <w:p>
      <w:pPr>
        <w:pStyle w:val="Heading2"/>
      </w:pPr>
      <w:r>
        <w:t>5.2 Variables de estado y supuestos</w:t>
      </w:r>
    </w:p>
    <w:p>
      <w:r>
        <w:t>El estado del agua comprende temperatura T, oxígeno disuelto C, pH p, turbidez U y nivel h. Se usan grados Celsius, mg/L, magnitud adimensional, NTU y metros. El tiempo se expresa en segundos. Se añaden cinco estados auxiliares z para representar la respuesta térmica, de aireación, de pH, de filtración y de nivel. Estos auxiliares no amplían las cinco variables de calidad comprometidas.</w:t>
      </w:r>
    </w:p>
    <w:p>
      <w:r>
        <w:t>El estanque se supone rectangular y bien mezclado. El área es constante y el volumen depende del nivel. La biomasa se mantiene fija durante cada corrida. La formulación excluye estratificación, crecimiento individual, enfermedades y química completa del ecosistema. Estas simplificaciones permiten concentrar el análisis en las relaciones de control, aunque limitan la fidelidad de los resultados.</w:t>
      </w:r>
    </w:p>
    <w:p>
      <w:pPr>
        <w:pStyle w:val="Heading2"/>
      </w:pPr>
      <w:r>
        <w:t>5.3 Modelo del volumen y del nivel</w:t>
      </w:r>
    </w:p>
    <w:p>
      <w:r>
        <w:t>Se representan caudales de entrada qin, salida qout, lluvia qr, fuga ql y evaporación qe, en m³/s. Para un área A, el volumen y el nivel se relacionan mediante:</w:t>
      </w:r>
    </w:p>
    <w:p>
      <w:pPr>
        <w:ind w:firstLine="0"/>
        <w:jc w:val="center"/>
      </w:pPr>
      <m:oMath>
        <m:r>
          <w:rPr>
            <w:sz w:val="24"/>
          </w:rPr>
          <m:t xml:space="preserve">V = A h</m:t>
        </m:r>
      </m:oMath>
    </w:p>
    <w:p>
      <w:pPr>
        <w:ind w:firstLine="0"/>
        <w:jc w:val="center"/>
      </w:pPr>
      <m:oMath>
        <m:f>
          <m:num>
            <m:r>
              <w:rPr>
                <w:sz w:val="24"/>
              </w:rPr>
              <m:t xml:space="preserve">dh</m:t>
            </m:r>
          </m:num>
          <m:den>
            <m:r>
              <w:rPr>
                <w:sz w:val="24"/>
              </w:rPr>
              <m:t xml:space="preserve">dt</m:t>
            </m:r>
          </m:den>
        </m:f>
        <m:r>
          <w:rPr>
            <w:sz w:val="24"/>
          </w:rPr>
          <m:t xml:space="preserve"> = (qin + qr − qout − ql − qe)/A</m:t>
        </m:r>
      </m:oMath>
    </w:p>
    <w:p>
      <w:r>
        <w:t>El caso nominal utiliza A=10 m², h=1 m y V=10 m³. La altura geométrica máxima es 1.5 m. El programa finalizará con un fallo explícito si el nivel cruza el dominio matemático adoptado; no reemplazará el valor calculado por el nivel de referencia. La filtración recirculante no implica una descarga de agua por sí misma.</w:t>
      </w:r>
    </w:p>
    <w:p>
      <w:pPr>
        <w:pStyle w:val="Heading2"/>
      </w:pPr>
      <w:r>
        <w:t>5.4 Modelo térmico</w:t>
      </w:r>
    </w:p>
    <w:p>
      <w:r>
        <w:t>El intercambio térmico simplificado depende de la temperatura ambiental Te, del coeficiente H, de las potencias máximas PH y PK y de las intensidades efectivas aH y aK. Se define:</w:t>
      </w:r>
    </w:p>
    <w:p>
      <w:pPr>
        <w:ind w:firstLine="0"/>
        <w:jc w:val="center"/>
      </w:pPr>
      <m:oMath>
        <m:r>
          <w:rPr>
            <w:sz w:val="24"/>
          </w:rPr>
          <m:t xml:space="preserve">Qnet = H(Te − T) + PH aH − PK aK</m:t>
        </m:r>
      </m:oMath>
    </w:p>
    <w:p>
      <w:pPr>
        <w:ind w:firstLine="0"/>
        <w:jc w:val="center"/>
      </w:pPr>
      <m:oMath>
        <m:f>
          <m:num>
            <m:r>
              <w:rPr>
                <w:sz w:val="24"/>
              </w:rPr>
              <m:t xml:space="preserve">dT</m:t>
            </m:r>
          </m:num>
          <m:den>
            <m:r>
              <w:rPr>
                <w:sz w:val="24"/>
              </w:rPr>
              <m:t xml:space="preserve">dt</m:t>
            </m:r>
          </m:den>
        </m:f>
        <m:r>
          <w:rPr>
            <w:sz w:val="24"/>
          </w:rPr>
          <m:t xml:space="preserve"> = Qnet/(ρ cp V) + Jin</m:t>
        </m:r>
      </m:oMath>
    </w:p>
    <w:p>
      <w:pPr>
        <w:ind w:firstLine="0"/>
        <w:jc w:val="center"/>
      </w:pPr>
      <m:oMath>
        <m:r>
          <w:rPr>
            <w:sz w:val="24"/>
          </w:rPr>
          <m:t xml:space="preserve">Jin = [qin(Tin − T) + qr(Tr − T)]/V</m:t>
        </m:r>
      </m:oMath>
    </w:p>
    <w:p>
      <w:r>
        <w:t>Se adoptan densidad constante de 1000 kg/m³ y calor específico de 4186 J/(kg K) como aproximaciones. Se omiten el calor latente de evaporación, la radiación separada y el calor de equipos auxiliares. Por tanto, esta formulación representa un balance térmico simplificado y no una predicción completa del ambiente piscícola.</w:t>
      </w:r>
    </w:p>
    <w:p>
      <w:pPr>
        <w:pStyle w:val="Heading2"/>
      </w:pPr>
      <w:r>
        <w:t>5.5 Modelo del oxígeno disuelto</w:t>
      </w:r>
    </w:p>
    <w:p>
      <w:r>
        <w:t>El oxígeno cambia por intercambio con el aire, aireación, demanda biológica e intercambio de agua. Se usa Csat para la saturación calculada según temperatura, presión y salinidad. Los términos del modelo son:</w:t>
      </w:r>
    </w:p>
    <w:p>
      <w:pPr>
        <w:ind w:firstLine="0"/>
        <w:jc w:val="center"/>
      </w:pPr>
      <m:oMath>
        <m:f>
          <m:num>
            <m:r>
              <w:rPr>
                <w:sz w:val="24"/>
              </w:rPr>
              <m:t xml:space="preserve">dC</m:t>
            </m:r>
          </m:num>
          <m:den>
            <m:r>
              <w:rPr>
                <w:sz w:val="24"/>
              </w:rPr>
              <m:t xml:space="preserve">dt</m:t>
            </m:r>
          </m:den>
        </m:f>
        <m:r>
          <w:rPr>
            <w:sz w:val="24"/>
          </w:rPr>
          <m:t xml:space="preserve"> = (k0 + kA aA)(Csat − C) − R + JC</m:t>
        </m:r>
      </m:oMath>
    </w:p>
    <w:p>
      <w:pPr>
        <w:ind w:firstLine="0"/>
        <w:jc w:val="center"/>
      </w:pPr>
      <m:oMath>
        <m:r>
          <w:rPr>
            <w:sz w:val="24"/>
          </w:rPr>
          <m:t xml:space="preserve">JC = [qin(Cin − C) + qr(Cr − C) + qe C]/V</m:t>
        </m:r>
      </m:oMath>
    </w:p>
    <w:p>
      <w:r>
        <w:t>La demanda R depende de biomasa, temperatura, alimentación y disponibilidad de oxígeno. Se adopta un factor demostrativo Q10=2 y una función C/(KC+C), con KC=0.5 mg/L, para que la demanda tienda a cero cuando se agota el oxígeno. Su expresión completa y las unidades de sus coeficientes se especifican en MATHEMATICAL_MODEL.</w:t>
      </w:r>
    </w:p>
    <w:p>
      <w:r>
        <w:t>La saturación utiliza las ecuaciones de Benson y Krause recogidas por USGS (2011), con factores de temperatura, salinidad y presión. Se revisaron los coeficientes en la página correspondiente del memorando. Como referencia calculada, a 20 °C, una atmósfera y salinidad cero, la fórmula produce aproximadamente 9.092426 mg/L. Ese valor es un cálculo bibliográfico de referencia y no una medición del proyecto.</w:t>
      </w:r>
    </w:p>
    <w:p>
      <w:r>
        <w:t>La presión inicial de 101325 Pa define un escenario demostrativo a una atmósfera. No equivale a asumir que un estanque real de La Paz tenga esa presión. Antes de aceptar un perfil modificado, se verificará que la referencia de oxígeno y su umbral de apagado sean compatibles con la saturación prevista.</w:t>
      </w:r>
    </w:p>
    <w:p>
      <w:pPr>
        <w:pStyle w:val="Heading2"/>
      </w:pPr>
      <w:r>
        <w:t>5.6 Aproximaciones de pH y turbidez</w:t>
      </w:r>
    </w:p>
    <w:p>
      <w:r>
        <w:t>El pH se representará mediante una ecuación empírica de relajación y acción virtual:</w:t>
      </w:r>
    </w:p>
    <w:p>
      <w:pPr>
        <w:ind w:firstLine="0"/>
        <w:jc w:val="center"/>
      </w:pPr>
      <m:oMath>
        <m:f>
          <m:num>
            <m:r>
              <w:rPr>
                <w:sz w:val="24"/>
              </w:rPr>
              <m:t xml:space="preserve">dp</m:t>
            </m:r>
          </m:num>
          <m:den>
            <m:r>
              <w:rPr>
                <w:sz w:val="24"/>
              </w:rPr>
              <m:t xml:space="preserve">dt</m:t>
            </m:r>
          </m:den>
        </m:f>
        <m:r>
          <w:rPr>
            <w:sz w:val="24"/>
          </w:rPr>
          <m:t xml:space="preserve"> = kp(pbg − p) + gp(aB − aD) + dp_ext − gf F</m:t>
        </m:r>
      </m:oMath>
    </w:p>
    <w:p>
      <w:r>
        <w:t>pbg representa una condición de fondo, aB y aD son intensidades normalizadas para incrementar o disminuir pH, F representa alimentación y dp_ext una perturbación externa. Esta ecuación no calcula actividad de hidrógeno, alcalinidad ni mezcla química. Tampoco permite convertir una acción virtual en una dosis real de reactivo. Su utilidad se limita a estudiar cómo un controlador responde a una señal dinámica declarada como aproximada.</w:t>
      </w:r>
    </w:p>
    <w:p>
      <w:r>
        <w:t>La turbidez se describe con un índice empírico que incluye aporte, recambio y reducción por filtración:</w:t>
      </w:r>
    </w:p>
    <w:p>
      <w:pPr>
        <w:ind w:firstLine="0"/>
        <w:jc w:val="center"/>
      </w:pPr>
      <m:oMath>
        <m:f>
          <m:num>
            <m:r>
              <w:rPr>
                <w:sz w:val="24"/>
              </w:rPr>
              <m:t xml:space="preserve">dU</m:t>
            </m:r>
          </m:num>
          <m:den>
            <m:r>
              <w:rPr>
                <w:sz w:val="24"/>
              </w:rPr>
              <m:t xml:space="preserve">dt</m:t>
            </m:r>
          </m:den>
        </m:f>
        <m:r>
          <w:rPr>
            <w:sz w:val="24"/>
          </w:rPr>
          <m:t xml:space="preserve"> = JU + sU(1 + F) − (ks + kF aF)U + dU_ext</m:t>
        </m:r>
      </m:oMath>
    </w:p>
    <w:p>
      <w:pPr>
        <w:ind w:firstLine="0"/>
        <w:jc w:val="center"/>
      </w:pPr>
      <m:oMath>
        <m:r>
          <w:rPr>
            <w:sz w:val="24"/>
          </w:rPr>
          <m:t xml:space="preserve">JU = [qin(Uin − U) + qr(Ur − U)]/V</m:t>
        </m:r>
      </m:oMath>
    </w:p>
    <w:p>
      <w:r>
        <w:t>La mezcla lineal del índice es un supuesto de la simulación. No se presenta como ley general de turbidez real ni se convierte a concentración de sólidos. Se omiten concentración por evaporación y resuspensión. Estas limitaciones permiten interpretar correctamente lo que muestran los gráficos.</w:t>
      </w:r>
    </w:p>
    <w:p>
      <w:pPr>
        <w:pStyle w:val="Heading2"/>
      </w:pPr>
      <w:r>
        <w:t>5.7 Parámetros y referencias de demostración</w:t>
      </w:r>
    </w:p>
    <w:p>
      <w:pPr>
        <w:keepNext/>
        <w:ind w:firstLine="0"/>
      </w:pPr>
      <w:r>
        <w:rPr>
          <w:b/>
        </w:rPr>
        <w:t>Tabla 4</w:t>
      </w:r>
    </w:p>
    <w:p>
      <w:pPr>
        <w:keepNext/>
        <w:ind w:firstLine="0"/>
      </w:pPr>
      <w:r>
        <w:rPr>
          <w:i/>
        </w:rPr>
        <w:t>Referencias y bandas operativas seleccionadas para la simulación</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Perfil</w:t>
            </w:r>
          </w:p>
        </w:tc>
        <w:tc>
          <w:tcPr>
            <w:tcW w:type="dxa" w:w="3120"/>
            <w:tcBorders>
              <w:top w:val="single" w:sz="6"/>
              <w:bottom w:val="single" w:sz="6"/>
            </w:tcBorders>
          </w:tcPr>
          <w:p>
            <w:pPr>
              <w:keepNext w:val="0"/>
              <w:spacing w:line="240" w:lineRule="auto"/>
              <w:ind w:firstLine="0"/>
            </w:pPr>
            <w:r>
              <w:rPr>
                <w:b/>
                <w:sz w:val="22"/>
              </w:rPr>
              <w:t>Temperatura objetivo y banda °C</w:t>
            </w:r>
          </w:p>
        </w:tc>
        <w:tc>
          <w:tcPr>
            <w:tcW w:type="dxa" w:w="3120"/>
            <w:tcBorders>
              <w:top w:val="single" w:sz="6"/>
              <w:bottom w:val="single" w:sz="6"/>
            </w:tcBorders>
          </w:tcPr>
          <w:p>
            <w:pPr>
              <w:keepNext w:val="0"/>
              <w:spacing w:line="240" w:lineRule="auto"/>
              <w:ind w:firstLine="0"/>
            </w:pPr>
            <w:r>
              <w:rPr>
                <w:b/>
                <w:sz w:val="22"/>
              </w:rPr>
              <w:t>Oxígeno objetivo y banda mg/L</w:t>
            </w:r>
          </w:p>
        </w:tc>
      </w:tr>
      <w:tr>
        <w:trPr>
          <w:cantSplit/>
        </w:trPr>
        <w:tc>
          <w:tcPr>
            <w:tcW w:type="dxa" w:w="3120"/>
          </w:tcPr>
          <w:p>
            <w:pPr>
              <w:keepNext w:val="0"/>
              <w:spacing w:line="240" w:lineRule="auto"/>
              <w:ind w:firstLine="0"/>
            </w:pPr>
            <w:r>
              <w:rPr>
                <w:b w:val="0"/>
                <w:sz w:val="22"/>
              </w:rPr>
              <w:t>Tilapia del Nilo</w:t>
            </w:r>
          </w:p>
        </w:tc>
        <w:tc>
          <w:tcPr>
            <w:tcW w:type="dxa" w:w="3120"/>
          </w:tcPr>
          <w:p>
            <w:pPr>
              <w:keepNext w:val="0"/>
              <w:spacing w:line="240" w:lineRule="auto"/>
              <w:ind w:firstLine="0"/>
            </w:pPr>
            <w:r>
              <w:rPr>
                <w:b w:val="0"/>
                <w:sz w:val="22"/>
              </w:rPr>
              <w:t>28.5; 27 a 30</w:t>
            </w:r>
          </w:p>
        </w:tc>
        <w:tc>
          <w:tcPr>
            <w:tcW w:type="dxa" w:w="3120"/>
          </w:tcPr>
          <w:p>
            <w:pPr>
              <w:keepNext w:val="0"/>
              <w:spacing w:line="240" w:lineRule="auto"/>
              <w:ind w:firstLine="0"/>
            </w:pPr>
            <w:r>
              <w:rPr>
                <w:b w:val="0"/>
                <w:sz w:val="22"/>
              </w:rPr>
              <w:t>6; 5 a 8.5</w:t>
            </w:r>
          </w:p>
        </w:tc>
      </w:tr>
      <w:tr>
        <w:trPr>
          <w:cantSplit/>
        </w:trPr>
        <w:tc>
          <w:tcPr>
            <w:tcW w:type="dxa" w:w="3120"/>
          </w:tcPr>
          <w:p>
            <w:pPr>
              <w:keepNext w:val="0"/>
              <w:spacing w:line="240" w:lineRule="auto"/>
              <w:ind w:firstLine="0"/>
            </w:pPr>
            <w:r>
              <w:rPr>
                <w:b w:val="0"/>
                <w:sz w:val="22"/>
              </w:rPr>
              <w:t>Trucha arcoíris</w:t>
            </w:r>
          </w:p>
        </w:tc>
        <w:tc>
          <w:tcPr>
            <w:tcW w:type="dxa" w:w="3120"/>
          </w:tcPr>
          <w:p>
            <w:pPr>
              <w:keepNext w:val="0"/>
              <w:spacing w:line="240" w:lineRule="auto"/>
              <w:ind w:firstLine="0"/>
            </w:pPr>
            <w:r>
              <w:rPr>
                <w:b w:val="0"/>
                <w:sz w:val="22"/>
              </w:rPr>
              <w:t>14; 13 a 15</w:t>
            </w:r>
          </w:p>
        </w:tc>
        <w:tc>
          <w:tcPr>
            <w:tcW w:type="dxa" w:w="3120"/>
          </w:tcPr>
          <w:p>
            <w:pPr>
              <w:keepNext w:val="0"/>
              <w:spacing w:line="240" w:lineRule="auto"/>
              <w:ind w:firstLine="0"/>
            </w:pPr>
            <w:r>
              <w:rPr>
                <w:b w:val="0"/>
                <w:sz w:val="22"/>
              </w:rPr>
              <w:t>9; 8 a 11.5</w:t>
            </w:r>
          </w:p>
        </w:tc>
      </w:tr>
      <w:tr>
        <w:trPr>
          <w:cantSplit/>
        </w:trPr>
        <w:tc>
          <w:tcPr>
            <w:tcW w:type="dxa" w:w="3120"/>
            <w:tcBorders>
              <w:bottom w:val="single" w:sz="6"/>
            </w:tcBorders>
          </w:tcPr>
          <w:p>
            <w:pPr>
              <w:keepNext w:val="0"/>
              <w:spacing w:line="240" w:lineRule="auto"/>
              <w:ind w:firstLine="0"/>
            </w:pPr>
            <w:r>
              <w:rPr>
                <w:b w:val="0"/>
                <w:sz w:val="22"/>
              </w:rPr>
              <w:t>Carpa común</w:t>
            </w:r>
          </w:p>
        </w:tc>
        <w:tc>
          <w:tcPr>
            <w:tcW w:type="dxa" w:w="3120"/>
            <w:tcBorders>
              <w:bottom w:val="single" w:sz="6"/>
            </w:tcBorders>
          </w:tcPr>
          <w:p>
            <w:pPr>
              <w:keepNext w:val="0"/>
              <w:spacing w:line="240" w:lineRule="auto"/>
              <w:ind w:firstLine="0"/>
            </w:pPr>
            <w:r>
              <w:rPr>
                <w:b w:val="0"/>
                <w:sz w:val="22"/>
              </w:rPr>
              <w:t>25; 23 a 26</w:t>
            </w:r>
          </w:p>
        </w:tc>
        <w:tc>
          <w:tcPr>
            <w:tcW w:type="dxa" w:w="3120"/>
            <w:tcBorders>
              <w:bottom w:val="single" w:sz="6"/>
            </w:tcBorders>
          </w:tcPr>
          <w:p>
            <w:pPr>
              <w:keepNext w:val="0"/>
              <w:spacing w:line="240" w:lineRule="auto"/>
              <w:ind w:firstLine="0"/>
            </w:pPr>
            <w:r>
              <w:rPr>
                <w:b w:val="0"/>
                <w:sz w:val="22"/>
              </w:rPr>
              <w:t>6; 5 a 8.5</w:t>
            </w:r>
          </w:p>
        </w:tc>
      </w:tr>
    </w:tbl>
    <w:p>
      <w:pPr>
        <w:ind w:firstLine="0"/>
      </w:pPr>
      <w:r>
        <w:t>Nota. Las temperaturas se seleccionan dentro de antecedentes documentados en la etapa 2. Las referencias de oxígeno y todas las bandas se adoptan como configuración demostrativa, no como límites certificados para cualquier condición de cultivo.</w:t>
      </w:r>
    </w:p>
    <w:p>
      <w:r>
        <w:t>Los tres perfiles utilizan pH objetivo 7.5 y banda de 7 a 8; turbidez objetivo 10 NTU y límite operativo superior de 20 NTU; nivel objetivo 1 m y banda de 0.9 a 1.1 m. El catálogo también distingue límites críticos de alarma y dominios matemáticos. Una alarma crítica no provoca una corrección escondida del agua.</w:t>
      </w:r>
    </w:p>
    <w:p>
      <w:pPr>
        <w:keepNext/>
        <w:ind w:firstLine="0"/>
      </w:pPr>
      <w:r>
        <w:rPr>
          <w:b/>
        </w:rPr>
        <w:t>Tabla 5</w:t>
      </w:r>
    </w:p>
    <w:p>
      <w:pPr>
        <w:keepNext/>
        <w:ind w:firstLine="0"/>
      </w:pPr>
      <w:r>
        <w:rPr>
          <w:i/>
        </w:rPr>
        <w:t>Parámetros principales del caso demostrativo</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Parámetro</w:t>
            </w:r>
          </w:p>
        </w:tc>
        <w:tc>
          <w:tcPr>
            <w:tcW w:type="dxa" w:w="3120"/>
            <w:tcBorders>
              <w:top w:val="single" w:sz="6"/>
              <w:bottom w:val="single" w:sz="6"/>
            </w:tcBorders>
          </w:tcPr>
          <w:p>
            <w:pPr>
              <w:keepNext w:val="0"/>
              <w:spacing w:line="240" w:lineRule="auto"/>
              <w:ind w:firstLine="0"/>
            </w:pPr>
            <w:r>
              <w:rPr>
                <w:b/>
                <w:sz w:val="22"/>
              </w:rPr>
              <w:t>Valor</w:t>
            </w:r>
          </w:p>
        </w:tc>
        <w:tc>
          <w:tcPr>
            <w:tcW w:type="dxa" w:w="3120"/>
            <w:tcBorders>
              <w:top w:val="single" w:sz="6"/>
              <w:bottom w:val="single" w:sz="6"/>
            </w:tcBorders>
          </w:tcPr>
          <w:p>
            <w:pPr>
              <w:keepNext w:val="0"/>
              <w:spacing w:line="240" w:lineRule="auto"/>
              <w:ind w:firstLine="0"/>
            </w:pPr>
            <w:r>
              <w:rPr>
                <w:b/>
                <w:sz w:val="22"/>
              </w:rPr>
              <w:t>Interpretación</w:t>
            </w:r>
          </w:p>
        </w:tc>
      </w:tr>
      <w:tr>
        <w:trPr>
          <w:cantSplit/>
        </w:trPr>
        <w:tc>
          <w:tcPr>
            <w:tcW w:type="dxa" w:w="3120"/>
          </w:tcPr>
          <w:p>
            <w:pPr>
              <w:keepNext w:val="0"/>
              <w:spacing w:line="240" w:lineRule="auto"/>
              <w:ind w:firstLine="0"/>
            </w:pPr>
            <w:r>
              <w:rPr>
                <w:b w:val="0"/>
                <w:sz w:val="22"/>
              </w:rPr>
              <w:t>Área y biomasa</w:t>
            </w:r>
          </w:p>
        </w:tc>
        <w:tc>
          <w:tcPr>
            <w:tcW w:type="dxa" w:w="3120"/>
          </w:tcPr>
          <w:p>
            <w:pPr>
              <w:keepNext w:val="0"/>
              <w:spacing w:line="240" w:lineRule="auto"/>
              <w:ind w:firstLine="0"/>
            </w:pPr>
            <w:r>
              <w:rPr>
                <w:b w:val="0"/>
                <w:sz w:val="22"/>
              </w:rPr>
              <w:t>10 m² y 50 kg</w:t>
            </w:r>
          </w:p>
        </w:tc>
        <w:tc>
          <w:tcPr>
            <w:tcW w:type="dxa" w:w="3120"/>
          </w:tcPr>
          <w:p>
            <w:pPr>
              <w:keepNext w:val="0"/>
              <w:spacing w:line="240" w:lineRule="auto"/>
              <w:ind w:firstLine="0"/>
            </w:pPr>
            <w:r>
              <w:rPr>
                <w:b w:val="0"/>
                <w:sz w:val="22"/>
              </w:rPr>
              <w:t>Geometría y carga constantes</w:t>
            </w:r>
          </w:p>
        </w:tc>
      </w:tr>
      <w:tr>
        <w:trPr>
          <w:cantSplit/>
        </w:trPr>
        <w:tc>
          <w:tcPr>
            <w:tcW w:type="dxa" w:w="3120"/>
          </w:tcPr>
          <w:p>
            <w:pPr>
              <w:keepNext w:val="0"/>
              <w:spacing w:line="240" w:lineRule="auto"/>
              <w:ind w:firstLine="0"/>
            </w:pPr>
            <w:r>
              <w:rPr>
                <w:b w:val="0"/>
                <w:sz w:val="22"/>
              </w:rPr>
              <w:t>Potencias térmicas máximas</w:t>
            </w:r>
          </w:p>
        </w:tc>
        <w:tc>
          <w:tcPr>
            <w:tcW w:type="dxa" w:w="3120"/>
          </w:tcPr>
          <w:p>
            <w:pPr>
              <w:keepNext w:val="0"/>
              <w:spacing w:line="240" w:lineRule="auto"/>
              <w:ind w:firstLine="0"/>
            </w:pPr>
            <w:r>
              <w:rPr>
                <w:b w:val="0"/>
                <w:sz w:val="22"/>
              </w:rPr>
              <w:t>20000 W por sentido</w:t>
            </w:r>
          </w:p>
        </w:tc>
        <w:tc>
          <w:tcPr>
            <w:tcW w:type="dxa" w:w="3120"/>
          </w:tcPr>
          <w:p>
            <w:pPr>
              <w:keepNext w:val="0"/>
              <w:spacing w:line="240" w:lineRule="auto"/>
              <w:ind w:firstLine="0"/>
            </w:pPr>
            <w:r>
              <w:rPr>
                <w:b w:val="0"/>
                <w:sz w:val="22"/>
              </w:rPr>
              <w:t>Capacidad virtual de calentamiento y enfriamiento</w:t>
            </w:r>
          </w:p>
        </w:tc>
      </w:tr>
      <w:tr>
        <w:trPr>
          <w:cantSplit/>
        </w:trPr>
        <w:tc>
          <w:tcPr>
            <w:tcW w:type="dxa" w:w="3120"/>
          </w:tcPr>
          <w:p>
            <w:pPr>
              <w:keepNext w:val="0"/>
              <w:spacing w:line="240" w:lineRule="auto"/>
              <w:ind w:firstLine="0"/>
            </w:pPr>
            <w:r>
              <w:rPr>
                <w:b w:val="0"/>
                <w:sz w:val="22"/>
              </w:rPr>
              <w:t>Caudales máximos</w:t>
            </w:r>
          </w:p>
        </w:tc>
        <w:tc>
          <w:tcPr>
            <w:tcW w:type="dxa" w:w="3120"/>
          </w:tcPr>
          <w:p>
            <w:pPr>
              <w:keepNext w:val="0"/>
              <w:spacing w:line="240" w:lineRule="auto"/>
              <w:ind w:firstLine="0"/>
            </w:pPr>
            <w:r>
              <w:rPr>
                <w:b w:val="0"/>
                <w:sz w:val="22"/>
              </w:rPr>
              <w:t>0.002 m³/s por sentido</w:t>
            </w:r>
          </w:p>
        </w:tc>
        <w:tc>
          <w:tcPr>
            <w:tcW w:type="dxa" w:w="3120"/>
          </w:tcPr>
          <w:p>
            <w:pPr>
              <w:keepNext w:val="0"/>
              <w:spacing w:line="240" w:lineRule="auto"/>
              <w:ind w:firstLine="0"/>
            </w:pPr>
            <w:r>
              <w:rPr>
                <w:b w:val="0"/>
                <w:sz w:val="22"/>
              </w:rPr>
              <w:t>Entrada y salida reguladas</w:t>
            </w:r>
          </w:p>
        </w:tc>
      </w:tr>
      <w:tr>
        <w:trPr>
          <w:cantSplit/>
        </w:trPr>
        <w:tc>
          <w:tcPr>
            <w:tcW w:type="dxa" w:w="3120"/>
          </w:tcPr>
          <w:p>
            <w:pPr>
              <w:keepNext w:val="0"/>
              <w:spacing w:line="240" w:lineRule="auto"/>
              <w:ind w:firstLine="0"/>
            </w:pPr>
            <w:r>
              <w:rPr>
                <w:b w:val="0"/>
                <w:sz w:val="22"/>
              </w:rPr>
              <w:t>Respuesta de actuadores</w:t>
            </w:r>
          </w:p>
        </w:tc>
        <w:tc>
          <w:tcPr>
            <w:tcW w:type="dxa" w:w="3120"/>
          </w:tcPr>
          <w:p>
            <w:pPr>
              <w:keepNext w:val="0"/>
              <w:spacing w:line="240" w:lineRule="auto"/>
              <w:ind w:firstLine="0"/>
            </w:pPr>
            <w:r>
              <w:rPr>
                <w:b w:val="0"/>
                <w:sz w:val="22"/>
              </w:rPr>
              <w:t>30 s</w:t>
            </w:r>
          </w:p>
        </w:tc>
        <w:tc>
          <w:tcPr>
            <w:tcW w:type="dxa" w:w="3120"/>
          </w:tcPr>
          <w:p>
            <w:pPr>
              <w:keepNext w:val="0"/>
              <w:spacing w:line="240" w:lineRule="auto"/>
              <w:ind w:firstLine="0"/>
            </w:pPr>
            <w:r>
              <w:rPr>
                <w:b w:val="0"/>
                <w:sz w:val="22"/>
              </w:rPr>
              <w:t>Constante de tiempo de cada grupo</w:t>
            </w:r>
          </w:p>
        </w:tc>
      </w:tr>
      <w:tr>
        <w:trPr>
          <w:cantSplit/>
        </w:trPr>
        <w:tc>
          <w:tcPr>
            <w:tcW w:type="dxa" w:w="3120"/>
          </w:tcPr>
          <w:p>
            <w:pPr>
              <w:keepNext w:val="0"/>
              <w:spacing w:line="240" w:lineRule="auto"/>
              <w:ind w:firstLine="0"/>
            </w:pPr>
            <w:r>
              <w:rPr>
                <w:b w:val="0"/>
                <w:sz w:val="22"/>
              </w:rPr>
              <w:t>Muestreo de control</w:t>
            </w:r>
          </w:p>
        </w:tc>
        <w:tc>
          <w:tcPr>
            <w:tcW w:type="dxa" w:w="3120"/>
          </w:tcPr>
          <w:p>
            <w:pPr>
              <w:keepNext w:val="0"/>
              <w:spacing w:line="240" w:lineRule="auto"/>
              <w:ind w:firstLine="0"/>
            </w:pPr>
            <w:r>
              <w:rPr>
                <w:b w:val="0"/>
                <w:sz w:val="22"/>
              </w:rPr>
              <w:t>60 s</w:t>
            </w:r>
          </w:p>
        </w:tc>
        <w:tc>
          <w:tcPr>
            <w:tcW w:type="dxa" w:w="3120"/>
          </w:tcPr>
          <w:p>
            <w:pPr>
              <w:keepNext w:val="0"/>
              <w:spacing w:line="240" w:lineRule="auto"/>
              <w:ind w:firstLine="0"/>
            </w:pPr>
            <w:r>
              <w:rPr>
                <w:b w:val="0"/>
                <w:sz w:val="22"/>
              </w:rPr>
              <w:t>Intervalo entre decisiones</w:t>
            </w:r>
          </w:p>
        </w:tc>
      </w:tr>
      <w:tr>
        <w:trPr>
          <w:cantSplit/>
        </w:trPr>
        <w:tc>
          <w:tcPr>
            <w:tcW w:type="dxa" w:w="3120"/>
          </w:tcPr>
          <w:p>
            <w:pPr>
              <w:keepNext w:val="0"/>
              <w:spacing w:line="240" w:lineRule="auto"/>
              <w:ind w:firstLine="0"/>
            </w:pPr>
            <w:r>
              <w:rPr>
                <w:b w:val="0"/>
                <w:sz w:val="22"/>
              </w:rPr>
              <w:t>Horizonte nominal</w:t>
            </w:r>
          </w:p>
        </w:tc>
        <w:tc>
          <w:tcPr>
            <w:tcW w:type="dxa" w:w="3120"/>
          </w:tcPr>
          <w:p>
            <w:pPr>
              <w:keepNext w:val="0"/>
              <w:spacing w:line="240" w:lineRule="auto"/>
              <w:ind w:firstLine="0"/>
            </w:pPr>
            <w:r>
              <w:rPr>
                <w:b w:val="0"/>
                <w:sz w:val="22"/>
              </w:rPr>
              <w:t>48 h</w:t>
            </w:r>
          </w:p>
        </w:tc>
        <w:tc>
          <w:tcPr>
            <w:tcW w:type="dxa" w:w="3120"/>
          </w:tcPr>
          <w:p>
            <w:pPr>
              <w:keepNext w:val="0"/>
              <w:spacing w:line="240" w:lineRule="auto"/>
              <w:ind w:firstLine="0"/>
            </w:pPr>
            <w:r>
              <w:rPr>
                <w:b w:val="0"/>
                <w:sz w:val="22"/>
              </w:rPr>
              <w:t>Duración del escenario principal</w:t>
            </w:r>
          </w:p>
        </w:tc>
      </w:tr>
      <w:tr>
        <w:trPr>
          <w:cantSplit/>
        </w:trPr>
        <w:tc>
          <w:tcPr>
            <w:tcW w:type="dxa" w:w="3120"/>
            <w:tcBorders>
              <w:bottom w:val="single" w:sz="6"/>
            </w:tcBorders>
          </w:tcPr>
          <w:p>
            <w:pPr>
              <w:keepNext w:val="0"/>
              <w:spacing w:line="240" w:lineRule="auto"/>
              <w:ind w:firstLine="0"/>
            </w:pPr>
            <w:r>
              <w:rPr>
                <w:b w:val="0"/>
                <w:sz w:val="22"/>
              </w:rPr>
              <w:t>Presión y salinidad</w:t>
            </w:r>
          </w:p>
        </w:tc>
        <w:tc>
          <w:tcPr>
            <w:tcW w:type="dxa" w:w="3120"/>
            <w:tcBorders>
              <w:bottom w:val="single" w:sz="6"/>
            </w:tcBorders>
          </w:tcPr>
          <w:p>
            <w:pPr>
              <w:keepNext w:val="0"/>
              <w:spacing w:line="240" w:lineRule="auto"/>
              <w:ind w:firstLine="0"/>
            </w:pPr>
            <w:r>
              <w:rPr>
                <w:b w:val="0"/>
                <w:sz w:val="22"/>
              </w:rPr>
              <w:t>101325 Pa y 0 ‰</w:t>
            </w:r>
          </w:p>
        </w:tc>
        <w:tc>
          <w:tcPr>
            <w:tcW w:type="dxa" w:w="3120"/>
            <w:tcBorders>
              <w:bottom w:val="single" w:sz="6"/>
            </w:tcBorders>
          </w:tcPr>
          <w:p>
            <w:pPr>
              <w:keepNext w:val="0"/>
              <w:spacing w:line="240" w:lineRule="auto"/>
              <w:ind w:firstLine="0"/>
            </w:pPr>
            <w:r>
              <w:rPr>
                <w:b w:val="0"/>
                <w:sz w:val="22"/>
              </w:rPr>
              <w:t>Condiciones del caso nominal</w:t>
            </w:r>
          </w:p>
        </w:tc>
      </w:tr>
    </w:tbl>
    <w:p>
      <w:pPr>
        <w:ind w:firstLine="0"/>
      </w:pPr>
      <w:r>
        <w:t>Nota. Elaboración propia. Son valores de configuración y aproximaciones declaradas; no especificaciones de equipos adquiridos ni resultados experimentales.</w:t>
      </w:r>
    </w:p>
    <w:p>
      <w:pPr>
        <w:pStyle w:val="Heading2"/>
      </w:pPr>
      <w:r>
        <w:t>5.8 Sensores y actuadores virtuales</w:t>
      </w:r>
    </w:p>
    <w:p>
      <w:r>
        <w:t>La medición de cada variable se obtiene mediante estado, sesgo y ruido:</w:t>
      </w:r>
    </w:p>
    <w:p>
      <w:pPr>
        <w:ind w:firstLine="0"/>
        <w:jc w:val="center"/>
      </w:pPr>
      <m:oMath>
        <m:r>
          <w:rPr>
            <w:sz w:val="24"/>
          </w:rPr>
          <m:t xml:space="preserve">y(j,k) = xj(tk) + bj(k) + σj ε(j,k)</m:t>
        </m:r>
      </m:oMath>
    </w:p>
    <w:p>
      <w:r>
        <w:t>Las desviaciones estándar propuestas son 0.03 °C, 0.02 mg/L, 0.01 de pH, 0.1 NTU y 0.002 m. El ruido estándar se limita a tres desviaciones antes de escalarlo. Se guarda la tabla completa de ruido para reutilizarla entre estrategias. Esta limitación afecta a la señal virtual de medición, no al estado del agua.</w:t>
      </w:r>
    </w:p>
    <w:p>
      <w:r>
        <w:t>La pérdida de lectura produce un dato ausente. Un sesgo o una congelación plausibles no se declaran detectados automáticamente. En lazo cerrado, una lectura requerida inválida termina el experimento antes de otra decisión; en lazo abierto, una lectura meramente observacional inválida no modifica la orden programada.</w:t>
      </w:r>
    </w:p>
    <w:p>
      <w:r>
        <w:t>La respuesta de los actuadores se define mediante:</w:t>
      </w:r>
    </w:p>
    <w:p>
      <w:pPr>
        <w:ind w:firstLine="0"/>
        <w:jc w:val="center"/>
      </w:pPr>
      <m:oMath>
        <m:f>
          <m:num>
            <m:r>
              <w:rPr>
                <w:sz w:val="24"/>
              </w:rPr>
              <m:t xml:space="preserve">dzj</m:t>
            </m:r>
          </m:num>
          <m:den>
            <m:r>
              <w:rPr>
                <w:sz w:val="24"/>
              </w:rPr>
              <m:t xml:space="preserve">dt</m:t>
            </m:r>
          </m:den>
        </m:f>
        <m:r>
          <w:rPr>
            <w:sz w:val="24"/>
          </w:rPr>
          <m:t xml:space="preserve"> = (vj − zj)/τj</m:t>
        </m:r>
      </m:oMath>
    </w:p>
    <w:p>
      <w:r>
        <w:t>Un estado firmado permite pasar progresivamente entre dos sentidos sin activar acciones opuestas al mismo tiempo. Las disponibilidades de los equipos virtuales multiplican la acción efectiva y permiten representar fallos. Las acciones se registran con límites y tiempos de respuesta; no se asigna directamente la referencia a la variable controlada.</w:t>
      </w:r>
    </w:p>
    <w:p>
      <w:pPr>
        <w:pStyle w:val="Heading2"/>
      </w:pPr>
      <w:r>
        <w:t>5.9 Estrategias de control</w:t>
      </w:r>
    </w:p>
    <w:p>
      <w:r>
        <w:t>Se adopta control cerrado por histéresis. La documentación de MathWorks (s. f.) describe el uso de umbrales diferentes de activación y desactivación para representar este comportamiento. La fuente se utiliza como apoyo conceptual; la aplicación conserva el conjunto tecnológico Python aprobado.</w:t>
      </w:r>
    </w:p>
    <w:p>
      <w:pPr>
        <w:keepNext/>
        <w:ind w:firstLine="0"/>
      </w:pPr>
      <w:r>
        <w:rPr>
          <w:b/>
        </w:rPr>
        <w:t>Tabla 6</w:t>
      </w:r>
    </w:p>
    <w:p>
      <w:pPr>
        <w:keepNext/>
        <w:ind w:firstLine="0"/>
      </w:pPr>
      <w:r>
        <w:rPr>
          <w:i/>
        </w:rPr>
        <w:t>Reglas principales del controlador cerrado</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Grupo</w:t>
            </w:r>
          </w:p>
        </w:tc>
        <w:tc>
          <w:tcPr>
            <w:tcW w:type="dxa" w:w="3120"/>
            <w:tcBorders>
              <w:top w:val="single" w:sz="6"/>
              <w:bottom w:val="single" w:sz="6"/>
            </w:tcBorders>
          </w:tcPr>
          <w:p>
            <w:pPr>
              <w:keepNext w:val="0"/>
              <w:spacing w:line="240" w:lineRule="auto"/>
              <w:ind w:firstLine="0"/>
            </w:pPr>
            <w:r>
              <w:rPr>
                <w:b/>
                <w:sz w:val="22"/>
              </w:rPr>
              <w:t>Activación desde reposo</w:t>
            </w:r>
          </w:p>
        </w:tc>
        <w:tc>
          <w:tcPr>
            <w:tcW w:type="dxa" w:w="3120"/>
            <w:tcBorders>
              <w:top w:val="single" w:sz="6"/>
              <w:bottom w:val="single" w:sz="6"/>
            </w:tcBorders>
          </w:tcPr>
          <w:p>
            <w:pPr>
              <w:keepNext w:val="0"/>
              <w:spacing w:line="240" w:lineRule="auto"/>
              <w:ind w:firstLine="0"/>
            </w:pPr>
            <w:r>
              <w:rPr>
                <w:b/>
                <w:sz w:val="22"/>
              </w:rPr>
              <w:t>Desactivación</w:t>
            </w:r>
          </w:p>
        </w:tc>
      </w:tr>
      <w:tr>
        <w:trPr>
          <w:cantSplit/>
        </w:trPr>
        <w:tc>
          <w:tcPr>
            <w:tcW w:type="dxa" w:w="3120"/>
          </w:tcPr>
          <w:p>
            <w:pPr>
              <w:keepNext w:val="0"/>
              <w:spacing w:line="240" w:lineRule="auto"/>
              <w:ind w:firstLine="0"/>
            </w:pPr>
            <w:r>
              <w:rPr>
                <w:b w:val="0"/>
                <w:sz w:val="22"/>
              </w:rPr>
              <w:t>Temperatura</w:t>
            </w:r>
          </w:p>
        </w:tc>
        <w:tc>
          <w:tcPr>
            <w:tcW w:type="dxa" w:w="3120"/>
          </w:tcPr>
          <w:p>
            <w:pPr>
              <w:keepNext w:val="0"/>
              <w:spacing w:line="240" w:lineRule="auto"/>
              <w:ind w:firstLine="0"/>
            </w:pPr>
            <w:r>
              <w:rPr>
                <w:b w:val="0"/>
                <w:sz w:val="22"/>
              </w:rPr>
              <w:t>Desviación superior a 0.3 °C en el sentido correspondiente</w:t>
            </w:r>
          </w:p>
        </w:tc>
        <w:tc>
          <w:tcPr>
            <w:tcW w:type="dxa" w:w="3120"/>
          </w:tcPr>
          <w:p>
            <w:pPr>
              <w:keepNext w:val="0"/>
              <w:spacing w:line="240" w:lineRule="auto"/>
              <w:ind w:firstLine="0"/>
            </w:pPr>
            <w:r>
              <w:rPr>
                <w:b w:val="0"/>
                <w:sz w:val="22"/>
              </w:rPr>
              <w:t>Al alcanzar la referencia</w:t>
            </w:r>
          </w:p>
        </w:tc>
      </w:tr>
      <w:tr>
        <w:trPr>
          <w:cantSplit/>
        </w:trPr>
        <w:tc>
          <w:tcPr>
            <w:tcW w:type="dxa" w:w="3120"/>
          </w:tcPr>
          <w:p>
            <w:pPr>
              <w:keepNext w:val="0"/>
              <w:spacing w:line="240" w:lineRule="auto"/>
              <w:ind w:firstLine="0"/>
            </w:pPr>
            <w:r>
              <w:rPr>
                <w:b w:val="0"/>
                <w:sz w:val="22"/>
              </w:rPr>
              <w:t>pH</w:t>
            </w:r>
          </w:p>
        </w:tc>
        <w:tc>
          <w:tcPr>
            <w:tcW w:type="dxa" w:w="3120"/>
          </w:tcPr>
          <w:p>
            <w:pPr>
              <w:keepNext w:val="0"/>
              <w:spacing w:line="240" w:lineRule="auto"/>
              <w:ind w:firstLine="0"/>
            </w:pPr>
            <w:r>
              <w:rPr>
                <w:b w:val="0"/>
                <w:sz w:val="22"/>
              </w:rPr>
              <w:t>Desviación superior a 0.15</w:t>
            </w:r>
          </w:p>
        </w:tc>
        <w:tc>
          <w:tcPr>
            <w:tcW w:type="dxa" w:w="3120"/>
          </w:tcPr>
          <w:p>
            <w:pPr>
              <w:keepNext w:val="0"/>
              <w:spacing w:line="240" w:lineRule="auto"/>
              <w:ind w:firstLine="0"/>
            </w:pPr>
            <w:r>
              <w:rPr>
                <w:b w:val="0"/>
                <w:sz w:val="22"/>
              </w:rPr>
              <w:t>Al alcanzar la referencia</w:t>
            </w:r>
          </w:p>
        </w:tc>
      </w:tr>
      <w:tr>
        <w:trPr>
          <w:cantSplit/>
        </w:trPr>
        <w:tc>
          <w:tcPr>
            <w:tcW w:type="dxa" w:w="3120"/>
          </w:tcPr>
          <w:p>
            <w:pPr>
              <w:keepNext w:val="0"/>
              <w:spacing w:line="240" w:lineRule="auto"/>
              <w:ind w:firstLine="0"/>
            </w:pPr>
            <w:r>
              <w:rPr>
                <w:b w:val="0"/>
                <w:sz w:val="22"/>
              </w:rPr>
              <w:t>Nivel</w:t>
            </w:r>
          </w:p>
        </w:tc>
        <w:tc>
          <w:tcPr>
            <w:tcW w:type="dxa" w:w="3120"/>
          </w:tcPr>
          <w:p>
            <w:pPr>
              <w:keepNext w:val="0"/>
              <w:spacing w:line="240" w:lineRule="auto"/>
              <w:ind w:firstLine="0"/>
            </w:pPr>
            <w:r>
              <w:rPr>
                <w:b w:val="0"/>
                <w:sz w:val="22"/>
              </w:rPr>
              <w:t>Desviación superior a 0.03 m</w:t>
            </w:r>
          </w:p>
        </w:tc>
        <w:tc>
          <w:tcPr>
            <w:tcW w:type="dxa" w:w="3120"/>
          </w:tcPr>
          <w:p>
            <w:pPr>
              <w:keepNext w:val="0"/>
              <w:spacing w:line="240" w:lineRule="auto"/>
              <w:ind w:firstLine="0"/>
            </w:pPr>
            <w:r>
              <w:rPr>
                <w:b w:val="0"/>
                <w:sz w:val="22"/>
              </w:rPr>
              <w:t>Al alcanzar la referencia</w:t>
            </w:r>
          </w:p>
        </w:tc>
      </w:tr>
      <w:tr>
        <w:trPr>
          <w:cantSplit/>
        </w:trPr>
        <w:tc>
          <w:tcPr>
            <w:tcW w:type="dxa" w:w="3120"/>
          </w:tcPr>
          <w:p>
            <w:pPr>
              <w:keepNext w:val="0"/>
              <w:spacing w:line="240" w:lineRule="auto"/>
              <w:ind w:firstLine="0"/>
            </w:pPr>
            <w:r>
              <w:rPr>
                <w:b w:val="0"/>
                <w:sz w:val="22"/>
              </w:rPr>
              <w:t>Aireación</w:t>
            </w:r>
          </w:p>
        </w:tc>
        <w:tc>
          <w:tcPr>
            <w:tcW w:type="dxa" w:w="3120"/>
          </w:tcPr>
          <w:p>
            <w:pPr>
              <w:keepNext w:val="0"/>
              <w:spacing w:line="240" w:lineRule="auto"/>
              <w:ind w:firstLine="0"/>
            </w:pPr>
            <w:r>
              <w:rPr>
                <w:b w:val="0"/>
                <w:sz w:val="22"/>
              </w:rPr>
              <w:t>Lectura menor o igual a referencia menos 0.2 mg/L</w:t>
            </w:r>
          </w:p>
        </w:tc>
        <w:tc>
          <w:tcPr>
            <w:tcW w:type="dxa" w:w="3120"/>
          </w:tcPr>
          <w:p>
            <w:pPr>
              <w:keepNext w:val="0"/>
              <w:spacing w:line="240" w:lineRule="auto"/>
              <w:ind w:firstLine="0"/>
            </w:pPr>
            <w:r>
              <w:rPr>
                <w:b w:val="0"/>
                <w:sz w:val="22"/>
              </w:rPr>
              <w:t>Lectura mayor o igual a referencia más 0.2 mg/L</w:t>
            </w:r>
          </w:p>
        </w:tc>
      </w:tr>
      <w:tr>
        <w:trPr>
          <w:cantSplit/>
        </w:trPr>
        <w:tc>
          <w:tcPr>
            <w:tcW w:type="dxa" w:w="3120"/>
            <w:tcBorders>
              <w:bottom w:val="single" w:sz="6"/>
            </w:tcBorders>
          </w:tcPr>
          <w:p>
            <w:pPr>
              <w:keepNext w:val="0"/>
              <w:spacing w:line="240" w:lineRule="auto"/>
              <w:ind w:firstLine="0"/>
            </w:pPr>
            <w:r>
              <w:rPr>
                <w:b w:val="0"/>
                <w:sz w:val="22"/>
              </w:rPr>
              <w:t>Filtración</w:t>
            </w:r>
          </w:p>
        </w:tc>
        <w:tc>
          <w:tcPr>
            <w:tcW w:type="dxa" w:w="3120"/>
            <w:tcBorders>
              <w:bottom w:val="single" w:sz="6"/>
            </w:tcBorders>
          </w:tcPr>
          <w:p>
            <w:pPr>
              <w:keepNext w:val="0"/>
              <w:spacing w:line="240" w:lineRule="auto"/>
              <w:ind w:firstLine="0"/>
            </w:pPr>
            <w:r>
              <w:rPr>
                <w:b w:val="0"/>
                <w:sz w:val="22"/>
              </w:rPr>
              <w:t>Lectura mayor o igual a 15 NTU</w:t>
            </w:r>
          </w:p>
        </w:tc>
        <w:tc>
          <w:tcPr>
            <w:tcW w:type="dxa" w:w="3120"/>
            <w:tcBorders>
              <w:bottom w:val="single" w:sz="6"/>
            </w:tcBorders>
          </w:tcPr>
          <w:p>
            <w:pPr>
              <w:keepNext w:val="0"/>
              <w:spacing w:line="240" w:lineRule="auto"/>
              <w:ind w:firstLine="0"/>
            </w:pPr>
            <w:r>
              <w:rPr>
                <w:b w:val="0"/>
                <w:sz w:val="22"/>
              </w:rPr>
              <w:t>Lectura menor o igual a 10 NTU</w:t>
            </w:r>
          </w:p>
        </w:tc>
      </w:tr>
    </w:tbl>
    <w:p>
      <w:pPr>
        <w:ind w:firstLine="0"/>
      </w:pPr>
      <w:r>
        <w:t>Nota. Se conserva el modo entre umbrales. Las reglas exactas de igualdad, inicialización y cambio de sentido se encuentran en la especificación matemática. No se incorpora acción integral ni se requieren ganancias PID para esta versión.</w:t>
      </w:r>
    </w:p>
    <w:p>
      <w:r>
        <w:t>El lazo abierto de comparación se calibra para el equilibrio nominal, sin ciclo ambiental ni alimentación. Sus comandos constantes compensan las pérdidas y demandas del caso base. Ambos modos reciben el mismo estado inicial y la misma realización externa; la diferencia autorizada reside en la estrategia y sus parámetros. Así, la comparación examina la capacidad de corrección frente a condiciones que cambian, sin partir de una estrategia abierta arbitrariamente inactiva.</w:t>
      </w:r>
    </w:p>
    <w:p>
      <w:pPr>
        <w:pStyle w:val="Heading2"/>
      </w:pPr>
      <w:r>
        <w:t>5.10 Integración y orden temporal</w:t>
      </w:r>
    </w:p>
    <w:p>
      <w:r>
        <w:t>La evolución se resolverá mediante RK45, con tolerancia relativa de 1e−7 y tolerancias absolutas por estado. El paso interno máximo será de 10 s o un sexto del intervalo de control, el menor. La documentación de SciPy explica el uso de tolerancias y métodos para problemas de valor inicial (SciPy, s. f.); sus valores concretos corresponden al diseño propuesto.</w:t>
      </w:r>
    </w:p>
    <w:p>
      <w:r>
        <w:t>Las perturbaciones y los fallos se alinearán con la malla de control y usarán intervalos con inicio incluido y fin excluido. La temperatura ambiental podrá variar de forma continua dentro de cada integración. No se generará nuevo ruido en los pasos internos del integrador.</w:t>
      </w:r>
    </w:p>
    <w:p>
      <w:r>
        <w:t>Al completar 48 h con decisiones cada 60 s, se esperan 2880 intervalos y 2881 muestras, incluida la final. Una muestra se produce una sola vez y se reutiliza al comenzar el siguiente avance. Los registros se confirman mediante transacción; un refresco o un comando repetido no añade integración. Las salidas del dominio se conservarán como fallos con causa y estado de terminación.</w:t>
      </w:r>
    </w:p>
    <w:p>
      <w:pPr>
        <w:pStyle w:val="Heading2"/>
      </w:pPr>
      <w:r>
        <w:t>5.11 Indicadores y criterios de aceptación</w:t>
      </w:r>
    </w:p>
    <w:p>
      <w:r>
        <w:t>La evaluación distinguirá error integrado, tiempo fuera de banda, recuperación, uso de agua, actividad virtual de pH y energía parcial estimada. Los indicadores basados en el estado exacto se separarán de los basados en mediciones. La suma comparativa de errores se normalizará antes de combinar unidades diferentes.</w:t>
      </w:r>
    </w:p>
    <w:p>
      <w:r>
        <w:t>La recuperación se define como la primera muestra en banda seguida de 1800 s consecutivos dentro de ella. Para el escenario S2, se propone que las cinco variables recuperen su banda antes de cuatro horas, permanezcan dentro al menos el 95 % del tramo posterior evaluado y que el error normalizado conjunto del cerrado sea al menos 20 % menor que el del abierto. Son criterios de aceptación aprobados; los resultados de S2 que los contrastan se presentan en el capítulo VII.</w:t>
      </w:r>
    </w:p>
    <w:p>
      <w:r>
        <w:t>El plan contiene 20 casos, desde soluciones analíticas aisladas hasta fallos, persistencia, repetición y refinamiento numérico. Como ejemplo de comprobación algebraica, aplicar 10000 W durante una hora a 10 m³, sin otros términos, implica un aumento aproximado de 0.860010 °C. El caso AC04 contrasta ese resultado con el programa; la evidencia se describe en el capítulo VII.</w:t>
      </w:r>
    </w:p>
    <w:p>
      <w:r>
        <w:t>El requisito de rendimiento se concreta en una carga de 48 h, registro local y tres repeticiones, con mediana objetivo de hasta 60 s en el equipo de referencia definido. Se registrarán hardware y versiones. Esa meta no acredita velocidad observada ni se trasladará a cualquier computadora.</w:t>
      </w:r>
    </w:p>
    <w:p>
      <w:pPr>
        <w:pStyle w:val="Heading2"/>
      </w:pPr>
      <w:r>
        <w:t>5.12 Limitaciones y validación posterior</w:t>
      </w:r>
    </w:p>
    <w:p>
      <w:r>
        <w:t>La especificación permite construir casos reproducibles y comprobar su consistencia. La evidencia del capítulo VII acredita comportamientos concretos del simulador y conserva las correcciones pendientes. Los límites demostrativos, los coeficientes compartidos entre especies y las aproximaciones de pH y turbidez impiden atribuir precisión productiva a los resultados.</w:t>
      </w:r>
    </w:p>
    <w:p>
      <w:r>
        <w:t>Las pruebas aportadas por Codex y su revisión permiten verificar aspectos de la implementación, la integración numérica y las metas en los casos ejecutados. Validar el comportamiento frente a un estanque real requeriría datos de campo y calibración adicional. Si una prueba no cumple un criterio, se revisará la formulación o el diseño mediante una nueva versión documentada; no se presentará el fallo como un resultado satisfactorio.</w:t>
      </w:r>
    </w:p>
    <w:p>
      <w:pPr>
        <w:pStyle w:val="Heading1"/>
        <w:pageBreakBefore/>
      </w:pPr>
      <w:r>
        <w:t>Capítulo VI Diseño de la implementación</w:t>
      </w:r>
    </w:p>
    <w:p>
      <w:pPr>
        <w:pStyle w:val="Heading2"/>
      </w:pPr>
      <w:r>
        <w:t>6.1 Propósito y herramientas</w:t>
      </w:r>
    </w:p>
    <w:p>
      <w:r>
        <w:t>El diseño de implementación convierte el modelo aprobado en responsabilidades de software verificables. La implementación utiliza Python; NumPy y SciPy resuelven el cálculo numérico, Streamlit presenta la interfaz, Pandas y Plotly organizan y muestran resultados, SQLite conserva el historial y Pytest automatiza comprobaciones. Esta distribución responde al alcance digital del proyecto y mantiene las tecnologías acordadas.</w:t>
      </w:r>
    </w:p>
    <w:p>
      <w:r>
        <w:t>Codex documenta Python 3.12.14, NumPy 2.3.5, SciPy 1.17.0, Streamlit 1.66.0, Pandas 2.2.3, Plotly 7.1.0 y Pytest 9.1.1 en Debian 13.6. Aporta archivos de dependencias e instrucciones de instalación. Las comprobaciones corresponden al entorno declarado y no acreditan compatibilidad con Windows ni rendimiento en el equipo local del estudiante (Codex, 2026b).</w:t>
      </w:r>
    </w:p>
    <w:p>
      <w:pPr>
        <w:pStyle w:val="Heading2"/>
      </w:pPr>
      <w:r>
        <w:t>6.2 Organización del software</w:t>
      </w:r>
    </w:p>
    <w:p>
      <w:r>
        <w:t>La arquitectura separará presentación, aplicación, dominio e infraestructura. El dominio contendrá las ecuaciones, los sensores virtuales, los actuadores, las estrategias de control y los indicadores. La aplicación coordinará las operaciones de preparar, avanzar, pausar, detener, comparar y exportar. La infraestructura implementará el almacenamiento y los formatos de intercambio. La presentación utilizará los resultados confirmados para mostrar información y recibir comandos.</w:t>
      </w:r>
    </w:p>
    <w:p>
      <w:r>
        <w:t>La separación permitirá ejecutar el núcleo sin abrir la interfaz y probar las reglas de control con entradas conocidas. El modelo no dependerá de Streamlit ni de la base de datos. Los nombres de módulos son una propuesta de organización; Codex documentará las rutas efectivas y cualquier adaptación que conserve las responsabilidades e invariantes aprobadas.</w:t>
      </w:r>
    </w:p>
    <w:p>
      <w:pPr>
        <w:keepNext/>
        <w:ind w:firstLine="0"/>
      </w:pPr>
      <w:r>
        <w:rPr>
          <w:b/>
        </w:rPr>
        <w:t>Tabla 7</w:t>
      </w:r>
    </w:p>
    <w:p>
      <w:pPr>
        <w:keepNext/>
        <w:ind w:firstLine="0"/>
      </w:pPr>
      <w:r>
        <w:rPr>
          <w:i/>
        </w:rPr>
        <w:t>Responsabilidades de los grupos de módulos</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tcBorders>
              <w:top w:val="single" w:sz="6"/>
              <w:bottom w:val="single" w:sz="6"/>
            </w:tcBorders>
          </w:tcPr>
          <w:p>
            <w:pPr>
              <w:keepNext w:val="0"/>
              <w:spacing w:line="240" w:lineRule="auto"/>
              <w:ind w:firstLine="0"/>
            </w:pPr>
            <w:r>
              <w:rPr>
                <w:b/>
                <w:sz w:val="22"/>
              </w:rPr>
              <w:t>Grupo</w:t>
            </w:r>
          </w:p>
        </w:tc>
        <w:tc>
          <w:tcPr>
            <w:tcW w:type="dxa" w:w="3120"/>
            <w:tcBorders>
              <w:top w:val="single" w:sz="6"/>
              <w:bottom w:val="single" w:sz="6"/>
            </w:tcBorders>
          </w:tcPr>
          <w:p>
            <w:pPr>
              <w:keepNext w:val="0"/>
              <w:spacing w:line="240" w:lineRule="auto"/>
              <w:ind w:firstLine="0"/>
            </w:pPr>
            <w:r>
              <w:rPr>
                <w:b/>
                <w:sz w:val="22"/>
              </w:rPr>
              <w:t>Responsabilidad</w:t>
            </w:r>
          </w:p>
        </w:tc>
        <w:tc>
          <w:tcPr>
            <w:tcW w:type="dxa" w:w="3120"/>
            <w:tcBorders>
              <w:top w:val="single" w:sz="6"/>
              <w:bottom w:val="single" w:sz="6"/>
            </w:tcBorders>
          </w:tcPr>
          <w:p>
            <w:pPr>
              <w:keepNext w:val="0"/>
              <w:spacing w:line="240" w:lineRule="auto"/>
              <w:ind w:firstLine="0"/>
            </w:pPr>
            <w:r>
              <w:rPr>
                <w:b/>
                <w:sz w:val="22"/>
              </w:rPr>
              <w:t>Resultado verificable</w:t>
            </w:r>
          </w:p>
        </w:tc>
      </w:tr>
      <w:tr>
        <w:trPr>
          <w:cantSplit/>
        </w:trPr>
        <w:tc>
          <w:tcPr>
            <w:tcW w:type="dxa" w:w="3120"/>
          </w:tcPr>
          <w:p>
            <w:pPr>
              <w:keepNext w:val="0"/>
              <w:spacing w:line="240" w:lineRule="auto"/>
              <w:ind w:firstLine="0"/>
            </w:pPr>
            <w:r>
              <w:rPr>
                <w:b w:val="0"/>
                <w:sz w:val="22"/>
              </w:rPr>
              <w:t>Configuración y perfiles</w:t>
            </w:r>
          </w:p>
        </w:tc>
        <w:tc>
          <w:tcPr>
            <w:tcW w:type="dxa" w:w="3120"/>
          </w:tcPr>
          <w:p>
            <w:pPr>
              <w:keepNext w:val="0"/>
              <w:spacing w:line="240" w:lineRule="auto"/>
              <w:ind w:firstLine="0"/>
            </w:pPr>
            <w:r>
              <w:rPr>
                <w:b w:val="0"/>
                <w:sz w:val="22"/>
              </w:rPr>
              <w:t>Validar, identificar procedencia y congelar valores</w:t>
            </w:r>
          </w:p>
        </w:tc>
        <w:tc>
          <w:tcPr>
            <w:tcW w:type="dxa" w:w="3120"/>
          </w:tcPr>
          <w:p>
            <w:pPr>
              <w:keepNext w:val="0"/>
              <w:spacing w:line="240" w:lineRule="auto"/>
              <w:ind w:firstLine="0"/>
            </w:pPr>
            <w:r>
              <w:rPr>
                <w:b w:val="0"/>
                <w:sz w:val="22"/>
              </w:rPr>
              <w:t>Copia completa por corrida</w:t>
            </w:r>
          </w:p>
        </w:tc>
      </w:tr>
      <w:tr>
        <w:trPr>
          <w:cantSplit/>
        </w:trPr>
        <w:tc>
          <w:tcPr>
            <w:tcW w:type="dxa" w:w="3120"/>
          </w:tcPr>
          <w:p>
            <w:pPr>
              <w:keepNext w:val="0"/>
              <w:spacing w:line="240" w:lineRule="auto"/>
              <w:ind w:firstLine="0"/>
            </w:pPr>
            <w:r>
              <w:rPr>
                <w:b w:val="0"/>
                <w:sz w:val="22"/>
              </w:rPr>
              <w:t>Modelo y actuadores</w:t>
            </w:r>
          </w:p>
        </w:tc>
        <w:tc>
          <w:tcPr>
            <w:tcW w:type="dxa" w:w="3120"/>
          </w:tcPr>
          <w:p>
            <w:pPr>
              <w:keepNext w:val="0"/>
              <w:spacing w:line="240" w:lineRule="auto"/>
              <w:ind w:firstLine="0"/>
            </w:pPr>
            <w:r>
              <w:rPr>
                <w:b w:val="0"/>
                <w:sz w:val="22"/>
              </w:rPr>
              <w:t>Integrar los diez estados y obtener las ocho acciones efectivas</w:t>
            </w:r>
          </w:p>
        </w:tc>
        <w:tc>
          <w:tcPr>
            <w:tcW w:type="dxa" w:w="3120"/>
          </w:tcPr>
          <w:p>
            <w:pPr>
              <w:keepNext w:val="0"/>
              <w:spacing w:line="240" w:lineRule="auto"/>
              <w:ind w:firstLine="0"/>
            </w:pPr>
            <w:r>
              <w:rPr>
                <w:b w:val="0"/>
                <w:sz w:val="22"/>
              </w:rPr>
              <w:t>Evolución y límites registrados</w:t>
            </w:r>
          </w:p>
        </w:tc>
      </w:tr>
      <w:tr>
        <w:trPr>
          <w:cantSplit/>
        </w:trPr>
        <w:tc>
          <w:tcPr>
            <w:tcW w:type="dxa" w:w="3120"/>
          </w:tcPr>
          <w:p>
            <w:pPr>
              <w:keepNext w:val="0"/>
              <w:spacing w:line="240" w:lineRule="auto"/>
              <w:ind w:firstLine="0"/>
            </w:pPr>
            <w:r>
              <w:rPr>
                <w:b w:val="0"/>
                <w:sz w:val="22"/>
              </w:rPr>
              <w:t>Sensores y escenarios</w:t>
            </w:r>
          </w:p>
        </w:tc>
        <w:tc>
          <w:tcPr>
            <w:tcW w:type="dxa" w:w="3120"/>
          </w:tcPr>
          <w:p>
            <w:pPr>
              <w:keepNext w:val="0"/>
              <w:spacing w:line="240" w:lineRule="auto"/>
              <w:ind w:firstLine="0"/>
            </w:pPr>
            <w:r>
              <w:rPr>
                <w:b w:val="0"/>
                <w:sz w:val="22"/>
              </w:rPr>
              <w:t>Producir lecturas y aplicar eventos en su instante</w:t>
            </w:r>
          </w:p>
        </w:tc>
        <w:tc>
          <w:tcPr>
            <w:tcW w:type="dxa" w:w="3120"/>
          </w:tcPr>
          <w:p>
            <w:pPr>
              <w:keepNext w:val="0"/>
              <w:spacing w:line="240" w:lineRule="auto"/>
              <w:ind w:firstLine="0"/>
            </w:pPr>
            <w:r>
              <w:rPr>
                <w:b w:val="0"/>
                <w:sz w:val="22"/>
              </w:rPr>
              <w:t>Calidad y realización reproducibles</w:t>
            </w:r>
          </w:p>
        </w:tc>
      </w:tr>
      <w:tr>
        <w:trPr>
          <w:cantSplit/>
        </w:trPr>
        <w:tc>
          <w:tcPr>
            <w:tcW w:type="dxa" w:w="3120"/>
          </w:tcPr>
          <w:p>
            <w:pPr>
              <w:keepNext w:val="0"/>
              <w:spacing w:line="240" w:lineRule="auto"/>
              <w:ind w:firstLine="0"/>
            </w:pPr>
            <w:r>
              <w:rPr>
                <w:b w:val="0"/>
                <w:sz w:val="22"/>
              </w:rPr>
              <w:t>Controladores y alarmas</w:t>
            </w:r>
          </w:p>
        </w:tc>
        <w:tc>
          <w:tcPr>
            <w:tcW w:type="dxa" w:w="3120"/>
          </w:tcPr>
          <w:p>
            <w:pPr>
              <w:keepNext w:val="0"/>
              <w:spacing w:line="240" w:lineRule="auto"/>
              <w:ind w:firstLine="0"/>
            </w:pPr>
            <w:r>
              <w:rPr>
                <w:b w:val="0"/>
                <w:sz w:val="22"/>
              </w:rPr>
              <w:t>Decidir con información permitida y registrar transiciones</w:t>
            </w:r>
          </w:p>
        </w:tc>
        <w:tc>
          <w:tcPr>
            <w:tcW w:type="dxa" w:w="3120"/>
          </w:tcPr>
          <w:p>
            <w:pPr>
              <w:keepNext w:val="0"/>
              <w:spacing w:line="240" w:lineRule="auto"/>
              <w:ind w:firstLine="0"/>
            </w:pPr>
            <w:r>
              <w:rPr>
                <w:b w:val="0"/>
                <w:sz w:val="22"/>
              </w:rPr>
              <w:t>Órdenes y motivos identificables</w:t>
            </w:r>
          </w:p>
        </w:tc>
      </w:tr>
      <w:tr>
        <w:trPr>
          <w:cantSplit/>
        </w:trPr>
        <w:tc>
          <w:tcPr>
            <w:tcW w:type="dxa" w:w="3120"/>
          </w:tcPr>
          <w:p>
            <w:pPr>
              <w:keepNext w:val="0"/>
              <w:spacing w:line="240" w:lineRule="auto"/>
              <w:ind w:firstLine="0"/>
            </w:pPr>
            <w:r>
              <w:rPr>
                <w:b w:val="0"/>
                <w:sz w:val="22"/>
              </w:rPr>
              <w:t>Servicios de simulación y comparación</w:t>
            </w:r>
          </w:p>
        </w:tc>
        <w:tc>
          <w:tcPr>
            <w:tcW w:type="dxa" w:w="3120"/>
          </w:tcPr>
          <w:p>
            <w:pPr>
              <w:keepNext w:val="0"/>
              <w:spacing w:line="240" w:lineRule="auto"/>
              <w:ind w:firstLine="0"/>
            </w:pPr>
            <w:r>
              <w:rPr>
                <w:b w:val="0"/>
                <w:sz w:val="22"/>
              </w:rPr>
              <w:t>Coordinar reloj, comandos y base común</w:t>
            </w:r>
          </w:p>
        </w:tc>
        <w:tc>
          <w:tcPr>
            <w:tcW w:type="dxa" w:w="3120"/>
          </w:tcPr>
          <w:p>
            <w:pPr>
              <w:keepNext w:val="0"/>
              <w:spacing w:line="240" w:lineRule="auto"/>
              <w:ind w:firstLine="0"/>
            </w:pPr>
            <w:r>
              <w:rPr>
                <w:b w:val="0"/>
                <w:sz w:val="22"/>
              </w:rPr>
              <w:t>Avances únicos y comparación trazable</w:t>
            </w:r>
          </w:p>
        </w:tc>
      </w:tr>
      <w:tr>
        <w:trPr>
          <w:cantSplit/>
        </w:trPr>
        <w:tc>
          <w:tcPr>
            <w:tcW w:type="dxa" w:w="3120"/>
          </w:tcPr>
          <w:p>
            <w:pPr>
              <w:keepNext w:val="0"/>
              <w:spacing w:line="240" w:lineRule="auto"/>
              <w:ind w:firstLine="0"/>
            </w:pPr>
            <w:r>
              <w:rPr>
                <w:b w:val="0"/>
                <w:sz w:val="22"/>
              </w:rPr>
              <w:t>Persistencia y exportación</w:t>
            </w:r>
          </w:p>
        </w:tc>
        <w:tc>
          <w:tcPr>
            <w:tcW w:type="dxa" w:w="3120"/>
          </w:tcPr>
          <w:p>
            <w:pPr>
              <w:keepNext w:val="0"/>
              <w:spacing w:line="240" w:lineRule="auto"/>
              <w:ind w:firstLine="0"/>
            </w:pPr>
            <w:r>
              <w:rPr>
                <w:b w:val="0"/>
                <w:sz w:val="22"/>
              </w:rPr>
              <w:t>Guardar lotes atómicos y recuperar historial</w:t>
            </w:r>
          </w:p>
        </w:tc>
        <w:tc>
          <w:tcPr>
            <w:tcW w:type="dxa" w:w="3120"/>
          </w:tcPr>
          <w:p>
            <w:pPr>
              <w:keepNext w:val="0"/>
              <w:spacing w:line="240" w:lineRule="auto"/>
              <w:ind w:firstLine="0"/>
            </w:pPr>
            <w:r>
              <w:rPr>
                <w:b w:val="0"/>
                <w:sz w:val="22"/>
              </w:rPr>
              <w:t>Datos íntegros y archivos identificados</w:t>
            </w:r>
          </w:p>
        </w:tc>
      </w:tr>
      <w:tr>
        <w:trPr>
          <w:cantSplit/>
        </w:trPr>
        <w:tc>
          <w:tcPr>
            <w:tcW w:type="dxa" w:w="3120"/>
            <w:tcBorders>
              <w:bottom w:val="single" w:sz="6"/>
            </w:tcBorders>
          </w:tcPr>
          <w:p>
            <w:pPr>
              <w:keepNext w:val="0"/>
              <w:spacing w:line="240" w:lineRule="auto"/>
              <w:ind w:firstLine="0"/>
            </w:pPr>
            <w:r>
              <w:rPr>
                <w:b w:val="0"/>
                <w:sz w:val="22"/>
              </w:rPr>
              <w:t>Interfaz y gráficos</w:t>
            </w:r>
          </w:p>
        </w:tc>
        <w:tc>
          <w:tcPr>
            <w:tcW w:type="dxa" w:w="3120"/>
            <w:tcBorders>
              <w:bottom w:val="single" w:sz="6"/>
            </w:tcBorders>
          </w:tcPr>
          <w:p>
            <w:pPr>
              <w:keepNext w:val="0"/>
              <w:spacing w:line="240" w:lineRule="auto"/>
              <w:ind w:firstLine="0"/>
            </w:pPr>
            <w:r>
              <w:rPr>
                <w:b w:val="0"/>
                <w:sz w:val="22"/>
              </w:rPr>
              <w:t>Mostrar configuración, ejecución y resultados</w:t>
            </w:r>
          </w:p>
        </w:tc>
        <w:tc>
          <w:tcPr>
            <w:tcW w:type="dxa" w:w="3120"/>
            <w:tcBorders>
              <w:bottom w:val="single" w:sz="6"/>
            </w:tcBorders>
          </w:tcPr>
          <w:p>
            <w:pPr>
              <w:keepNext w:val="0"/>
              <w:spacing w:line="240" w:lineRule="auto"/>
              <w:ind w:firstLine="0"/>
            </w:pPr>
            <w:r>
              <w:rPr>
                <w:b w:val="0"/>
                <w:sz w:val="22"/>
              </w:rPr>
              <w:t>Cinco variables con unidades y estado</w:t>
            </w:r>
          </w:p>
        </w:tc>
      </w:tr>
    </w:tbl>
    <w:p>
      <w:pPr>
        <w:ind w:firstLine="0"/>
      </w:pPr>
      <w:r>
        <w:t>Nota. La tabla conserva el reparto de responsabilidades del diseño. La implementación efectiva se distribuye entre config, model, actuators, control, scenarios, sensors, engine, service, repository, metrics, export, charts y app (Codex, 2026b).</w:t>
      </w:r>
    </w:p>
    <w:p>
      <w:pPr>
        <w:pStyle w:val="Heading2"/>
      </w:pPr>
      <w:r>
        <w:t>6.3 Algoritmo de ejecución</w:t>
      </w:r>
    </w:p>
    <w:p>
      <w:r>
        <w:t>La preparación validará el perfil, la geometría, las referencias, los eventos y las condiciones de integración. Después congelará la configuración, generará la tabla de ruido por índice de muestra y establecerá el estado inicial del agua, la respuesta de los actuadores y la memoria del controlador. La misma realización externa se reutilizará al comparar estrategias.</w:t>
      </w:r>
    </w:p>
    <w:p>
      <w:r>
        <w:t>Cada comando de avance identificará la corrida y el paso esperado. El servicio comprobará primero si ya existe un recibo confirmado para ese comando. En tal caso devolverá el resultado guardado. Si el comando es nuevo y corresponde al paso actual, seguirá el orden temporal de la especificación matemática: eventos aplicables, medición disponible, decisión, integración y preparación de la muestra terminal, con reutilización de esa muestra en el siguiente intervalo. La secuencia exacta y el tratamiento de los extremos se fijan en la sección 13 de MATHEMATICAL_MODEL.</w:t>
      </w:r>
    </w:p>
    <w:p>
      <w:r>
        <w:t>La integración mantendrá constante la orden del controlador durante el intervalo y resolverá la respuesta de los actuadores junto con el agua. Una lectura requerida inválida impedirá calcular una nueva decisión cerrada. Un cruce del dominio conservará el instante y el estado de terminación. El servicio confirmará los registros y el recibo mediante una transacción antes de publicar el avance. La consulta de gráficos o el refresco de la página no ejecutarán este algoritmo.</w:t>
      </w:r>
    </w:p>
    <w:p>
      <w:pPr>
        <w:pStyle w:val="Heading2"/>
      </w:pPr>
      <w:r>
        <w:t>6.4 Diseño de la interfaz</w:t>
      </w:r>
    </w:p>
    <w:p>
      <w:r>
        <w:t>La configuración mostrará especie, fase, procedencia de valores, geometría, condiciones iniciales y escenario. Los errores se asociarán al campo que impida iniciar la corrida. Una modificación posterior exigirá preparar otra corrida para conservar la identidad del experimento y su historial.</w:t>
      </w:r>
    </w:p>
    <w:p>
      <w:r>
        <w:t>La ejecución mostrará el tiempo simulado, las cinco mediciones con sus unidades y calidades, el estado de la corrida y los controles de avance, pausa, continuación y detención. Los gráficos distinguirán el estado exacto y la medición cuando se presenten ambos; incluirán referencias, bandas y acciones efectivas. Las pérdidas de lectura aparecerán como ausencias identificadas y no como valores cero.</w:t>
      </w:r>
    </w:p>
    <w:p>
      <w:r>
        <w:t>La comparación permitirá inspeccionar la base compartida, las diferencias autorizadas, los indicadores por variable y las causas de terminación. El historial permitirá reabrir resultados y exportar configuración y series. Las alarmas mostrarán activación y cese; reconocerlas no modificará el agua. Los textos estarán en español y permitirán interpretar el experimento sin conocer la organización interna del código.</w:t>
      </w:r>
    </w:p>
    <w:p>
      <w:pPr>
        <w:pStyle w:val="Heading2"/>
      </w:pPr>
      <w:r>
        <w:t>6.5 Integración y persistencia</w:t>
      </w:r>
    </w:p>
    <w:p>
      <w:r>
        <w:t>SQLite conservará corridas, muestras, decisiones, acciones, eventos, indicadores, comparaciones y recibos de comandos. Las claves foráneas y las restricciones de unicidad impedirán registros huérfanos o repetidos. Cada lote aceptado deberá guardarse completo o revertirse. Si falla la escritura, la aplicación conservará el último paso confirmado y comunicará la causa sin continuar desde un estado parcial.</w:t>
      </w:r>
    </w:p>
    <w:p>
      <w:r>
        <w:t>La pausa conservará en la sesión el estado del proceso, los actuadores, el controlador y los cursores de muestreo y eventos. La primera versión permitirá consultar el historial tras reiniciar, pero no prometerá reanudar automáticamente una ejecución después de cerrar el proceso. Las corridas huérfanas se distinguirán de las completadas mediante la política de propiedad de ejecución definida en la especificación.</w:t>
      </w:r>
    </w:p>
    <w:p>
      <w:pPr>
        <w:pStyle w:val="Heading2"/>
      </w:pPr>
      <w:r>
        <w:t>6.6 Secuencia de construcción y documentación</w:t>
      </w:r>
    </w:p>
    <w:p>
      <w:r>
        <w:t>La entrega de Codex documenta la construcción del núcleo, servicios, persistencia y presentación y aporta pruebas de componentes e integración (Codex, 2026a). Los hitos de desarrollo no equivalen a aceptación integral: la revisión del capítulo VII identifica defectos adicionales y criterios todavía abiertos.</w:t>
      </w:r>
    </w:p>
    <w:p>
      <w:r>
        <w:t>El código, las pruebas y los documentos de implementación serán responsabilidad de Codex. La documentación académica conservará su trazabilidad mediante PROJECT_SPEC, REQUIREMENTS, SOURCE_MAP y HANDOFF_WORK. Las desviaciones que cambien ecuaciones, parámetros, criterios o tecnologías se comunicarán antes de aplicarlas. Los ajustes de organización que mantengan el contrato se describirán en la devolución técnica.</w:t>
      </w:r>
    </w:p>
    <w:p>
      <w:pPr>
        <w:pStyle w:val="Heading1"/>
        <w:pageBreakBefore/>
      </w:pPr>
      <w:r>
        <w:t>Capítulo VII Pruebas y revisión de coherencia</w:t>
      </w:r>
    </w:p>
    <w:p>
      <w:pPr>
        <w:pStyle w:val="Heading2"/>
      </w:pPr>
      <w:r>
        <w:t>7.1 Evidencia recibida y alcance de la revisión</w:t>
      </w:r>
    </w:p>
    <w:p>
      <w:r>
        <w:t>Se recibió la primera implementación del simulador, identificada como software 0.1.0, junto con los documentos de implementación, resultados y devolución de Codex. La revisión corresponde al commit 41ec9f2d21edb21499c14437b3d00dd9e135e0d2 del Pull Request 1 del repositorio elvistec76/piscicultura-control. La consulta del repositorio confirmó que el PR estaba abierto, en borrador y sin integrar al momento de la revisión. Este informe evalúa esa versión; una modificación posterior requiere comprobar nuevamente los cambios afectados.</w:t>
      </w:r>
    </w:p>
    <w:p>
      <w:r>
        <w:t>Se contrastaron código, pruebas y exportaciones con SPC-AGUA-001 0.5.0 y M-AGUA-DEMO-1 1.0.0. Los doce documentos académicos y de especificación y los cuatro archivos de diagramas coinciden byte por byte con el paquete aprobado. El README remoto es distinto y faltan el prompt de inicio y el Word consolidado. Estas diferencias afectan la entrega documental, pero no demuestran una modificación de las ecuaciones. Los manifiestos recibidos verifican 29 archivos de código y soporte, 60 exportaciones y 17 archivos documentales respecto de las referencias registradas por Codex.</w:t>
      </w:r>
    </w:p>
    <w:p>
      <w:r>
        <w:t>La revisión separa lo informado por Codex, lo comprobado en los archivos y lo ejecutado de nuevo. Los registros XML recibidos documentan 58 casos parametrizados sin fallos y 17 comprobaciones sin fallos en el entorno limpio declarado por Codex. Esos grupos no se suman como 75 pruebas distintas: la segunda ejecución cubre un subconjunto. El registro separado de interfaz contiene una prueba adicional de ejecución, sin acreditar otro requisito por el solo conteo.</w:t>
      </w:r>
    </w:p>
    <w:p>
      <w:pPr>
        <w:pStyle w:val="Heading2"/>
      </w:pPr>
      <w:r>
        <w:t>7.2 Modelos y estrategias de control</w:t>
      </w:r>
    </w:p>
    <w:p>
      <w:r>
        <w:t>El código conserva las cinco salidas del agua y los cinco estados auxiliares de actuadores. La saturación de oxígeno utiliza los coeficientes USGS especificados; los balances de nivel, temperatura y oxígeno y las aproximaciones de pH y turbidez mantienen sus términos, signos y unidades. La integración usa RK45 y el ruido se genera por muestra, fuera del integrador. Las acciones opuestas se obtienen de estados firmados y sus integrales se separan cuando el estado cruza cero.</w:t>
      </w:r>
    </w:p>
    <w:p>
      <w:r>
        <w:t>La estrategia cerrada sigue los umbrales y la memoria de histéresis aprobados. La estrategia abierta utiliza órdenes constantes calibradas. Las exportaciones de comparación conservan el mismo estado inicial del agua y de los actuadores, calendario y tabla de ruido. El controlador recibe mediciones, calidad y su configuración; su contrato no le entrega el estado exacto ni el calendario oculto de fallos. El ruido y el sesgo modifican la medición, mientras el proceso responde a las acciones calculadas.</w:t>
      </w:r>
    </w:p>
    <w:p>
      <w:r>
        <w:t>Las pruebas analíticas de pH y turbidez comprueban las soluciones de las ecuaciones programadas. No comprueban actividad de hidrógeno, alcalinidad, dosificación real, concentración de sólidos ni una ley física de mezcla de turbidez. El pH se representa directamente mediante relajación y tasas empíricas; la turbidez, mediante un índice virtual con aporte y remoción. El uso de NTU identifica la salida simulada y no convierte los coeficientes demostrativos en propiedades calibradas de una instalación.</w:t>
      </w:r>
    </w:p>
    <w:p>
      <w:pPr>
        <w:pStyle w:val="Heading2"/>
      </w:pPr>
      <w:r>
        <w:t>7.3 Resultados de los escenarios de referencia</w:t>
      </w:r>
    </w:p>
    <w:p>
      <w:r>
        <w:t>Las exportaciones S1 contienen, para las tres especies y ambas estrategias, 2881 muestras y 2880 decisiones y estado COMPLETED. En S2 se recalcularon de forma independiente el error integrado, el indicador J, la recuperación y la permanencia en banda a partir de los CSV, sin utilizar el módulo de métricas del programa. El recálculo de J coincide con los valores almacenados en la precisión numérica utilizada.</w:t>
      </w:r>
    </w:p>
    <w:p>
      <w:pPr>
        <w:keepNext/>
        <w:ind w:firstLine="0"/>
      </w:pPr>
      <w:r>
        <w:rPr>
          <w:b/>
        </w:rPr>
        <w:t>Tabla 8</w:t>
      </w:r>
    </w:p>
    <w:p>
      <w:pPr>
        <w:keepNext/>
        <w:ind w:firstLine="0"/>
      </w:pPr>
      <w:r>
        <w:rPr>
          <w:i/>
        </w:rPr>
        <w:t>Resultados verificados de recuperación en el escenario S2</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tcBorders>
              <w:top w:val="single" w:sz="6"/>
              <w:bottom w:val="single" w:sz="6"/>
            </w:tcBorders>
          </w:tcPr>
          <w:p>
            <w:pPr>
              <w:keepNext w:val="0"/>
              <w:spacing w:line="240" w:lineRule="auto"/>
              <w:ind w:firstLine="0"/>
            </w:pPr>
            <w:r>
              <w:rPr>
                <w:b/>
                <w:sz w:val="22"/>
              </w:rPr>
              <w:t>Perfil</w:t>
            </w:r>
          </w:p>
        </w:tc>
        <w:tc>
          <w:tcPr>
            <w:tcW w:type="dxa" w:w="1872"/>
            <w:tcBorders>
              <w:top w:val="single" w:sz="6"/>
              <w:bottom w:val="single" w:sz="6"/>
            </w:tcBorders>
          </w:tcPr>
          <w:p>
            <w:pPr>
              <w:keepNext w:val="0"/>
              <w:spacing w:line="240" w:lineRule="auto"/>
              <w:ind w:firstLine="0"/>
            </w:pPr>
            <w:r>
              <w:rPr>
                <w:b/>
                <w:sz w:val="22"/>
              </w:rPr>
              <w:t>J abierto</w:t>
            </w:r>
          </w:p>
        </w:tc>
        <w:tc>
          <w:tcPr>
            <w:tcW w:type="dxa" w:w="1872"/>
            <w:tcBorders>
              <w:top w:val="single" w:sz="6"/>
              <w:bottom w:val="single" w:sz="6"/>
            </w:tcBorders>
          </w:tcPr>
          <w:p>
            <w:pPr>
              <w:keepNext w:val="0"/>
              <w:spacing w:line="240" w:lineRule="auto"/>
              <w:ind w:firstLine="0"/>
            </w:pPr>
            <w:r>
              <w:rPr>
                <w:b/>
                <w:sz w:val="22"/>
              </w:rPr>
              <w:t>J cerrado</w:t>
            </w:r>
          </w:p>
        </w:tc>
        <w:tc>
          <w:tcPr>
            <w:tcW w:type="dxa" w:w="1872"/>
            <w:tcBorders>
              <w:top w:val="single" w:sz="6"/>
              <w:bottom w:val="single" w:sz="6"/>
            </w:tcBorders>
          </w:tcPr>
          <w:p>
            <w:pPr>
              <w:keepNext w:val="0"/>
              <w:spacing w:line="240" w:lineRule="auto"/>
              <w:ind w:firstLine="0"/>
            </w:pPr>
            <w:r>
              <w:rPr>
                <w:b/>
                <w:sz w:val="22"/>
              </w:rPr>
              <w:t>Razón cerrado sobre abierto</w:t>
            </w:r>
          </w:p>
        </w:tc>
        <w:tc>
          <w:tcPr>
            <w:tcW w:type="dxa" w:w="1872"/>
            <w:tcBorders>
              <w:top w:val="single" w:sz="6"/>
              <w:bottom w:val="single" w:sz="6"/>
            </w:tcBorders>
          </w:tcPr>
          <w:p>
            <w:pPr>
              <w:keepNext w:val="0"/>
              <w:spacing w:line="240" w:lineRule="auto"/>
              <w:ind w:firstLine="0"/>
            </w:pPr>
            <w:r>
              <w:rPr>
                <w:b/>
                <w:sz w:val="22"/>
              </w:rPr>
              <w:t>Recuperación T C p U h en segundos</w:t>
            </w:r>
          </w:p>
        </w:tc>
      </w:tr>
      <w:tr>
        <w:trPr>
          <w:cantSplit/>
        </w:trPr>
        <w:tc>
          <w:tcPr>
            <w:tcW w:type="dxa" w:w="1872"/>
          </w:tcPr>
          <w:p>
            <w:pPr>
              <w:keepNext w:val="0"/>
              <w:spacing w:line="240" w:lineRule="auto"/>
              <w:ind w:firstLine="0"/>
            </w:pPr>
            <w:r>
              <w:rPr>
                <w:b w:val="0"/>
                <w:sz w:val="22"/>
              </w:rPr>
              <w:t>Tilapia</w:t>
            </w:r>
          </w:p>
        </w:tc>
        <w:tc>
          <w:tcPr>
            <w:tcW w:type="dxa" w:w="1872"/>
          </w:tcPr>
          <w:p>
            <w:pPr>
              <w:keepNext w:val="0"/>
              <w:spacing w:line="240" w:lineRule="auto"/>
              <w:ind w:firstLine="0"/>
            </w:pPr>
            <w:r>
              <w:rPr>
                <w:b w:val="0"/>
                <w:sz w:val="22"/>
              </w:rPr>
              <w:t>0.898220</w:t>
            </w:r>
          </w:p>
        </w:tc>
        <w:tc>
          <w:tcPr>
            <w:tcW w:type="dxa" w:w="1872"/>
          </w:tcPr>
          <w:p>
            <w:pPr>
              <w:keepNext w:val="0"/>
              <w:spacing w:line="240" w:lineRule="auto"/>
              <w:ind w:firstLine="0"/>
            </w:pPr>
            <w:r>
              <w:rPr>
                <w:b w:val="0"/>
                <w:sz w:val="22"/>
              </w:rPr>
              <w:t>0.137039</w:t>
            </w:r>
          </w:p>
        </w:tc>
        <w:tc>
          <w:tcPr>
            <w:tcW w:type="dxa" w:w="1872"/>
          </w:tcPr>
          <w:p>
            <w:pPr>
              <w:keepNext w:val="0"/>
              <w:spacing w:line="240" w:lineRule="auto"/>
              <w:ind w:firstLine="0"/>
            </w:pPr>
            <w:r>
              <w:rPr>
                <w:b w:val="0"/>
                <w:sz w:val="22"/>
              </w:rPr>
              <w:t>0.152567</w:t>
            </w:r>
          </w:p>
        </w:tc>
        <w:tc>
          <w:tcPr>
            <w:tcW w:type="dxa" w:w="1872"/>
          </w:tcPr>
          <w:p>
            <w:pPr>
              <w:keepNext w:val="0"/>
              <w:spacing w:line="240" w:lineRule="auto"/>
              <w:ind w:firstLine="0"/>
            </w:pPr>
            <w:r>
              <w:rPr>
                <w:b w:val="0"/>
                <w:sz w:val="22"/>
              </w:rPr>
              <w:t>600; 300; 1920; 2760; 300</w:t>
            </w:r>
          </w:p>
        </w:tc>
      </w:tr>
      <w:tr>
        <w:trPr>
          <w:cantSplit/>
        </w:trPr>
        <w:tc>
          <w:tcPr>
            <w:tcW w:type="dxa" w:w="1872"/>
          </w:tcPr>
          <w:p>
            <w:pPr>
              <w:keepNext w:val="0"/>
              <w:spacing w:line="240" w:lineRule="auto"/>
              <w:ind w:firstLine="0"/>
            </w:pPr>
            <w:r>
              <w:rPr>
                <w:b w:val="0"/>
                <w:sz w:val="22"/>
              </w:rPr>
              <w:t>Trucha</w:t>
            </w:r>
          </w:p>
        </w:tc>
        <w:tc>
          <w:tcPr>
            <w:tcW w:type="dxa" w:w="1872"/>
          </w:tcPr>
          <w:p>
            <w:pPr>
              <w:keepNext w:val="0"/>
              <w:spacing w:line="240" w:lineRule="auto"/>
              <w:ind w:firstLine="0"/>
            </w:pPr>
            <w:r>
              <w:rPr>
                <w:b w:val="0"/>
                <w:sz w:val="22"/>
              </w:rPr>
              <w:t>1.027465</w:t>
            </w:r>
          </w:p>
        </w:tc>
        <w:tc>
          <w:tcPr>
            <w:tcW w:type="dxa" w:w="1872"/>
          </w:tcPr>
          <w:p>
            <w:pPr>
              <w:keepNext w:val="0"/>
              <w:spacing w:line="240" w:lineRule="auto"/>
              <w:ind w:firstLine="0"/>
            </w:pPr>
            <w:r>
              <w:rPr>
                <w:b w:val="0"/>
                <w:sz w:val="22"/>
              </w:rPr>
              <w:t>0.148966</w:t>
            </w:r>
          </w:p>
        </w:tc>
        <w:tc>
          <w:tcPr>
            <w:tcW w:type="dxa" w:w="1872"/>
          </w:tcPr>
          <w:p>
            <w:pPr>
              <w:keepNext w:val="0"/>
              <w:spacing w:line="240" w:lineRule="auto"/>
              <w:ind w:firstLine="0"/>
            </w:pPr>
            <w:r>
              <w:rPr>
                <w:b w:val="0"/>
                <w:sz w:val="22"/>
              </w:rPr>
              <w:t>0.144984</w:t>
            </w:r>
          </w:p>
        </w:tc>
        <w:tc>
          <w:tcPr>
            <w:tcW w:type="dxa" w:w="1872"/>
          </w:tcPr>
          <w:p>
            <w:pPr>
              <w:keepNext w:val="0"/>
              <w:spacing w:line="240" w:lineRule="auto"/>
              <w:ind w:firstLine="0"/>
            </w:pPr>
            <w:r>
              <w:rPr>
                <w:b w:val="0"/>
                <w:sz w:val="22"/>
              </w:rPr>
              <w:t>1500; 300; 1920; 2760; 300</w:t>
            </w:r>
          </w:p>
        </w:tc>
      </w:tr>
      <w:tr>
        <w:trPr>
          <w:cantSplit/>
        </w:trPr>
        <w:tc>
          <w:tcPr>
            <w:tcW w:type="dxa" w:w="1872"/>
            <w:tcBorders>
              <w:bottom w:val="single" w:sz="6"/>
            </w:tcBorders>
          </w:tcPr>
          <w:p>
            <w:pPr>
              <w:keepNext w:val="0"/>
              <w:spacing w:line="240" w:lineRule="auto"/>
              <w:ind w:firstLine="0"/>
            </w:pPr>
            <w:r>
              <w:rPr>
                <w:b w:val="0"/>
                <w:sz w:val="22"/>
              </w:rPr>
              <w:t>Carpa</w:t>
            </w:r>
          </w:p>
        </w:tc>
        <w:tc>
          <w:tcPr>
            <w:tcW w:type="dxa" w:w="1872"/>
            <w:tcBorders>
              <w:bottom w:val="single" w:sz="6"/>
            </w:tcBorders>
          </w:tcPr>
          <w:p>
            <w:pPr>
              <w:keepNext w:val="0"/>
              <w:spacing w:line="240" w:lineRule="auto"/>
              <w:ind w:firstLine="0"/>
            </w:pPr>
            <w:r>
              <w:rPr>
                <w:b w:val="0"/>
                <w:sz w:val="22"/>
              </w:rPr>
              <w:t>0.901371</w:t>
            </w:r>
          </w:p>
        </w:tc>
        <w:tc>
          <w:tcPr>
            <w:tcW w:type="dxa" w:w="1872"/>
            <w:tcBorders>
              <w:bottom w:val="single" w:sz="6"/>
            </w:tcBorders>
          </w:tcPr>
          <w:p>
            <w:pPr>
              <w:keepNext w:val="0"/>
              <w:spacing w:line="240" w:lineRule="auto"/>
              <w:ind w:firstLine="0"/>
            </w:pPr>
            <w:r>
              <w:rPr>
                <w:b w:val="0"/>
                <w:sz w:val="22"/>
              </w:rPr>
              <w:t>0.138034</w:t>
            </w:r>
          </w:p>
        </w:tc>
        <w:tc>
          <w:tcPr>
            <w:tcW w:type="dxa" w:w="1872"/>
            <w:tcBorders>
              <w:bottom w:val="single" w:sz="6"/>
            </w:tcBorders>
          </w:tcPr>
          <w:p>
            <w:pPr>
              <w:keepNext w:val="0"/>
              <w:spacing w:line="240" w:lineRule="auto"/>
              <w:ind w:firstLine="0"/>
            </w:pPr>
            <w:r>
              <w:rPr>
                <w:b w:val="0"/>
                <w:sz w:val="22"/>
              </w:rPr>
              <w:t>0.153137</w:t>
            </w:r>
          </w:p>
        </w:tc>
        <w:tc>
          <w:tcPr>
            <w:tcW w:type="dxa" w:w="1872"/>
            <w:tcBorders>
              <w:bottom w:val="single" w:sz="6"/>
            </w:tcBorders>
          </w:tcPr>
          <w:p>
            <w:pPr>
              <w:keepNext w:val="0"/>
              <w:spacing w:line="240" w:lineRule="auto"/>
              <w:ind w:firstLine="0"/>
            </w:pPr>
            <w:r>
              <w:rPr>
                <w:b w:val="0"/>
                <w:sz w:val="22"/>
              </w:rPr>
              <w:t>0; 240; 1920; 2760; 300</w:t>
            </w:r>
          </w:p>
        </w:tc>
      </w:tr>
    </w:tbl>
    <w:p>
      <w:pPr>
        <w:ind w:firstLine="0"/>
      </w:pPr>
      <w:r>
        <w:t>Nota. Elaboración propia mediante recálculo de las exportaciones de Codex (2026c). Las cinco variables permanecen en banda el 100 % del tramo de cuatro a doce horas en estas corridas. La temperatura de carpa inicia en 23 °C, exactamente en el límite inferior operativo; su recuperación de 0 s expresa esa condición inicial y la permanencia posterior, no una corrección instantánea. J es adimensional y corresponde al escenario de doce horas aprobado.</w:t>
      </w:r>
    </w:p>
    <w:p>
      <w:r>
        <w:t>En las corridas S5 el lazo cerrado termina como FAILED a 7200 s antes de una nueva decisión con oxígeno ausente. El abierto conserva sus órdenes y completa. S6 registra aireación efectiva nula durante la avería; S7 conserva el sesgo plausible sin atribuirle detección automática. En S9 ambas estrategias terminan por cruce exterior del límite de nivel: aproximadamente 9700 s en abierto y 14397.127 s en cerrado. Estos fallos son respuestas exigidas por el plan ante capacidad insuficiente y no deben presentarse como pruebas fallidas del mecanismo de detección (Codex, 2026a, 2026c).</w:t>
      </w:r>
    </w:p>
    <w:p>
      <w:r>
        <w:t>Codex registró tres duraciones S8 de 8.993926, 8.734400 y 8.981134 s, con mediana 8.981134 s. El entorno virtual no acredita el SSD y el contexto del equipo local exigidos por RNF10. Por ello, AC20 tiene evidencia funcional y RNF10 permanece pendiente de evaluación contextual; la mediana descriptiva no demuestra su aceptación. No se modificó el umbral de 60 s.</w:t>
      </w:r>
    </w:p>
    <w:p>
      <w:pPr>
        <w:pStyle w:val="Heading2"/>
      </w:pPr>
      <w:r>
        <w:t>7.4 Reejecución y comprobaciones adicionales</w:t>
      </w:r>
    </w:p>
    <w:p>
      <w:r>
        <w:t>La revisión volvió a ejecutar los 58 casos de la suite original en una copia aislada del código, con cero fallos y cero errores, en 238.568 s. Se utilizó Python 3.12.14 con las mismas versiones principales de NumPy, SciPy, Pandas, Plotly, Streamlit y Pytest. Este entorno heredó paquetes base y no se presenta como una segunda instalación limpia. Tampoco acredita el hardware local de RNF10. Las evidencias originales se conservaron aparte y no se sustituyeron por los nuevos registros.</w:t>
      </w:r>
    </w:p>
    <w:p>
      <w:r>
        <w:t>Se realizaron comprobaciones adicionales sobre configuración y métricas. La edición de área, biomasa, presión y salinidad mediante la interfaz conservó los valores solicitados en la configuración guardada. En cambio, tres casos no cubiertos por los escenarios de referencia revelaron defectos reproducibles que impiden aceptar integralmente la entrega actual.</w:t>
      </w:r>
    </w:p>
    <w:p>
      <w:r>
        <w:t>Una banda térmica de ancho cero, con ambos límites iguales a 28.5 °C, es aceptada por la validación. Al completar una corrida S0 de una hora, la escala térmica de J se anula y produce un valor no finito. La persistencia rechaza ese resultado; la corrida queda marcada COMPLETED sin métricas y se propaga una excepción. El mismo problema aparece al detenerla después de un intervalo. Deben rechazarse previamente las bandas que anulan las escalas de temperatura u oxígeno y comunicarse de manera explícita cualquier error al generar métricas.</w:t>
      </w:r>
    </w:p>
    <w:p>
      <w:r>
        <w:t>La segunda comprobación utilizó una banda de turbidez editada a 5–20 NTU y valores idénticos de x e y de 2 NTU durante 1800 s. Según el modelo aprobado solo se penaliza el exceso superior. El cálculo de x informa cero tiempo fuera y recuperación de 0 s; el cálculo individual de y informa 1800 s fuera y ausencia de recuperación. El módulo pierde la regla unilateral al evaluar una sola columna. La corrección debe conservar la identidad de la variable y aplicar el mismo criterio a ambos orígenes.</w:t>
      </w:r>
    </w:p>
    <w:p>
      <w:r>
        <w:t>La tercera comprobación utilizó un intervalo admitido de 135 s en S2. El cálculo del tramo de cuatro a doce horas comienza en la primera muestra posterior a cuatro horas, a 14445 s, y evalúa 28755 s en lugar de 28800 s. Una serie sintética con temperatura fuera de banda en el intervalo izquierdo que atraviesa las cuatro horas demuestra la omisión: se informa fracción 1 en lugar de 0.9984375 con la convención temporal izquierda aprobada. Deben ponderarse los fragmentos que intersectan los extremos de la ventana. Este defecto no modifica los resultados S2 originales con intervalo de 60 s.</w:t>
      </w:r>
    </w:p>
    <w:p>
      <w:pPr>
        <w:pStyle w:val="Heading2"/>
      </w:pPr>
      <w:r>
        <w:t>7.5 Estado de requisitos y decisión de integración</w:t>
      </w:r>
    </w:p>
    <w:p>
      <w:r>
        <w:t>En el alcance inspeccionado, treinta subrequisitos funcionales cuentan con evidencia favorable. RF02.2 y RF02.3 requieren corrección de coherencia y validación de bandas; RF10.2 requiere corregir las métricas anteriores. Siete requisitos no funcionales tienen evidencia favorable dentro del entorno probado. RNF02 y RNF07 quedan parciales por la generación no finita y la excepción no comunicada de forma controlada. RNF10 conserva su condición pendiente. La matriz detallada y las evidencias están en la revisión de coherencia entregada.</w:t>
      </w:r>
    </w:p>
    <w:p>
      <w:r>
        <w:t>Los casos AC01 a AC19 cuentan con resultados favorables en las configuraciones originales; esto no equivale a comprobar todas las configuraciones admitidas por el formulario. La revisión amplía los casos límite necesarios y no invalida las corridas de referencia cuyos datos se verificaron. Los tres defectos deben corregirse y probarse antes de recomendar la integración del PR 1. El PR debe mantenerse en borrador durante ese trabajo; no se emitió aprobación ni se realizó integración.</w:t>
      </w:r>
    </w:p>
    <w:p>
      <w:pPr>
        <w:pStyle w:val="Heading1"/>
        <w:pageBreakBefore/>
      </w:pPr>
      <w:r>
        <w:t>Capítulo VIII Conclusiones y recomendaciones</w:t>
      </w:r>
    </w:p>
    <w:p>
      <w:pPr>
        <w:pStyle w:val="Heading2"/>
      </w:pPr>
      <w:r>
        <w:t>8.1 Conclusiones sustentadas por la evidencia disponible</w:t>
      </w:r>
    </w:p>
    <w:p>
      <w:r>
        <w:t>La primera implementación materializa el ciclo de medición, comparación, decisión y actuación definido por el enfoque de Ingeniería de Sistemas. El código y las corridas revisadas mantienen la separación entre estado exacto, lectura virtual y acción efectiva, con perturbaciones y fallos identificables. Esta correspondencia permite estudiar retroalimentación dentro del modelo académico.</w:t>
      </w:r>
    </w:p>
    <w:p>
      <w:r>
        <w:t>En S2, el lazo cerrado obtiene razones J cerrado sobre abierto entre 0.144984 y 0.153137 y satisface los criterios de recuperación y permanencia de las cinco variables en los tres perfiles evaluados. El resultado respalda el comportamiento del controlador en ese experimento. No demuestra superioridad universal, ahorro energético en todos los escenarios ni respuesta adecuada ante cualquier perturbación.</w:t>
      </w:r>
    </w:p>
    <w:p>
      <w:r>
        <w:t>Las verificaciones analíticas y el refinamiento apoyan la consistencia de la implementación con sus ecuaciones. La comparación conserva condiciones iniciales y realización externa equivalentes. La detección de lecturas ausentes y de cruces de dominio conserva causas y resultados parciales; la identificación de esos fallos forma parte del comportamiento esperado.</w:t>
      </w:r>
    </w:p>
    <w:p>
      <w:r>
        <w:t>La aceptación del software permanece abierta. La revisión adicional encontró defectos de validación y de cálculo individual de turbidez que no aparecen en los escenarios originales. También falta la evaluación de RNF10 en el equipo de referencia. Estas limitaciones impiden afirmar cumplimiento integral de todos los requisitos o autorizar la integración de la versión revisada.</w:t>
      </w:r>
    </w:p>
    <w:p>
      <w:r>
        <w:t>La evidencia corresponde a un simulador con parámetros demostrativos, biomasa fija y mezcla perfecta. Los modelos de pH y turbidez son aproximaciones empíricas y no existe validación de campo. Los resultados no permiten seleccionar dosificaciones, dimensionar equipos reales ni certificar rangos productivos por especie.</w:t>
      </w:r>
    </w:p>
    <w:p>
      <w:pPr>
        <w:pStyle w:val="Heading2"/>
      </w:pPr>
      <w:r>
        <w:t>8.2 Recomendaciones</w:t>
      </w:r>
    </w:p>
    <w:p>
      <w:r>
        <w:t>Corregir la validación de bandas y la gestión de errores de métricas, e incorporar pruebas que impidan aceptar escalas nulas de J. Un fallo en un resultado derivado debe distinguirse del estado de integración del proceso y conservar los datos confirmados con una causa visible.</w:t>
      </w:r>
    </w:p>
    <w:p>
      <w:r>
        <w:t>Aplicar el criterio unilateral de turbidez también a las métricas individuales de medición y evaluar las ventanas temporales completas cuando sus extremos no coincidan con la malla. Repetir las pruebas de regresión afectadas y entregar nuevos resultados ligados al commit corregido, sin ampliar tolerancias ni alterar las ecuaciones para hacer pasar los casos.</w:t>
      </w:r>
    </w:p>
    <w:p>
      <w:r>
        <w:t>Actualizar el README, restaurar las referencias de entrega ausentes y distinguir aprobación documental, ejecución de pruebas y aceptación contextual de rendimiento. Ejecutar RNF10 en el equipo acordado con tres bases nuevas, conservando tiempos, características del equipo y versiones.</w:t>
      </w:r>
    </w:p>
    <w:p>
      <w:r>
        <w:t>Considerar una validación de campo solo como trabajo posterior: reunir datos representativos, calibrar parámetros e incorporar una formulación química y óptica adecuada si se pretende realizar inferencias productivas. La presente revisión no sustituye ese proceso.</w:t>
      </w:r>
    </w:p>
    <w:p>
      <w:pPr>
        <w:pStyle w:val="Heading1"/>
        <w:pageBreakBefore/>
      </w:pPr>
      <w:r>
        <w:t>Referencias</w:t>
      </w:r>
    </w:p>
    <w:p>
      <w:pPr>
        <w:ind w:left="720" w:hanging="720"/>
      </w:pPr>
      <w:r>
        <w:t xml:space="preserve">Adcock, R. (s. f.). </w:t>
      </w:r>
      <w:r>
        <w:rPr>
          <w:i/>
        </w:rPr>
        <w:t>Systems thinking</w:t>
      </w:r>
      <w:r>
        <w:t xml:space="preserve">. En </w:t>
      </w:r>
      <w:r>
        <w:rPr>
          <w:i/>
        </w:rPr>
        <w:t>Guide to the Systems Engineering Body of Knowledge</w:t>
      </w:r>
      <w:r>
        <w:t>. Recuperado el 14 de octubre de 2026, de https://sebokwiki.org/wiki/Systems_Thinking</w:t>
      </w:r>
    </w:p>
    <w:p>
      <w:pPr>
        <w:ind w:left="720" w:hanging="720"/>
      </w:pPr>
      <w:r>
        <w:t xml:space="preserve">Anderson, C. W. (2005). </w:t>
      </w:r>
      <w:r>
        <w:rPr>
          <w:i/>
        </w:rPr>
        <w:t>Turbidity</w:t>
      </w:r>
      <w:r>
        <w:t xml:space="preserve"> (Techniques of Water-Resources Investigations, Book 9, Chapter A6, Section 6.7). U.S. Geological Survey. https://doi.org/10.3133/twri09A6.7</w:t>
      </w:r>
    </w:p>
    <w:p>
      <w:pPr>
        <w:ind w:left="720" w:hanging="720"/>
      </w:pPr>
      <w:r>
        <w:t xml:space="preserve">Åström, K. J., &amp; Murray, R. M. (s. f.-a). </w:t>
      </w:r>
      <w:r>
        <w:rPr>
          <w:i/>
        </w:rPr>
        <w:t>Feedback principles</w:t>
      </w:r>
      <w:r>
        <w:t>. FBSwiki. Recuperado el 14 de octubre de 2026, de https://www.fbswiki.org/wiki/index.php/Feedback_Principles</w:t>
      </w:r>
    </w:p>
    <w:p>
      <w:pPr>
        <w:ind w:left="720" w:hanging="720"/>
      </w:pPr>
      <w:r>
        <w:t xml:space="preserve">Åström, K. J., &amp; Murray, R. M. (s. f.-b). </w:t>
      </w:r>
      <w:r>
        <w:rPr>
          <w:i/>
        </w:rPr>
        <w:t>System modeling</w:t>
      </w:r>
      <w:r>
        <w:t>. FBSwiki. Recuperado el 14 de octubre de 2026, de https://www.fbswiki.org/wiki/index.php/System_Modeling</w:t>
      </w:r>
    </w:p>
    <w:p>
      <w:pPr>
        <w:ind w:left="720" w:hanging="720"/>
      </w:pPr>
      <w:r>
        <w:t xml:space="preserve">Codex. (2026a). </w:t>
      </w:r>
      <w:r>
        <w:rPr>
          <w:i/>
        </w:rPr>
        <w:t>Devolución de Codex a Work</w:t>
      </w:r>
      <w:r>
        <w:t xml:space="preserve"> [Documentación del software 0.1.0, commit 41ec9f2d21edb21499c14437b3d00dd9e135e0d2, archivo HANDOFF_CODEX.md]. Entrega del proyecto piscicultura-control.</w:t>
      </w:r>
    </w:p>
    <w:p>
      <w:pPr>
        <w:ind w:left="720" w:hanging="720"/>
      </w:pPr>
      <w:r>
        <w:t xml:space="preserve">Codex. (2026b). </w:t>
      </w:r>
      <w:r>
        <w:rPr>
          <w:i/>
        </w:rPr>
        <w:t>Implementación técnica</w:t>
      </w:r>
      <w:r>
        <w:t xml:space="preserve"> [Documentación del software 0.1.0, mismo commit, archivo IMPLEMENTATION.md]. Entrega del proyecto piscicultura-control.</w:t>
      </w:r>
    </w:p>
    <w:p>
      <w:pPr>
        <w:ind w:left="720" w:hanging="720"/>
      </w:pPr>
      <w:r>
        <w:t xml:space="preserve">Codex. (2026c). </w:t>
      </w:r>
      <w:r>
        <w:rPr>
          <w:i/>
        </w:rPr>
        <w:t>Resultados de verificación</w:t>
      </w:r>
      <w:r>
        <w:t xml:space="preserve"> [Documentación del software 0.1.0, mismo commit, archivo TEST_RESULTS.md y evidencias de ejecución]. Entrega del proyecto piscicultura-control.</w:t>
      </w:r>
    </w:p>
    <w:p>
      <w:pPr>
        <w:ind w:left="720" w:hanging="720"/>
      </w:pPr>
      <w:r>
        <w:t xml:space="preserve">International Council on Systems Engineering. (s. f.). </w:t>
      </w:r>
      <w:r>
        <w:rPr>
          <w:i/>
        </w:rPr>
        <w:t>About systems engineering</w:t>
      </w:r>
      <w:r>
        <w:t>. https://www.incose.org/About%20Systems%20Engineering/</w:t>
      </w:r>
    </w:p>
    <w:p>
      <w:pPr>
        <w:ind w:left="720" w:hanging="720"/>
      </w:pPr>
      <w:r>
        <w:t xml:space="preserve">International Union of Pure and Applied Chemistry. (s. f.). pH. En </w:t>
      </w:r>
      <w:r>
        <w:rPr>
          <w:i/>
        </w:rPr>
        <w:t>Compendium of Chemical Terminology</w:t>
      </w:r>
      <w:r>
        <w:t>. Recuperado el 14 de octubre de 2026, de https://doi.org/10.1351/goldbook.P04524</w:t>
      </w:r>
    </w:p>
    <w:p>
      <w:pPr>
        <w:ind w:left="720" w:hanging="720"/>
      </w:pPr>
      <w:r>
        <w:rPr>
          <w:i/>
        </w:rPr>
        <w:t>Introducción a la Ingeniería de Sistemas</w:t>
      </w:r>
      <w:r>
        <w:t>. (s. f.). [Material de asignatura, capítulo 1]. Documento proporcionado por el estudiante.</w:t>
      </w:r>
    </w:p>
    <w:p>
      <w:pPr>
        <w:ind w:left="720" w:hanging="720"/>
      </w:pPr>
      <w:r>
        <w:t xml:space="preserve">MathWorks. (s. f.). </w:t>
      </w:r>
      <w:r>
        <w:rPr>
          <w:i/>
        </w:rPr>
        <w:t>Relay</w:t>
      </w:r>
      <w:r>
        <w:t>. Recuperado el 14 de octubre de 2026, de https://www.mathworks.com/help/simulink/slref/relay.html</w:t>
      </w:r>
    </w:p>
    <w:p>
      <w:pPr>
        <w:ind w:left="720" w:hanging="720"/>
      </w:pPr>
      <w:r>
        <w:t xml:space="preserve">Organización de las Naciones Unidas para la Alimentación y la Agricultura. (2009a). </w:t>
      </w:r>
      <w:r>
        <w:rPr>
          <w:i/>
        </w:rPr>
        <w:t>Cyprinus carpio</w:t>
      </w:r>
      <w:r>
        <w:t xml:space="preserve">. En </w:t>
      </w:r>
      <w:r>
        <w:rPr>
          <w:i/>
        </w:rPr>
        <w:t>Cultured aquatic species fact sheets</w:t>
      </w:r>
      <w:r>
        <w:t>. https://www.fao.org/fishery/docs/CDrom/aquaculture/I1129m/file/en/en_commoncarp.htm</w:t>
      </w:r>
    </w:p>
    <w:p>
      <w:pPr>
        <w:ind w:left="720" w:hanging="720"/>
      </w:pPr>
      <w:r>
        <w:t xml:space="preserve">Organización de las Naciones Unidas para la Alimentación y la Agricultura. (2009b). </w:t>
      </w:r>
      <w:r>
        <w:rPr>
          <w:i/>
        </w:rPr>
        <w:t>Oreochromis niloticus</w:t>
      </w:r>
      <w:r>
        <w:t xml:space="preserve">. En </w:t>
      </w:r>
      <w:r>
        <w:rPr>
          <w:i/>
        </w:rPr>
        <w:t>Cultured aquatic species fact sheets</w:t>
      </w:r>
      <w:r>
        <w:t>. https://www.fao.org/fishery/docs/CDrom/aquaculture/I1129m/file/en/en_niletilapia.htm</w:t>
      </w:r>
    </w:p>
    <w:p>
      <w:pPr>
        <w:ind w:left="720" w:hanging="720"/>
      </w:pPr>
      <w:r>
        <w:t xml:space="preserve">Organización de las Naciones Unidas para la Alimentación y la Agricultura. (s. f.). </w:t>
      </w:r>
      <w:r>
        <w:rPr>
          <w:i/>
        </w:rPr>
        <w:t>Improving pond water quality</w:t>
      </w:r>
      <w:r>
        <w:t>. https://www.fao.org/fishery/docs/CDrom/FAO_Training/FAO_Training/General/x6709e/x6709e02.htm</w:t>
      </w:r>
    </w:p>
    <w:p>
      <w:pPr>
        <w:ind w:left="720" w:hanging="720"/>
      </w:pPr>
      <w:r>
        <w:t xml:space="preserve">SciPy. (s. f.). </w:t>
      </w:r>
      <w:r>
        <w:rPr>
          <w:i/>
        </w:rPr>
        <w:t>scipy.integrate.solve_ivp</w:t>
      </w:r>
      <w:r>
        <w:t xml:space="preserve">. En </w:t>
      </w:r>
      <w:r>
        <w:rPr>
          <w:i/>
        </w:rPr>
        <w:t>SciPy manual</w:t>
      </w:r>
      <w:r>
        <w:t>. Recuperado el 14 de octubre de 2026, de https://docs.scipy.org/doc/scipy/reference/generated/scipy.integrate.solve_ivp.html</w:t>
      </w:r>
    </w:p>
    <w:p>
      <w:pPr>
        <w:ind w:left="720" w:hanging="720"/>
      </w:pPr>
      <w:r>
        <w:t xml:space="preserve">SQLite. (s. f.-a). </w:t>
      </w:r>
      <w:r>
        <w:rPr>
          <w:i/>
        </w:rPr>
        <w:t>SQLite foreign key support</w:t>
      </w:r>
      <w:r>
        <w:t>. https://www.sqlite.org/foreignkeys.html</w:t>
      </w:r>
    </w:p>
    <w:p>
      <w:pPr>
        <w:ind w:left="720" w:hanging="720"/>
      </w:pPr>
      <w:r>
        <w:t xml:space="preserve">SQLite. (s. f.-b). </w:t>
      </w:r>
      <w:r>
        <w:rPr>
          <w:i/>
        </w:rPr>
        <w:t>Transaction</w:t>
      </w:r>
      <w:r>
        <w:t>. https://www.sqlite.org/lang_transaction.html</w:t>
      </w:r>
    </w:p>
    <w:p>
      <w:pPr>
        <w:ind w:left="720" w:hanging="720"/>
      </w:pPr>
      <w:r>
        <w:t xml:space="preserve">Streamlit. (s. f.). </w:t>
      </w:r>
      <w:r>
        <w:rPr>
          <w:i/>
        </w:rPr>
        <w:t>Add statefulness to apps</w:t>
      </w:r>
      <w:r>
        <w:t>. Recuperado el 14 de octubre de 2026, de https://docs.streamlit.io/develop/concepts/architecture/session-state</w:t>
      </w:r>
    </w:p>
    <w:p>
      <w:pPr>
        <w:ind w:left="720" w:hanging="720"/>
      </w:pPr>
      <w:r>
        <w:t xml:space="preserve">U.S. Geological Survey. (2011, 13 de julio). </w:t>
      </w:r>
      <w:r>
        <w:rPr>
          <w:i/>
        </w:rPr>
        <w:t>Change to solubility equations for oxygen in water</w:t>
      </w:r>
      <w:r>
        <w:t xml:space="preserve"> (Office of Water Quality Technical Memorandum 2011.03). https://water.usgs.gov/water-resources/memos/documents/WQ.2011.03.pdf</w:t>
      </w:r>
    </w:p>
    <w:p>
      <w:pPr>
        <w:ind w:left="720" w:hanging="720"/>
      </w:pPr>
      <w:r>
        <w:t xml:space="preserve">U.S. Geological Survey. (2022, 7 de noviembre). </w:t>
      </w:r>
      <w:r>
        <w:rPr>
          <w:i/>
        </w:rPr>
        <w:t>DOTABLES</w:t>
      </w:r>
      <w:r>
        <w:t>. https://www.usgs.gov/tools/dotables</w:t>
      </w:r>
    </w:p>
    <w:p>
      <w:pPr>
        <w:ind w:left="720" w:hanging="720"/>
      </w:pPr>
      <w:r>
        <w:t xml:space="preserve">U.S. Geological Survey. (2026, 24 de agosto). </w:t>
      </w:r>
      <w:r>
        <w:rPr>
          <w:i/>
        </w:rPr>
        <w:t>Turbidity and water</w:t>
      </w:r>
      <w:r>
        <w:t>. https://www.usgs.gov/water-science-school/science/turbidity-and-water</w:t>
      </w:r>
    </w:p>
    <w:p>
      <w:pPr>
        <w:ind w:left="720" w:hanging="720"/>
      </w:pPr>
      <w:r>
        <w:t xml:space="preserve">Woynarovich, A., Hoitsy, G., &amp; Moth-Poulsen, T. (2011). </w:t>
      </w:r>
      <w:r>
        <w:rPr>
          <w:i/>
        </w:rPr>
        <w:t>Small-scale rainbow trout farming</w:t>
      </w:r>
      <w:r>
        <w:t xml:space="preserve"> (FAO Fisheries and Aquaculture Technical Paper No. 561). Food and Agriculture Organization of the United Nations. https://www.fao.org/4/i2125e/i2125e.pdf</w:t>
      </w:r>
    </w:p>
    <w:p>
      <w:pPr>
        <w:pStyle w:val="Heading1"/>
        <w:pageBreakBefore/>
      </w:pPr>
      <w:r>
        <w:t>Anexo A Identificación de la revisión</w:t>
      </w:r>
    </w:p>
    <w:p>
      <w:r>
        <w:t>La revisión utiliza la entrega ZIP piscicultura-control-41ec9f2d21edb21499c14437b3d00dd9e135e0d2.zip y el PR 1 de https://github.com/elvistec76/piscicultura-control/pull/1. La base documental evaluada es SPC-AGUA-001 0.5.0. La edición académica 0.6.0 actualiza el estado y los resultados sin modificar las ecuaciones del modelo 1.0.0.</w:t>
      </w:r>
    </w:p>
    <w:p>
      <w:r>
        <w:t>La matriz completa de 33 subrequisitos y 10 RNF, los casos reproducibles y las condiciones de integración se entregan en REVISION_COHERENCIA_PR1.md. OBSERVACIONES_CODEX_PR1.md especifica las correcciones solicitadas. Los registros nuevos de revisión se conservan separados de los XML y las exportaciones originales.</w:t>
      </w:r>
    </w:p>
    <w:p>
      <w:r>
        <w:t>La reejecución de la suite usa el comando python -m pytest -q tests --junitxml=evidence/work_review_pytest.xml desde una copia de trabajo. Las comprobaciones adicionales se identifican en work_review_edge_probes.json. La ejecución limpia de 17 pruebas corresponde a la evidencia recibida de Codex y no se atribuye a una nueva instalación realizada durante esta revisión.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480" w:lineRule="auto" w:before="0"/>
      <w:ind w:firstLine="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 automático del agua para piscicultura</dc:title>
  <dc:subject/>
  <dc:creator>Elvis Erik Huaynoca Condori</dc:creator>
  <cp:keywords/>
  <dc:description>generated by python-docx</dc:description>
  <cp:lastModifiedBy/>
  <cp:revision>1</cp:revision>
  <dcterms:created xsi:type="dcterms:W3CDTF">2013-12-23T23:15:00Z</dcterms:created>
  <dcterms:modified xsi:type="dcterms:W3CDTF">2013-12-23T23:15:00Z</dcterms:modified>
  <cp:category/>
</cp:coreProperties>
</file>