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Харченко Романа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Аппаратные средства ПК и сетевое оборудование</w:t>
        <w:br w:type="textWrapping"/>
        <w:t xml:space="preserve">локальных компьютерных сетей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по лабораторной работе №1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Горячкин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Минск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Сетевое 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устройства, из которых состоит компьютерная сеть.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Условно выделяют следующие виды сетевого оборудования: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Активное сетевое оборудование – оборудование, которое способно обрабатывать или преобразовывать передаваемую по сети информацию. К такому оборудованию относятся сетевые карты, маршрутизаторы, принт-серверы.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Пассивное сетевое оборудование – оборудование, служащее для простой передачи сигнала на физическом уровне. Это сетевые кабели, коннекторы и сетевые розетки, повторители и усилители сигнала.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d5d9e9" w:val="clear"/>
          <w:vertAlign w:val="baseline"/>
          <w:rtl w:val="0"/>
        </w:rPr>
        <w:t xml:space="preserve">Компьютерное периферийное оборудование – это отдельная категория, представленная непосредственно компьютерами. Для полноценного функционирования устройства в сети необходимо наличие специальной сетевой карты, которая также является представителем периферийного оборудования. Помимо этого, к данной категории также относятся сканеры, принтеры, различного рода мультифункциональные устройства(мфу), серверы. Все эти виды компьютерного и сетевого оборудования – обязательные компоненты практически любой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Коммутаторы бывают двух видов – управляемые и неуправляемые. Управляемые обладают дополнительной функциональностью. Так, появляется возможность управления коммутатором с помощью веб-интерфейса, объединения нескольких коммутаторов в один виртуальный со своими правилами коммутации пакетов и т.д. Стоимость управляемых коммутаторов гораздо выше стоимости неуправляемых, поэтому в малых и средних сетях используются неуправляемые коммутаторы.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коммутаторов, используемых в локальных сетях: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Семейство продуктов, разработанных компанией Bay Networks для технологии ATM, состоит из коммутаторов LattisCell (только ATM-коммутация), коммутатора EtherCell (коммутация Ethernet-ATM), программного обеспечения ATM Connection Management System и программного обеспечения ATM Network Management Application.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Коммутатор CELLplex 7000 представляет собой модульное устройство на основе шасси, осуществляющее коммутацию до 16 портов ATM (4 модуля по 4 порта). Он предназначен для образования высокоскоростной ATM-магистрали сети путем соединения с другими ATM-коммутаторами или же для подключения высокоскоростных ATM-узлов к стянутой в точку магистрали сети на основе центра данных, имеющего порт ATM.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ATM коммутатора LattisCell 10114A разработана для использования в сетях кампусов (расстояние между коммутаторами до 2 км) и представляет собой устройство, выполненное в виде автономного корпуса с фиксированным количеством портов, число которых равно 16. Для каждого порта обеспечивается пропускная способность в 155 Мб/с по многомодовому оптоволоконному кабелю. Функции физического уровня реализованы в соответствии со стандартами SONET/SDH 155 Мб/с, а также UNI 3.0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коммутационного оборудования, коммутаторов, маршрутизаторов, используемых в корпоративных сетях: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Cреди коммутаторов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корпоративных сетей выделяют Huawei серии S2700</w:t>
      </w:r>
    </w:p>
    <w:p w:rsidR="00000000" w:rsidDel="00000000" w:rsidP="00000000" w:rsidRDefault="00000000" w:rsidRPr="00000000" w14:paraId="0000004A">
      <w:pPr>
        <w:shd w:fill="ffffff" w:val="clear"/>
        <w:spacing w:after="1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Коммутаторы Huawei серии S2700 для корпоративных сетей являются интеллектуальными энергосберегающими коммутаторами доступа 100М следующего поколения. Серия S2700 использует передовые технологии коммутации и программное обеспечение многоцелевой платформы маршрутизации (VRP) компании Huawei и предоставляет мультисервисные услуги и доступ в сетях Ethernet. Оборудование легко устанавливается и обслуживается. Благодаря гибким возможностям работы в сети, продуманной политике обеспечения безопасности, качеству обслуживания и энергосберегающим технологиям, S2700 позволяет заказчикам предприятий построить IT сети следующего поколения.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маршрутизаторов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корпоративных сетей наиболее известны продукты компании Cisco Systems, реализующие широкий набор средств и протоколов, используемых при взаимодействии локальных сетей. Оборудование Cisco поддерживает разнообразные способы подключения, в том числе X.25, Frame Relay и ISDN, позволяя создавать достаточно сложные системы. Кроме того, среди семейства маршрутизаторов Cisco существуют прекрасные серверы удаленного доступа к локальным сетям, а в некоторых конфигурациях частично реализованы функции шлюзов (то, что в терминах Cisco называется Protocol Translation).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предназначенного для работы с X.25 и Frame Relay, наибольший интерес предсталяют продукты, производимые группой информационных систем корпорации Motorola (Motorola ISG). В отличие от магистральных устройств, используемых в глобальных сетях передачи данных (Northern Telecom, Sprint, Alcatel и др.), оборудование Motorola способно работать полностью автономно, без специального центра управления сетью. Набор же возможностей, важных для использования в корпоративных сетях, у оборудования Motorola гораздо шире. Особо следует отметить развитые средства аппаратной и программной модернизации, позволяющие легко приспосабливать оборудование к конкретным условиям. Все продукты Motorola ISG могут работать как коммутаторы X.25/Frame Relay, многопротокольные устройства доступа (PAD, FRAD, SLIP, PPP и пр.), поддерживают Annex G (X.25 поверх Frame Relay), обеспечивают преобразование протоколов SNA (SDLC/QLLC/RFC1490).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многих случаях 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периферийного оборудования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корпоративных сетей удобно использовать решения канадской компании Eicon Technology. Семейство решений Eicon для Unix включает маршрутизатор IP Connect, шлюзы X.25 Connect и SNA Connect. Все эти продукты могут быть установлены на компьютере, работающем под управлением SCO Unix или Unixware. IP Connect позволяет передавать трафик IP через X.25, Frame Relay, PPP или HDLC и совместим с оборудованием других производителей, в частности Cisco и Motorola.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35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35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Xeon E5-2689,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2600 MHz (3100 MHz in Turbo mode)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8 ядер,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2270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млн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транзисторов. </w:t>
      </w:r>
    </w:p>
    <w:tbl>
      <w:tblPr>
        <w:tblStyle w:val="Table1"/>
        <w:tblW w:w="8700.0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785"/>
        <w:tblGridChange w:id="0">
          <w:tblGrid>
            <w:gridCol w:w="3915"/>
            <w:gridCol w:w="478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caccce" w:space="0" w:sz="6" w:val="dotted"/>
              <w:right w:color="000000" w:space="0" w:sz="0" w:val="nil"/>
            </w:tcBorders>
            <w:tcMar>
              <w:top w:w="80.0" w:type="dxa"/>
              <w:left w:w="30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303c"/>
                <w:sz w:val="21"/>
                <w:szCs w:val="21"/>
                <w:highlight w:val="white"/>
                <w:rtl w:val="0"/>
              </w:rPr>
              <w:t xml:space="preserve">Кэш L1, КБ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accce" w:space="0" w:sz="6" w:val="dotted"/>
              <w:right w:color="000000" w:space="0" w:sz="0" w:val="nil"/>
            </w:tcBorders>
            <w:tcMar>
              <w:top w:w="100.0" w:type="dxa"/>
              <w:left w:w="4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460" w:line="308.571428571428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303c"/>
                <w:sz w:val="21"/>
                <w:szCs w:val="21"/>
                <w:highlight w:val="white"/>
                <w:rtl w:val="0"/>
              </w:rPr>
              <w:t xml:space="preserve">8x32 + 8x32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caccce" w:space="0" w:sz="6" w:val="dotted"/>
              <w:right w:color="000000" w:space="0" w:sz="0" w:val="nil"/>
            </w:tcBorders>
            <w:tcMar>
              <w:top w:w="80.0" w:type="dxa"/>
              <w:left w:w="30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460" w:line="308.571428571428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303c"/>
                <w:sz w:val="21"/>
                <w:szCs w:val="21"/>
                <w:highlight w:val="white"/>
                <w:rtl w:val="0"/>
              </w:rPr>
              <w:t xml:space="preserve">Кэш L2, КБ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accce" w:space="0" w:sz="6" w:val="dotted"/>
              <w:right w:color="000000" w:space="0" w:sz="0" w:val="nil"/>
            </w:tcBorders>
            <w:tcMar>
              <w:top w:w="100.0" w:type="dxa"/>
              <w:left w:w="4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460" w:line="308.571428571428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303c"/>
                <w:sz w:val="21"/>
                <w:szCs w:val="21"/>
                <w:highlight w:val="white"/>
                <w:rtl w:val="0"/>
              </w:rPr>
              <w:t xml:space="preserve">8x256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caccce" w:space="0" w:sz="6" w:val="dotted"/>
              <w:right w:color="000000" w:space="0" w:sz="0" w:val="nil"/>
            </w:tcBorders>
            <w:tcMar>
              <w:top w:w="80.0" w:type="dxa"/>
              <w:left w:w="30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460" w:line="308.571428571428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303c"/>
                <w:sz w:val="21"/>
                <w:szCs w:val="21"/>
                <w:highlight w:val="white"/>
                <w:rtl w:val="0"/>
              </w:rPr>
              <w:t xml:space="preserve">Кэш L3, КБ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accce" w:space="0" w:sz="6" w:val="dotted"/>
              <w:right w:color="000000" w:space="0" w:sz="0" w:val="nil"/>
            </w:tcBorders>
            <w:tcMar>
              <w:top w:w="100.0" w:type="dxa"/>
              <w:left w:w="4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460" w:line="308.571428571428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303c"/>
                <w:sz w:val="21"/>
                <w:szCs w:val="21"/>
                <w:highlight w:val="white"/>
                <w:rtl w:val="0"/>
              </w:rPr>
              <w:t xml:space="preserve">20480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color w:val="21303c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Шина: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 GT/s QPI (4000MHz), 5 GT/s DMI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Объём ОЗУ составляет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32768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МБ. DDR3 4 x 8 GB 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жёсткого диска (SSD NVMe) составляет 512 Гб(заявлено производителем), физический – 478,3 Гб.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FAT32. SMART-статус не поддерживает.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Используемое пространство составляет 218,2 ГБ, доступное – 260,1 ГБ.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Физическое разрешение дисплея составляет 1920х1080 (2073600 пикселей).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 HZ, 16:9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Максимальное разрешение, которое позволяет драйвер и видеокарта совпадает с физическим ( 1920x 1080 ), минимальное 800x600 (480000 пикселей)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Видеокарта NVIDIA Geforce GTX 970, внешняя, DVI, 2xHDMI, PCI-Express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Видеопроцессор: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GM204, 1178 MHz, 4GB GDDR5, 5200 млн транзисторов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момент написания статьи дополнительные сетевые интерфейсы компьютера подключены не были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МБ = (17 * 1024 * 1024) Байт= 17825792 Байт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1347"/>
    <w:pPr>
      <w:spacing w:after="200" w:line="276" w:lineRule="auto"/>
    </w:pPr>
    <w:rPr>
      <w:rFonts w:ascii="Calibri" w:cs="Times New Roman" w:eastAsia="Calibri" w:hAnsi="Calibri"/>
    </w:rPr>
  </w:style>
  <w:style w:type="paragraph" w:styleId="1">
    <w:name w:val="heading 1"/>
    <w:basedOn w:val="a"/>
    <w:link w:val="10"/>
    <w:uiPriority w:val="9"/>
    <w:qFormat w:val="1"/>
    <w:rsid w:val="002A302A"/>
    <w:pPr>
      <w:spacing w:after="100" w:afterAutospacing="1" w:before="100" w:beforeAutospacing="1" w:line="240" w:lineRule="auto"/>
      <w:outlineLvl w:val="0"/>
    </w:pPr>
    <w:rPr>
      <w:rFonts w:ascii="Times New Roman" w:eastAsia="Times New Roman" w:hAnsi="Times New Roman"/>
      <w:b w:val="1"/>
      <w:bCs w:val="1"/>
      <w:kern w:val="36"/>
      <w:sz w:val="48"/>
      <w:szCs w:val="48"/>
      <w:lang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Без интервала1"/>
    <w:link w:val="a3"/>
    <w:uiPriority w:val="1"/>
    <w:qFormat w:val="1"/>
    <w:rsid w:val="00C21347"/>
    <w:pPr>
      <w:spacing w:after="0" w:line="240" w:lineRule="auto"/>
    </w:pPr>
    <w:rPr>
      <w:rFonts w:ascii="Calibri" w:cs="Times New Roman" w:eastAsia="Calibri" w:hAnsi="Calibri"/>
    </w:rPr>
  </w:style>
  <w:style w:type="character" w:styleId="a3" w:customStyle="1">
    <w:name w:val="Без интервала Знак"/>
    <w:link w:val="11"/>
    <w:uiPriority w:val="1"/>
    <w:locked w:val="1"/>
    <w:rsid w:val="00C21347"/>
    <w:rPr>
      <w:rFonts w:ascii="Calibri" w:cs="Times New Roman" w:eastAsia="Calibri" w:hAnsi="Calibri"/>
    </w:rPr>
  </w:style>
  <w:style w:type="character" w:styleId="10" w:customStyle="1">
    <w:name w:val="Заголовок 1 Знак"/>
    <w:basedOn w:val="a0"/>
    <w:link w:val="1"/>
    <w:uiPriority w:val="9"/>
    <w:rsid w:val="002A302A"/>
    <w:rPr>
      <w:rFonts w:ascii="Times New Roman" w:cs="Times New Roman" w:eastAsia="Times New Roman" w:hAnsi="Times New Roman"/>
      <w:b w:val="1"/>
      <w:bCs w:val="1"/>
      <w:kern w:val="36"/>
      <w:sz w:val="48"/>
      <w:szCs w:val="48"/>
      <w:lang/>
    </w:rPr>
  </w:style>
  <w:style w:type="paragraph" w:styleId="a4">
    <w:name w:val="Normal (Web)"/>
    <w:basedOn w:val="a"/>
    <w:uiPriority w:val="99"/>
    <w:semiHidden w:val="1"/>
    <w:unhideWhenUsed w:val="1"/>
    <w:rsid w:val="002A302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Sqc1i8Ox0PZpac7ZbbK0Wv9TA==">AMUW2mVzb+0wR+qInrQlD9+zqHegWcn5my3g6bHGac9kUJuj8b8xpTCuuGAvTQI8E3BwcD4sFknq9m4RYrUejQ6XIIUrd4/OAHa1FG7Jc3wCJAXSclNGPA6OtA2VnZbQgjvCXbCNzlTL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2020-02-08T17:07:00Z</dcterms:created>
  <dc:creator>Илья Кудош</dc:creator>
</cp:coreProperties>
</file>