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ogicalisHeading1"/>
      </w:pPr>
      <w:r>
        <w:t>PROPUESTA TÉCNICA Y ECONÓMICA: PLATAFORMA DE MERCADO LOCAL DE FLEXIBILIDAD (MLF)</w:t>
      </w:r>
    </w:p>
    <w:p>
      <w:r>
        <w:rPr>
          <w:b/>
          <w:color w:val="194BFF"/>
        </w:rPr>
        <w:t xml:space="preserve">Remitente: </w:t>
      </w:r>
      <w:r>
        <w:t>OMIE (Operador del Mercado Ibérico de Energía)</w:t>
      </w:r>
    </w:p>
    <w:p>
      <w:r>
        <w:rPr>
          <w:b/>
          <w:color w:val="194BFF"/>
        </w:rPr>
        <w:t xml:space="preserve">Destinatario: </w:t>
      </w:r>
      <w:r>
        <w:t>Agentes del Mercado y Operadores de Red de Distribución (DSOs)</w:t>
      </w:r>
    </w:p>
    <w:p>
      <w:pPr>
        <w:pStyle w:val="LogicalisHeading2"/>
      </w:pPr>
      <w:r>
        <w:t>1. Resumen del Proyecto</w:t>
      </w:r>
    </w:p>
    <w:p>
      <w:r>
        <w:t>OMIE propone la creación de una plataforma avanzada para la gestión de servicios de flexibilidad local. Esta solución permitirá a los proveedores de servicios de flexibilidad (agregadores, vehículos eléctricos, baterías) ofrecer su capacidad para resolver congestiones técnicas en la red de distribución de forma automatizada y competitiva.</w:t>
      </w:r>
    </w:p>
    <w:p>
      <w:pPr>
        <w:pStyle w:val="LogicalisHeading2"/>
      </w:pPr>
      <w:r>
        <w:t>2. Arquitectura Tecnológica</w:t>
      </w:r>
    </w:p>
    <w:p>
      <w:r>
        <w:t>La plataforma se basa en una arquitectura Cloud-Native de alta disponibilidad.</w:t>
      </w:r>
    </w:p>
    <w:p>
      <w:pPr>
        <w:pStyle w:val="ListBullet"/>
      </w:pPr>
      <w:r>
        <w:rPr>
          <w:b/>
        </w:rPr>
        <w:t xml:space="preserve">Escalabilidad: </w:t>
      </w:r>
      <w:r>
        <w:t>Al utilizar infraestructura en la nube pública (región UE), garantizamos que el sistema pueda procesar miles de transacciones por segundo durante picos de volatilidad.</w:t>
      </w:r>
    </w:p>
    <w:p>
      <w:pPr>
        <w:pStyle w:val="ListBullet"/>
      </w:pPr>
      <w:r>
        <w:rPr>
          <w:b/>
        </w:rPr>
        <w:t xml:space="preserve">Conectividad: </w:t>
      </w:r>
      <w:r>
        <w:t>Los agentes se integrarán exclusivamente mediante una API REST pública. Esto elimina la necesidad de hardware físico en las instalaciones del cliente, aunque requiere una conexión permanente a internet para la casación de ofertas en tiempo real.</w:t>
      </w:r>
    </w:p>
    <w:p>
      <w:pPr>
        <w:pStyle w:val="ListBullet"/>
      </w:pPr>
      <w:r>
        <w:rPr>
          <w:b/>
        </w:rPr>
        <w:t xml:space="preserve">Seguridad: </w:t>
      </w:r>
      <w:r>
        <w:t>Delegamos la seguridad de la infraestructura física en nuestro proveedor global de Cloud, centrándonos nosotros en la lógica de cifrado de datos según la normativa NIS2.</w:t>
      </w:r>
    </w:p>
    <w:p>
      <w:pPr>
        <w:pStyle w:val="LogicalisHeading2"/>
      </w:pPr>
      <w:r>
        <w:t>3. Modelo Comercial y Tarifario</w:t>
      </w:r>
    </w:p>
    <w:p>
      <w:r>
        <w:t>Proponemos un modelo de Software as a Service (SaaS) para minimizar la inversión inicial (CAPEX) de los agentes:</w:t>
      </w:r>
    </w:p>
    <w:p>
      <w:pPr>
        <w:pStyle w:val="ListBullet"/>
      </w:pPr>
      <w:r>
        <w:rPr>
          <w:b/>
        </w:rPr>
        <w:t xml:space="preserve">Cuota de Alta: </w:t>
      </w:r>
      <w:r>
        <w:t>5.000 € (pago único).</w:t>
      </w:r>
    </w:p>
    <w:p>
      <w:pPr>
        <w:pStyle w:val="ListBullet"/>
      </w:pPr>
      <w:r>
        <w:rPr>
          <w:b/>
        </w:rPr>
        <w:t xml:space="preserve">Comisión Variable: </w:t>
      </w:r>
      <w:r>
        <w:t>0,05 € por cada MWh casado con éxito.</w:t>
      </w:r>
    </w:p>
    <w:p>
      <w:pPr>
        <w:pStyle w:val="ListBullet"/>
      </w:pPr>
      <w:r>
        <w:rPr>
          <w:b/>
        </w:rPr>
        <w:t xml:space="preserve">Mantenimiento: </w:t>
      </w:r>
      <w:r>
        <w:t>Incluido en la comisión variable, lo que significa que el coste para el agente fluctúa directamente con su actividad en el mercado.</w:t>
      </w:r>
    </w:p>
    <w:p>
      <w:pPr>
        <w:pStyle w:val="LogicalisHeading2"/>
      </w:pPr>
      <w:r>
        <w:t>4. Calendario de Despliegue</w:t>
      </w:r>
    </w:p>
    <w:p>
      <w:r>
        <w:t>El proyecto se ejecutará en un plazo de 12 meses. Dependemos de la aprobación final de los protocolos de comunicación por parte del Regulador (CNMC) y de la sincronización técnica con el Operador del Sistema (REE). Cualquier retraso en estas aprobaciones externas podría desplazar la fecha de salida a producción, prevista para enero de 2027.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Roboto" w:hAnsi="Robot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ogicalisHeading1">
    <w:name w:val="Logicalis Heading 1"/>
    <w:basedOn w:val="Heading1"/>
    <w:rPr>
      <w:rFonts w:ascii="Montserrat" w:hAnsi="Montserrat"/>
      <w:b/>
      <w:color w:val="FF1414"/>
      <w:sz w:val="40"/>
    </w:rPr>
  </w:style>
  <w:style w:type="paragraph" w:customStyle="1" w:styleId="LogicalisHeading2">
    <w:name w:val="Logicalis Heading 2"/>
    <w:basedOn w:val="Heading2"/>
    <w:rPr>
      <w:rFonts w:ascii="Montserrat" w:hAnsi="Montserrat"/>
      <w:b/>
      <w:color w:val="000000"/>
      <w:sz w:val="32"/>
    </w:rPr>
  </w:style>
  <w:style w:type="paragraph" w:customStyle="1" w:styleId="LogicalisHeading3">
    <w:name w:val="Logicalis Heading 3"/>
    <w:basedOn w:val="Heading3"/>
    <w:rPr>
      <w:rFonts w:ascii="Montserrat" w:hAnsi="Montserrat"/>
      <w:b/>
      <w:color w:val="000000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