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B40000"/>
          <w:sz w:val="26"/>
        </w:rPr>
        <w:t>ÉCOLE MAROCAINE DES SCIENCES DE L'INGÉNIEUR</w:t>
        <w:br/>
        <w:t>EMSI — HONORIS UNITED UNIVERSITIES</w:t>
      </w:r>
    </w:p>
    <w:p>
      <w:pPr>
        <w:spacing w:before="40" w:after="360"/>
        <w:jc w:val="center"/>
      </w:pPr>
      <w:r>
        <w:rPr>
          <w:rFonts w:ascii="Times New Roman" w:hAnsi="Times New Roman"/>
          <w:i/>
          <w:color w:val="475569"/>
          <w:sz w:val="24"/>
        </w:rPr>
        <w:t>Filière : Ingénierie Informatique et Réseaux (4IIR)</w:t>
      </w:r>
    </w:p>
    <w:p>
      <w:pPr>
        <w:spacing w:before="300" w:after="300"/>
        <w:jc w:val="center"/>
      </w:pPr>
      <w:r>
        <w:rPr>
          <w:rFonts w:ascii="Times New Roman" w:hAnsi="Times New Roman"/>
          <w:b/>
          <w:color w:val="0F172A"/>
          <w:sz w:val="36"/>
        </w:rPr>
        <w:t>RAPPORT DE PROJET DE FIN D'ANNÉE</w:t>
      </w:r>
    </w:p>
    <w:p>
      <w:pPr>
        <w:spacing w:before="100" w:after="80"/>
        <w:jc w:val="center"/>
      </w:pPr>
      <w:r>
        <w:rPr>
          <w:rFonts w:ascii="Times New Roman" w:hAnsi="Times New Roman"/>
          <w:b/>
          <w:color w:val="B40000"/>
          <w:sz w:val="26"/>
        </w:rPr>
        <w:t>THÈME :</w:t>
      </w:r>
    </w:p>
    <w:tbl>
      <w:tblPr>
        <w:tblW w:type="auto" w:w="0"/>
        <w:jc w:val="center"/>
        <w:tblLook w:firstColumn="1" w:firstRow="1" w:lastColumn="0" w:lastRow="0" w:noHBand="0" w:noVBand="1" w:val="04A0"/>
      </w:tblPr>
      <w:tblGrid>
        <w:gridCol w:w="9072"/>
      </w:tblGrid>
      <w:tr>
        <w:tc>
          <w:tcPr>
            <w:tcW w:type="dxa" w:w="9071"/>
            <w:tcMar>
              <w:top w:w="200" w:type="dxa"/>
              <w:bottom w:w="200" w:type="dxa"/>
              <w:left w:w="200" w:type="dxa"/>
              <w:right w:w="200" w:type="dxa"/>
            </w:tcMar>
            <w:shd w:fill="F8FAFC"/>
            <w:tcBorders>
              <w:top w:val="single" w:sz="12" w:space="0" w:color="1E3A8A"/>
              <w:left w:val="single" w:sz="12" w:space="0" w:color="1E3A8A"/>
              <w:bottom w:val="single" w:sz="12" w:space="0" w:color="1E3A8A"/>
              <w:right w:val="single" w:sz="12" w:space="0" w:color="1E3A8A"/>
            </w:tcBorders>
          </w:tcPr>
          <w:p>
            <w:pPr>
              <w:spacing w:line="312" w:lineRule="auto" w:before="80" w:after="80"/>
              <w:jc w:val="center"/>
            </w:pPr>
            <w:r>
              <w:rPr>
                <w:rFonts w:ascii="Times New Roman" w:hAnsi="Times New Roman"/>
                <w:b/>
                <w:color w:val="1E3A8A"/>
                <w:sz w:val="28"/>
              </w:rPr>
              <w:t>InsurFlow : Conception et Réalisation d'une Plateforme ERP Cloud Native &amp; Intelligente pour la Gestion Intégrale de la Production d'Assurance, du Double Circuit de Règlements, de la Facturation et des Exercices Comptables</w:t>
            </w:r>
          </w:p>
        </w:tc>
      </w:tr>
    </w:tbl>
    <w:p>
      <w:pPr>
        <w:spacing w:before="400"/>
      </w:pPr>
    </w:p>
    <w:tbl>
      <w:tblPr>
        <w:tblW w:type="auto" w:w="0"/>
        <w:jc w:val="center"/>
        <w:tblLayout w:type="fixed"/>
        <w:tblLook w:firstColumn="1" w:firstRow="1" w:lastColumn="0" w:lastRow="0" w:noHBand="0" w:noVBand="1" w:val="04A0"/>
      </w:tblPr>
      <w:tblGrid>
        <w:gridCol w:w="4536"/>
        <w:gridCol w:w="4536"/>
      </w:tblGrid>
      <w:tr>
        <w:tc>
          <w:tcPr>
            <w:tcW w:type="dxa" w:w="4535"/>
            <w:tcMar>
              <w:top w:w="80" w:type="dxa"/>
              <w:bottom w:w="80" w:type="dxa"/>
              <w:left w:w="100" w:type="dxa"/>
              <w:right w:w="100" w:type="dxa"/>
            </w:tcMar>
            <w:tcBorders>
              <w:top w:val="single" w:sz="0" w:space="0" w:color="FFFFFF"/>
              <w:left w:val="single" w:sz="0" w:space="0" w:color="FFFFFF"/>
              <w:bottom w:val="single" w:sz="0" w:space="0" w:color="FFFFFF"/>
              <w:right w:val="single" w:sz="0" w:space="0" w:color="FFFFFF"/>
            </w:tcBorders>
          </w:tcPr>
          <w:p>
            <w:pPr>
              <w:spacing w:after="40"/>
            </w:pPr>
            <w:r>
              <w:rPr>
                <w:b/>
                <w:color w:val="B40000"/>
                <w:sz w:val="22"/>
              </w:rPr>
              <w:t>Réalisé par :</w:t>
              <w:br/>
            </w:r>
            <w:r>
              <w:rPr>
                <w:b/>
                <w:sz w:val="22"/>
              </w:rPr>
              <w:t>Élève-Ingénieur en 4IIR</w:t>
            </w:r>
          </w:p>
        </w:tc>
        <w:tc>
          <w:tcPr>
            <w:tcW w:type="dxa" w:w="4535"/>
            <w:tcMar>
              <w:top w:w="80" w:type="dxa"/>
              <w:bottom w:w="80" w:type="dxa"/>
              <w:left w:w="100" w:type="dxa"/>
              <w:right w:w="100" w:type="dxa"/>
            </w:tcMar>
            <w:tcBorders>
              <w:top w:val="single" w:sz="0" w:space="0" w:color="FFFFFF"/>
              <w:left w:val="single" w:sz="0" w:space="0" w:color="FFFFFF"/>
              <w:bottom w:val="single" w:sz="0" w:space="0" w:color="FFFFFF"/>
              <w:right w:val="single" w:sz="0" w:space="0" w:color="FFFFFF"/>
            </w:tcBorders>
          </w:tcPr>
          <w:p>
            <w:pPr>
              <w:spacing w:after="40"/>
            </w:pPr>
            <w:r>
              <w:rPr>
                <w:b/>
                <w:color w:val="B40000"/>
                <w:sz w:val="22"/>
              </w:rPr>
              <w:t>Organisme d'accueil :</w:t>
              <w:br/>
            </w:r>
            <w:r>
              <w:rPr>
                <w:sz w:val="22"/>
              </w:rPr>
              <w:t>Cabinet de Courtage en Assurances</w:t>
              <w:br/>
              <w:t>YK Software Solutions</w:t>
            </w:r>
          </w:p>
        </w:tc>
      </w:tr>
      <w:tr>
        <w:tc>
          <w:tcPr>
            <w:tcW w:type="dxa" w:w="4535"/>
            <w:tcMar>
              <w:top w:w="80" w:type="dxa"/>
              <w:bottom w:w="80" w:type="dxa"/>
              <w:left w:w="100" w:type="dxa"/>
              <w:right w:w="100" w:type="dxa"/>
            </w:tcMar>
            <w:tcBorders>
              <w:top w:val="single" w:sz="0" w:space="0" w:color="FFFFFF"/>
              <w:left w:val="single" w:sz="0" w:space="0" w:color="FFFFFF"/>
              <w:bottom w:val="single" w:sz="0" w:space="0" w:color="FFFFFF"/>
              <w:right w:val="single" w:sz="0" w:space="0" w:color="FFFFFF"/>
            </w:tcBorders>
          </w:tcPr>
          <w:p>
            <w:pPr>
              <w:spacing w:before="160" w:after="40"/>
            </w:pPr>
            <w:r>
              <w:rPr>
                <w:b/>
                <w:color w:val="B40000"/>
                <w:sz w:val="22"/>
              </w:rPr>
              <w:t>Encadrant Pédagogique :</w:t>
              <w:br/>
            </w:r>
            <w:r>
              <w:rPr>
                <w:sz w:val="22"/>
              </w:rPr>
              <w:t>Pr. [Nom &amp; Prénom]</w:t>
              <w:br/>
              <w:t>Enseignant-Chercheur EMSI</w:t>
            </w:r>
          </w:p>
        </w:tc>
        <w:tc>
          <w:tcPr>
            <w:tcW w:type="dxa" w:w="4535"/>
            <w:tcMar>
              <w:top w:w="80" w:type="dxa"/>
              <w:bottom w:w="80" w:type="dxa"/>
              <w:left w:w="100" w:type="dxa"/>
              <w:right w:w="100" w:type="dxa"/>
            </w:tcMar>
            <w:tcBorders>
              <w:top w:val="single" w:sz="0" w:space="0" w:color="FFFFFF"/>
              <w:left w:val="single" w:sz="0" w:space="0" w:color="FFFFFF"/>
              <w:bottom w:val="single" w:sz="0" w:space="0" w:color="FFFFFF"/>
              <w:right w:val="single" w:sz="0" w:space="0" w:color="FFFFFF"/>
            </w:tcBorders>
          </w:tcPr>
          <w:p>
            <w:pPr>
              <w:spacing w:before="160" w:after="40"/>
            </w:pPr>
            <w:r>
              <w:rPr>
                <w:b/>
                <w:color w:val="B40000"/>
                <w:sz w:val="22"/>
              </w:rPr>
              <w:t>Encadrant Professionnel :</w:t>
              <w:br/>
            </w:r>
            <w:r>
              <w:rPr>
                <w:sz w:val="22"/>
              </w:rPr>
              <w:t>M. [Nom &amp; Prénom]</w:t>
              <w:br/>
              <w:t>Expert Métier Assurance</w:t>
            </w:r>
          </w:p>
        </w:tc>
      </w:tr>
      <w:tr>
        <w:tc>
          <w:tcPr>
            <w:tcW w:type="dxa" w:w="4535"/>
            <w:tcMar>
              <w:top w:w="80" w:type="dxa"/>
              <w:bottom w:w="80" w:type="dxa"/>
              <w:left w:w="100" w:type="dxa"/>
              <w:right w:w="100" w:type="dxa"/>
            </w:tcMar>
            <w:tcBorders>
              <w:top w:val="single" w:sz="0" w:space="0" w:color="FFFFFF"/>
              <w:left w:val="single" w:sz="0" w:space="0" w:color="FFFFFF"/>
              <w:bottom w:val="single" w:sz="0" w:space="0" w:color="FFFFFF"/>
              <w:right w:val="single" w:sz="0" w:space="0" w:color="FFFFFF"/>
            </w:tcBorders>
          </w:tcPr>
          <w:p/>
        </w:tc>
        <w:tc>
          <w:tcPr>
            <w:tcW w:type="dxa" w:w="4535"/>
            <w:tcMar>
              <w:top w:w="80" w:type="dxa"/>
              <w:bottom w:w="80" w:type="dxa"/>
              <w:left w:w="100" w:type="dxa"/>
              <w:right w:w="100" w:type="dxa"/>
            </w:tcMar>
            <w:tcBorders>
              <w:top w:val="single" w:sz="0" w:space="0" w:color="FFFFFF"/>
              <w:left w:val="single" w:sz="0" w:space="0" w:color="FFFFFF"/>
              <w:bottom w:val="single" w:sz="0" w:space="0" w:color="FFFFFF"/>
              <w:right w:val="single" w:sz="0" w:space="0" w:color="FFFFFF"/>
            </w:tcBorders>
          </w:tcPr>
          <w:p/>
        </w:tc>
      </w:tr>
    </w:tbl>
    <w:p>
      <w:pPr>
        <w:spacing w:before="500" w:after="0"/>
        <w:jc w:val="center"/>
      </w:pPr>
      <w:r>
        <w:rPr>
          <w:rFonts w:ascii="Times New Roman" w:hAnsi="Times New Roman"/>
          <w:b/>
          <w:color w:val="0F172A"/>
          <w:sz w:val="24"/>
        </w:rPr>
        <w:t>Année Universitaire : 2025 / 2026</w:t>
      </w:r>
    </w:p>
    <w:p>
      <w:r>
        <w:br w:type="page"/>
      </w:r>
    </w:p>
    <w:p>
      <w:pPr>
        <w:keepNext/>
        <w:spacing w:before="360" w:after="160"/>
        <w:ind w:firstLine="0"/>
        <w:jc w:val="left"/>
      </w:pPr>
      <w:r>
        <w:rPr>
          <w:rFonts w:ascii="Times New Roman" w:hAnsi="Times New Roman"/>
          <w:b/>
          <w:color w:val="0F172A"/>
          <w:sz w:val="32"/>
        </w:rPr>
        <w:t>Dédicaces</w:t>
      </w:r>
    </w:p>
    <w:p>
      <w:pPr>
        <w:spacing w:line="360" w:lineRule="auto" w:before="120" w:after="120"/>
        <w:ind w:firstLine="0"/>
        <w:jc w:val="both"/>
      </w:pPr>
      <w:r>
        <w:rPr>
          <w:rFonts w:ascii="Times New Roman" w:hAnsi="Times New Roman"/>
          <w:b w:val="0"/>
          <w:i/>
          <w:color w:val="000000"/>
          <w:sz w:val="24"/>
        </w:rPr>
        <w:t>À nos très chers parents, pour leurs sacrifices incommensurables, leur soutien indéfectible, leur amour inconditionnel et leurs prières tout au long de notre parcours universitaire et personnel.</w:t>
      </w:r>
    </w:p>
    <w:p>
      <w:pPr>
        <w:spacing w:line="360" w:lineRule="auto" w:before="120" w:after="120"/>
        <w:ind w:firstLine="0"/>
        <w:jc w:val="both"/>
      </w:pPr>
      <w:r>
        <w:rPr>
          <w:rFonts w:ascii="Times New Roman" w:hAnsi="Times New Roman"/>
          <w:b w:val="0"/>
          <w:i/>
          <w:color w:val="000000"/>
          <w:sz w:val="24"/>
        </w:rPr>
        <w:t>À nos frères et sœurs, pour leur encouragement constant, leur présence chaleureuse et leur bienveillance.</w:t>
      </w:r>
    </w:p>
    <w:p>
      <w:pPr>
        <w:spacing w:line="360" w:lineRule="auto" w:before="120" w:after="120"/>
        <w:ind w:firstLine="0"/>
        <w:jc w:val="both"/>
      </w:pPr>
      <w:r>
        <w:rPr>
          <w:rFonts w:ascii="Times New Roman" w:hAnsi="Times New Roman"/>
          <w:b w:val="0"/>
          <w:i/>
          <w:color w:val="000000"/>
          <w:sz w:val="24"/>
        </w:rPr>
        <w:t>À l'ensemble de nos professeurs et formateurs de l'École Marocaine des Sciences de l'Ingénieur (EMSI), qui nous ont transmis le savoir, la rigueur technique et la passion de l'ingénierie logicielle.</w:t>
      </w:r>
    </w:p>
    <w:p>
      <w:pPr>
        <w:spacing w:line="360" w:lineRule="auto" w:before="120" w:after="120"/>
        <w:ind w:firstLine="0"/>
        <w:jc w:val="both"/>
      </w:pPr>
      <w:r>
        <w:rPr>
          <w:rFonts w:ascii="Times New Roman" w:hAnsi="Times New Roman"/>
          <w:b w:val="0"/>
          <w:i/>
          <w:color w:val="000000"/>
          <w:sz w:val="24"/>
        </w:rPr>
        <w:t>À tous nos collègues et amis de la promotion 4IIR, avec lesquels nous avons partagé des moments d'apprentissage inoubliables et stimulants.</w:t>
      </w:r>
    </w:p>
    <w:p>
      <w:pPr>
        <w:spacing w:line="360" w:lineRule="auto" w:before="120" w:after="120"/>
        <w:ind w:firstLine="0"/>
        <w:jc w:val="both"/>
      </w:pPr>
      <w:r>
        <w:rPr>
          <w:rFonts w:ascii="Times New Roman" w:hAnsi="Times New Roman"/>
          <w:b w:val="0"/>
          <w:i/>
          <w:color w:val="000000"/>
          <w:sz w:val="24"/>
        </w:rPr>
        <w:t>À tous ceux qui ont contribué, de près ou de loin, à l'aboutissement de ce travail.</w:t>
      </w:r>
    </w:p>
    <w:p>
      <w:pPr>
        <w:spacing w:line="276" w:lineRule="auto" w:before="80" w:after="200"/>
        <w:ind w:firstLine="0"/>
        <w:jc w:val="right"/>
      </w:pPr>
      <w:r>
        <w:rPr>
          <w:rFonts w:ascii="Times New Roman" w:hAnsi="Times New Roman"/>
          <w:b w:val="0"/>
          <w:i/>
          <w:sz w:val="22"/>
        </w:rPr>
        <w:t>Nous vous dédions ce modeste travail en témoignage de notre profonde gratitude.</w:t>
      </w:r>
    </w:p>
    <w:p>
      <w:r>
        <w:br w:type="page"/>
      </w:r>
    </w:p>
    <w:p>
      <w:pPr>
        <w:keepNext/>
        <w:spacing w:before="360" w:after="160"/>
        <w:ind w:firstLine="0"/>
        <w:jc w:val="left"/>
      </w:pPr>
      <w:r>
        <w:rPr>
          <w:rFonts w:ascii="Times New Roman" w:hAnsi="Times New Roman"/>
          <w:b/>
          <w:color w:val="0F172A"/>
          <w:sz w:val="32"/>
        </w:rPr>
        <w:t>Remerciements</w:t>
      </w:r>
    </w:p>
    <w:p>
      <w:pPr>
        <w:spacing w:line="360" w:lineRule="auto" w:before="120" w:after="120"/>
        <w:ind w:firstLine="454"/>
        <w:jc w:val="both"/>
      </w:pPr>
      <w:r>
        <w:rPr>
          <w:rFonts w:ascii="Times New Roman" w:hAnsi="Times New Roman"/>
          <w:b w:val="0"/>
          <w:i w:val="0"/>
          <w:color w:val="000000"/>
          <w:sz w:val="24"/>
        </w:rPr>
        <w:t>Au terme de ce projet de fin d'année, nous tenons à exprimer notre profonde gratitude et nos sincères remerciements à toutes les personnes qui ont contribué à la réussite de ce travail d'ingénierie.</w:t>
      </w:r>
    </w:p>
    <w:p>
      <w:pPr>
        <w:spacing w:line="360" w:lineRule="auto" w:before="120" w:after="120"/>
        <w:ind w:firstLine="454"/>
        <w:jc w:val="both"/>
      </w:pPr>
      <w:r>
        <w:rPr>
          <w:rFonts w:ascii="Times New Roman" w:hAnsi="Times New Roman"/>
          <w:b w:val="0"/>
          <w:i w:val="0"/>
          <w:color w:val="000000"/>
          <w:sz w:val="24"/>
        </w:rPr>
        <w:t>Nous exprimons nos vifs remerciements à notre encadrant pédagogique de l'</w:t>
      </w:r>
      <w:r>
        <w:rPr>
          <w:rFonts w:ascii="Times New Roman" w:hAnsi="Times New Roman"/>
          <w:b/>
          <w:i w:val="0"/>
          <w:color w:val="000000"/>
          <w:sz w:val="24"/>
        </w:rPr>
        <w:t>École Marocaine des Sciences de l'Ingénieur (EMSI)</w:t>
      </w:r>
      <w:r>
        <w:rPr>
          <w:rFonts w:ascii="Times New Roman" w:hAnsi="Times New Roman"/>
          <w:b w:val="0"/>
          <w:i w:val="0"/>
          <w:color w:val="000000"/>
          <w:sz w:val="24"/>
        </w:rPr>
        <w:t>, Pr. [Nom de l'encadrant], pour son encadrement bienveillant, ses conseils méthodologiques éclairés, sa disponibilité constante et ses orientations techniques précieuses tout au long de ce projet.</w:t>
      </w:r>
    </w:p>
    <w:p>
      <w:pPr>
        <w:spacing w:line="360" w:lineRule="auto" w:before="120" w:after="120"/>
        <w:ind w:firstLine="454"/>
        <w:jc w:val="both"/>
      </w:pPr>
      <w:r>
        <w:rPr>
          <w:rFonts w:ascii="Times New Roman" w:hAnsi="Times New Roman"/>
          <w:b w:val="0"/>
          <w:i w:val="0"/>
          <w:color w:val="000000"/>
          <w:sz w:val="24"/>
        </w:rPr>
        <w:t>Nous tenons également à adresser nos sincères remerciements à notre encadrant professionnel au sein de l'organisme d'accueil, M. [Nom de l'encadrant], pour la confiance qu'il nous a accordée en nous confiant ce projet d'envergure, pour son partage d'expertise métier dans le secteur des assurances marocaines et pour son suivi rigoureux des livrables.</w:t>
      </w:r>
    </w:p>
    <w:p>
      <w:pPr>
        <w:spacing w:line="360" w:lineRule="auto" w:before="120" w:after="120"/>
        <w:ind w:firstLine="454"/>
        <w:jc w:val="both"/>
      </w:pPr>
      <w:r>
        <w:rPr>
          <w:rFonts w:ascii="Times New Roman" w:hAnsi="Times New Roman"/>
          <w:b w:val="0"/>
          <w:i w:val="0"/>
          <w:color w:val="000000"/>
          <w:sz w:val="24"/>
        </w:rPr>
        <w:t>Nos remerciements s'adressent également au corps professoral et à la direction pédagogique de l'EMSI pour la qualité de la formation dispensée durant notre cursus d'ingénieur en Informatique et Réseaux.</w:t>
      </w:r>
    </w:p>
    <w:p>
      <w:pPr>
        <w:spacing w:line="360" w:lineRule="auto" w:before="120" w:after="120"/>
        <w:ind w:firstLine="454"/>
        <w:jc w:val="both"/>
      </w:pPr>
      <w:r>
        <w:rPr>
          <w:rFonts w:ascii="Times New Roman" w:hAnsi="Times New Roman"/>
          <w:b w:val="0"/>
          <w:i w:val="0"/>
          <w:color w:val="000000"/>
          <w:sz w:val="24"/>
        </w:rPr>
        <w:t>Enfin, nous remercions l'ensemble des membres de l'équipe technique et métier de l'organisme d'accueil pour leur accueil chaleureux, leur collaboration et leur disponibilité lors des phases d'analyse des processus existants et de recette applicative.</w:t>
      </w:r>
    </w:p>
    <w:p>
      <w:r>
        <w:br w:type="page"/>
      </w:r>
    </w:p>
    <w:p>
      <w:pPr>
        <w:keepNext/>
        <w:spacing w:before="360" w:after="160"/>
        <w:ind w:firstLine="0"/>
        <w:jc w:val="left"/>
      </w:pPr>
      <w:r>
        <w:rPr>
          <w:rFonts w:ascii="Times New Roman" w:hAnsi="Times New Roman"/>
          <w:b/>
          <w:color w:val="0F172A"/>
          <w:sz w:val="32"/>
        </w:rPr>
        <w:t>Table des Matières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[Introduction Générale](#introduction-générale)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[Chapitre 1 : Présentation du cadre de projet](#chapitre-1--présentation-du-cadre-de-projet)</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[1. Introduction](#1-introduction)</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[2. Présentation de la société d&amp;#39;accueil](#2-présentation-de-la-société-daccueil)</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[2.1. Secteur d&amp;#39;activité et missions](#21-secteur-dactivité-et-missions)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[2.2. Structure organisationnelle et organigramme](#22-structure-organisationnelle-et-organigramme)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[2.3. Outils informatiques et environnement initial](#23-outils-informatiques-et-environnement-initial)</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[3. Étude de l&amp;#39;existant](#3-étude-de-lexistant)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[3.1. Description de l&amp;#39;existant](#31-description-de-lexistant)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[3.2. Critique de l&amp;#39;existant](#32-critique-de-lexistant)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[3.3. Solution proposée](#33-solution-proposée)</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[4. Choix de modèle de développement](#4-choix-de-modèle-de-développement)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[4.1. Démarche Agile Scrum](#41-démarche-agile-scrum)</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[4.2. Rôles et cérémonies Scrum](#42-rôles-et-cérémonies-scrum)</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[5. Planification du projet](#5-planification-du-projet)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[5.1. Planning prévisionnel](#51-planning-prévisionnel)</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[5.2. Planning réel et analyse des écarts](#52-planning-réel-et-analyse-des-écarts)</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[6. Conclusion](#6-conclusion)</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[Chapitre 2 : Spécification des besoins](#chapitre-2--spécification-des-besoins)</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[1. Introduction](#1-introduction-1)</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[2. Spécification des besoins fonctionnels](#2-spécification-des-besoins-fonctionnels)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[2.1. Gestion des polices d&amp;#39;assurance et production](#21-gestion-des-polices-dassurance-et-production)</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[2.2. Gestion financière et double circuit de règlements](#22-gestion-financière-et-double-circuit-de-règlements)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[2.3. Gestion du portefeuille clients et conformité KYC](#23-gestion-du-portefeuille-clients-et-conformité-kyc)</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[2.4. Module de facturation et génération documentaire](#24-module-de-facturation-et-génération-documentaire)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[2.5. Modules d&amp;#39;Intelligence Artificielle : Sinistres et Risques](#25-modules-dintelligence-artificielle--sinistres-et-risques)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[2.6. Tableau de bord analytics et exercices comptables](#26-tableau-de-bord-analytics-et-exercices-comptables)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[2.7. Administration système, sécurité RBAC et référentiels](#27-administration-système-sécurité-rbac-et-référentiels)</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[3. Spécification des besoins non fonctionnels](#3-spécification-des-besoins-non-fonctionnels)</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[4. Présentation des cas d&amp;#39;utilisation](#4-présentation-des-cas-dutilisation)</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[4.1. Présentation des acteurs](#41-présentation-des-acteurs)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[4.2. Description des cas d&amp;#39;utilisation](#42-description-des-cas-dutilisation)</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[4.3. Diagramme des cas d&amp;#39;utilisation global](#43-diagramme-des-cas-dutilisation-global)</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[5. Conclusion](#5-conclusion-1)</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[Chapitre 3 : Conception du système](#chapitre-3--conception-du-système)</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[1. Introduction](#1-introduction-2)</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[2. Modélisation dynamique](#2-modélisation-dynamique)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[2.1. Diagrammes de séquences](#21-diagrammes-de-séquences)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[2.2. Diagrammes de collaboration](#22-diagrammes-de-collaboration)</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[2.3. Diagrammes d&amp;#39;états-transitions](#23-diagrammes-détats-transitions)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[2.4. Diagrammes d&amp;#39;activité](#24-diagrammes-dactivité)</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[3. Modélisation statique](#3-modélisation-statique)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[3.1. Diagramme de classes](#31-diagramme-de-classes)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[3.2. Modèle relationnel (MLD)](#32-modèle-relationnel-mld)</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[3.3. Dictionnaire de données](#33-dictionnaire-de-données)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[3.4. Architecture de l&amp;#39;application](#34-architecture-de-lapplication)</w:t>
      </w:r>
    </w:p>
    <w:p>
      <w:pPr>
        <w:spacing w:line="312" w:lineRule="auto" w:before="40" w:after="60"/>
        <w:ind w:left="1417" w:hanging="227"/>
        <w:jc w:val="both"/>
      </w:pPr>
      <w:r>
        <w:rPr>
          <w:rFonts w:ascii="Times New Roman" w:hAnsi="Times New Roman"/>
          <w:color w:val="64748B"/>
          <w:sz w:val="24"/>
        </w:rPr>
        <w:t xml:space="preserve">–  </w:t>
      </w:r>
      <w:r>
        <w:rPr>
          <w:rFonts w:ascii="Times New Roman" w:hAnsi="Times New Roman"/>
          <w:b w:val="0"/>
          <w:i w:val="0"/>
          <w:color w:val="000000"/>
          <w:sz w:val="24"/>
        </w:rPr>
        <w:t>[3.4.1. Architecture logicielle](#341-architecture-logicielle)</w:t>
      </w:r>
    </w:p>
    <w:p>
      <w:pPr>
        <w:spacing w:line="312" w:lineRule="auto" w:before="40" w:after="60"/>
        <w:ind w:left="1417" w:hanging="227"/>
        <w:jc w:val="both"/>
      </w:pPr>
      <w:r>
        <w:rPr>
          <w:rFonts w:ascii="Times New Roman" w:hAnsi="Times New Roman"/>
          <w:color w:val="64748B"/>
          <w:sz w:val="24"/>
        </w:rPr>
        <w:t xml:space="preserve">–  </w:t>
      </w:r>
      <w:r>
        <w:rPr>
          <w:rFonts w:ascii="Times New Roman" w:hAnsi="Times New Roman"/>
          <w:b w:val="0"/>
          <w:i w:val="0"/>
          <w:color w:val="000000"/>
          <w:sz w:val="24"/>
        </w:rPr>
        <w:t>[3.4.2. Architecture matérielle](#342-architecture-matérielle)</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[4. Conclusion](#4-conclusion-2)</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[Chapitre 4 : Réalisation du système](#chapitre-4--réalisation-du-système)</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[1. Introduction](#1-introduction-3)</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[2. Environnement de développement](#2-environnement-de-développement)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[2.1. Environnement matériel](#21-environnement-matériel)</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[2.2. Environnement logiciel](#22-environnement-logiciel)</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[3. Principales interfaces graphiques](#3-principales-interfaces-graphiques)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[3.1. Page d&amp;#39;authentification sécurisée et contrôle d&amp;#39;accès JWT](#31-page-dauthentification-sécurisée-et-contrôle-daccès-jwt)</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[3.2. Tableau de bord exécutif &amp;amp; analytics par exercice comptable](#32-tableau-de-bord-exécutif--analytics-par-exercice-comptable)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[3.3. Registre de production des opérations et filtres multi-critères](#33-registre-de-production-des-opérations-et-filtres-multi-critères)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[3.4. Formulaire de police maritime et ventilation co-assurance](#34-formulaire-de-police-maritime-et-ventilation-co-assurance)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[3.5. Fiche de détail du double circuit financier (Clients &amp;amp; CIE)](#35-fiche-de-détail-du-double-circuit-financier-clients--cie)</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[3.6. Module facturation, devis proforma et factures d&amp;#39;avoir](#36-module-facturation-devis-proforma-et-factures-davoir)</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[3.7. Document officiel de facturation et devis PDF haute résolution](#37-document-officiel-de-facturation-et-devis-pdf-haute-résolution)</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[3.8. Modal d&amp;#39;analyse intelligente des sinistres par IA (Claims AI)](#38-modal-danalyse-intelligente-des-sinistres-par-ia-claims-ai)</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[3.9. Registre et pilotage du cycle de vie des sinistres](#39-registre-et-pilotage-du-cycle-de-vie-des-sinistres)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[3.10. Stack d&amp;#39;observabilité et monitoring de production (Grafana / Prometheus)](#310-stack-dobservabilité-et-monitoring-de-production-grafana--prometheus)</w:t>
      </w:r>
    </w:p>
    <w:p>
      <w:pPr>
        <w:spacing w:line="312" w:lineRule="auto" w:before="40" w:after="60"/>
        <w:ind w:left="1134" w:hanging="227"/>
        <w:jc w:val="both"/>
      </w:pPr>
      <w:r>
        <w:rPr>
          <w:rFonts w:ascii="Times New Roman" w:hAnsi="Times New Roman"/>
          <w:color w:val="64748B"/>
          <w:sz w:val="24"/>
        </w:rPr>
        <w:t xml:space="preserve">–  </w:t>
      </w:r>
      <w:r>
        <w:rPr>
          <w:rFonts w:ascii="Times New Roman" w:hAnsi="Times New Roman"/>
          <w:b w:val="0"/>
          <w:i w:val="0"/>
          <w:color w:val="000000"/>
          <w:sz w:val="24"/>
        </w:rPr>
        <w:t>[3.11. Pipeline d&amp;#39;automatisation DevSecOps (CI/CD GitHub Actions &amp;amp; Scans Trivy)](#311-pipeline-dautomatisation-devsecops-cicd-github-actions--scans-trivy)</w:t>
      </w:r>
    </w:p>
    <w:p>
      <w:pPr>
        <w:spacing w:line="312" w:lineRule="auto" w:before="40" w:after="60"/>
        <w:ind w:left="850" w:hanging="227"/>
        <w:jc w:val="both"/>
      </w:pPr>
      <w:r>
        <w:rPr>
          <w:rFonts w:ascii="Times New Roman" w:hAnsi="Times New Roman"/>
          <w:color w:val="64748B"/>
          <w:sz w:val="24"/>
        </w:rPr>
        <w:t xml:space="preserve">–  </w:t>
      </w:r>
      <w:r>
        <w:rPr>
          <w:rFonts w:ascii="Times New Roman" w:hAnsi="Times New Roman"/>
          <w:b w:val="0"/>
          <w:i w:val="0"/>
          <w:color w:val="000000"/>
          <w:sz w:val="24"/>
        </w:rPr>
        <w:t>[4. Conclusion](#4-conclusion-3)</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[Conclusion Générale](#conclusion-générale)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[Bibliographie et Nétographie](#bibliographie-et-nétographie)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[Annexes](#annexes)</w:t>
      </w:r>
    </w:p>
    <w:p>
      <w:r>
        <w:br w:type="page"/>
      </w:r>
    </w:p>
    <w:p>
      <w:pPr>
        <w:keepNext/>
        <w:spacing w:before="360" w:after="160"/>
        <w:ind w:firstLine="0"/>
        <w:jc w:val="left"/>
      </w:pPr>
      <w:r>
        <w:rPr>
          <w:rFonts w:ascii="Times New Roman" w:hAnsi="Times New Roman"/>
          <w:b/>
          <w:color w:val="0F172A"/>
          <w:sz w:val="32"/>
        </w:rPr>
        <w:t>Liste des Figures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 :</w:t>
      </w:r>
      <w:r>
        <w:rPr>
          <w:rFonts w:ascii="Times New Roman" w:hAnsi="Times New Roman"/>
          <w:b w:val="0"/>
          <w:i w:val="0"/>
          <w:color w:val="000000"/>
          <w:sz w:val="24"/>
        </w:rPr>
        <w:t xml:space="preserve"> Structure organisationnelle de l'organisme d'accueil</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 :</w:t>
      </w:r>
      <w:r>
        <w:rPr>
          <w:rFonts w:ascii="Times New Roman" w:hAnsi="Times New Roman"/>
          <w:b w:val="0"/>
          <w:i w:val="0"/>
          <w:color w:val="000000"/>
          <w:sz w:val="24"/>
        </w:rPr>
        <w:t xml:space="preserve"> Cycle de vie Scrum appliqué au projet InsurFlow</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3 :</w:t>
      </w:r>
      <w:r>
        <w:rPr>
          <w:rFonts w:ascii="Times New Roman" w:hAnsi="Times New Roman"/>
          <w:b w:val="0"/>
          <w:i w:val="0"/>
          <w:color w:val="000000"/>
          <w:sz w:val="24"/>
        </w:rPr>
        <w:t xml:space="preserve"> Diagramme de Gantt Prévisionnel du projet InsurFlow</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4 :</w:t>
      </w:r>
      <w:r>
        <w:rPr>
          <w:rFonts w:ascii="Times New Roman" w:hAnsi="Times New Roman"/>
          <w:b w:val="0"/>
          <w:i w:val="0"/>
          <w:color w:val="000000"/>
          <w:sz w:val="24"/>
        </w:rPr>
        <w:t xml:space="preserve"> Diagramme de Gantt Réel du projet InsurFlow</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5 :</w:t>
      </w:r>
      <w:r>
        <w:rPr>
          <w:rFonts w:ascii="Times New Roman" w:hAnsi="Times New Roman"/>
          <w:b w:val="0"/>
          <w:i w:val="0"/>
          <w:color w:val="000000"/>
          <w:sz w:val="24"/>
        </w:rPr>
        <w:t xml:space="preserve"> Diagramme des cas d'utilisation global du système InsurFlow</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6 :</w:t>
      </w:r>
      <w:r>
        <w:rPr>
          <w:rFonts w:ascii="Times New Roman" w:hAnsi="Times New Roman"/>
          <w:b w:val="0"/>
          <w:i w:val="0"/>
          <w:color w:val="000000"/>
          <w:sz w:val="24"/>
        </w:rPr>
        <w:t xml:space="preserve"> Diagramme de séquences « Authentification utilisateur et génération de jeton JWT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7 :</w:t>
      </w:r>
      <w:r>
        <w:rPr>
          <w:rFonts w:ascii="Times New Roman" w:hAnsi="Times New Roman"/>
          <w:b w:val="0"/>
          <w:i w:val="0"/>
          <w:color w:val="000000"/>
          <w:sz w:val="24"/>
        </w:rPr>
        <w:t xml:space="preserve"> Diagramme de séquences « Saisie d'une police d'assurance maritime et répartition co-assurance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8 :</w:t>
      </w:r>
      <w:r>
        <w:rPr>
          <w:rFonts w:ascii="Times New Roman" w:hAnsi="Times New Roman"/>
          <w:b w:val="0"/>
          <w:i w:val="0"/>
          <w:color w:val="000000"/>
          <w:sz w:val="24"/>
        </w:rPr>
        <w:t xml:space="preserve"> Diagramme de séquences « Enregistrement d'un encaissement client et recalcul du solde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9 :</w:t>
      </w:r>
      <w:r>
        <w:rPr>
          <w:rFonts w:ascii="Times New Roman" w:hAnsi="Times New Roman"/>
          <w:b w:val="0"/>
          <w:i w:val="0"/>
          <w:color w:val="000000"/>
          <w:sz w:val="24"/>
        </w:rPr>
        <w:t xml:space="preserve"> Diagramme de séquences « Émission de facture et génération de document PDF certifié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10 :</w:t>
      </w:r>
      <w:r>
        <w:rPr>
          <w:rFonts w:ascii="Times New Roman" w:hAnsi="Times New Roman"/>
          <w:b w:val="0"/>
          <w:i w:val="0"/>
          <w:color w:val="000000"/>
          <w:sz w:val="24"/>
        </w:rPr>
        <w:t xml:space="preserve"> Diagramme de séquences « Analyse automatisée d'un sinistre par le moteur IA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11 :</w:t>
      </w:r>
      <w:r>
        <w:rPr>
          <w:rFonts w:ascii="Times New Roman" w:hAnsi="Times New Roman"/>
          <w:b w:val="0"/>
          <w:i w:val="0"/>
          <w:color w:val="000000"/>
          <w:sz w:val="24"/>
        </w:rPr>
        <w:t xml:space="preserve"> Diagramme de collaboration « Gestion des encaissements et mise à jour financière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12 :</w:t>
      </w:r>
      <w:r>
        <w:rPr>
          <w:rFonts w:ascii="Times New Roman" w:hAnsi="Times New Roman"/>
          <w:b w:val="0"/>
          <w:i w:val="0"/>
          <w:color w:val="000000"/>
          <w:sz w:val="24"/>
        </w:rPr>
        <w:t xml:space="preserve"> Diagramme d'états-transitions du statut de règlement d'une police d'assurance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13 :</w:t>
      </w:r>
      <w:r>
        <w:rPr>
          <w:rFonts w:ascii="Times New Roman" w:hAnsi="Times New Roman"/>
          <w:b w:val="0"/>
          <w:i w:val="0"/>
          <w:color w:val="000000"/>
          <w:sz w:val="24"/>
        </w:rPr>
        <w:t xml:space="preserve"> Diagramme d'états-transitions d'une facture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14 :</w:t>
      </w:r>
      <w:r>
        <w:rPr>
          <w:rFonts w:ascii="Times New Roman" w:hAnsi="Times New Roman"/>
          <w:b w:val="0"/>
          <w:i w:val="0"/>
          <w:color w:val="000000"/>
          <w:sz w:val="24"/>
        </w:rPr>
        <w:t xml:space="preserve"> Diagramme d'activité « Processus complet d'émission de police et de facturation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15 :</w:t>
      </w:r>
      <w:r>
        <w:rPr>
          <w:rFonts w:ascii="Times New Roman" w:hAnsi="Times New Roman"/>
          <w:b w:val="0"/>
          <w:i w:val="0"/>
          <w:color w:val="000000"/>
          <w:sz w:val="24"/>
        </w:rPr>
        <w:t xml:space="preserve"> Diagramme d'activité « Traitement du double circuit de règlement financier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16 :</w:t>
      </w:r>
      <w:r>
        <w:rPr>
          <w:rFonts w:ascii="Times New Roman" w:hAnsi="Times New Roman"/>
          <w:b w:val="0"/>
          <w:i w:val="0"/>
          <w:color w:val="000000"/>
          <w:sz w:val="24"/>
        </w:rPr>
        <w:t xml:space="preserve"> Diagramme de classes métier du système InsurFlow</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17 :</w:t>
      </w:r>
      <w:r>
        <w:rPr>
          <w:rFonts w:ascii="Times New Roman" w:hAnsi="Times New Roman"/>
          <w:b w:val="0"/>
          <w:i w:val="0"/>
          <w:color w:val="000000"/>
          <w:sz w:val="24"/>
        </w:rPr>
        <w:t xml:space="preserve"> Architecture logicielle 3-tiers (Diagramme de composants)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18 :</w:t>
      </w:r>
      <w:r>
        <w:rPr>
          <w:rFonts w:ascii="Times New Roman" w:hAnsi="Times New Roman"/>
          <w:b w:val="0"/>
          <w:i w:val="0"/>
          <w:color w:val="000000"/>
          <w:sz w:val="24"/>
        </w:rPr>
        <w:t xml:space="preserve"> Architecture matérielle et infrastructure Cloud (Diagramme de déploiement)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19 :</w:t>
      </w:r>
      <w:r>
        <w:rPr>
          <w:rFonts w:ascii="Times New Roman" w:hAnsi="Times New Roman"/>
          <w:b w:val="0"/>
          <w:i w:val="0"/>
          <w:color w:val="000000"/>
          <w:sz w:val="24"/>
        </w:rPr>
        <w:t xml:space="preserve"> Interface de la Page d'Authentification Sécurisée et Contrôle d'Accès JWT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20 :</w:t>
      </w:r>
      <w:r>
        <w:rPr>
          <w:rFonts w:ascii="Times New Roman" w:hAnsi="Times New Roman"/>
          <w:b w:val="0"/>
          <w:i w:val="0"/>
          <w:color w:val="000000"/>
          <w:sz w:val="24"/>
        </w:rPr>
        <w:t xml:space="preserve"> Interface du Tableau de Bord Exécutif &amp; Analytics par Exercice Comptable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21 :</w:t>
      </w:r>
      <w:r>
        <w:rPr>
          <w:rFonts w:ascii="Times New Roman" w:hAnsi="Times New Roman"/>
          <w:b w:val="0"/>
          <w:i w:val="0"/>
          <w:color w:val="000000"/>
          <w:sz w:val="24"/>
        </w:rPr>
        <w:t xml:space="preserve"> Interface du Registre de Production des Opérations avec filtres multi-critères et exports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22 :</w:t>
      </w:r>
      <w:r>
        <w:rPr>
          <w:rFonts w:ascii="Times New Roman" w:hAnsi="Times New Roman"/>
          <w:b w:val="0"/>
          <w:i w:val="0"/>
          <w:color w:val="000000"/>
          <w:sz w:val="24"/>
        </w:rPr>
        <w:t xml:space="preserve"> Interface du Formulaire de Saisie d'une Police Maritime et ventilation Co-assurance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23 :</w:t>
      </w:r>
      <w:r>
        <w:rPr>
          <w:rFonts w:ascii="Times New Roman" w:hAnsi="Times New Roman"/>
          <w:b w:val="0"/>
          <w:i w:val="0"/>
          <w:color w:val="000000"/>
          <w:sz w:val="24"/>
        </w:rPr>
        <w:t xml:space="preserve"> Interface de la Fiche de Détail du Double Circuit Financier (Clients &amp; CIE)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24 :</w:t>
      </w:r>
      <w:r>
        <w:rPr>
          <w:rFonts w:ascii="Times New Roman" w:hAnsi="Times New Roman"/>
          <w:b w:val="0"/>
          <w:i w:val="0"/>
          <w:color w:val="000000"/>
          <w:sz w:val="24"/>
        </w:rPr>
        <w:t xml:space="preserve"> Interface du Module Facturation, Devis Proforma et Factures d'Avoir</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25 :</w:t>
      </w:r>
      <w:r>
        <w:rPr>
          <w:rFonts w:ascii="Times New Roman" w:hAnsi="Times New Roman"/>
          <w:b w:val="0"/>
          <w:i w:val="0"/>
          <w:color w:val="000000"/>
          <w:sz w:val="24"/>
        </w:rPr>
        <w:t xml:space="preserve"> Document officiel de Facture / Devis PDF généré via le moteur OpenPDF</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26 :</w:t>
      </w:r>
      <w:r>
        <w:rPr>
          <w:rFonts w:ascii="Times New Roman" w:hAnsi="Times New Roman"/>
          <w:b w:val="0"/>
          <w:i w:val="0"/>
          <w:color w:val="000000"/>
          <w:sz w:val="24"/>
        </w:rPr>
        <w:t xml:space="preserve"> Interface du Modal d'Analyse Intelligente des Sinistres par IA (Claims AI)</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27 :</w:t>
      </w:r>
      <w:r>
        <w:rPr>
          <w:rFonts w:ascii="Times New Roman" w:hAnsi="Times New Roman"/>
          <w:b w:val="0"/>
          <w:i w:val="0"/>
          <w:color w:val="000000"/>
          <w:sz w:val="24"/>
        </w:rPr>
        <w:t xml:space="preserve"> Tableau de bord et registre de gestion du portefeuille de sinistres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28 :</w:t>
      </w:r>
      <w:r>
        <w:rPr>
          <w:rFonts w:ascii="Times New Roman" w:hAnsi="Times New Roman"/>
          <w:b w:val="0"/>
          <w:i w:val="0"/>
          <w:color w:val="000000"/>
          <w:sz w:val="24"/>
        </w:rPr>
        <w:t xml:space="preserve"> Interface du Tableau de Bord d'Observabilité &amp; Monitoring Grafana / Prometheus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Figure 29 :</w:t>
      </w:r>
      <w:r>
        <w:rPr>
          <w:rFonts w:ascii="Times New Roman" w:hAnsi="Times New Roman"/>
          <w:b w:val="0"/>
          <w:i w:val="0"/>
          <w:color w:val="000000"/>
          <w:sz w:val="24"/>
        </w:rPr>
        <w:t xml:space="preserve"> Pipeline CI/CD DevSecOps sous GitHub Actions avec scans de sécurité Trivy</w:t>
      </w:r>
    </w:p>
    <w:p>
      <w:r>
        <w:br w:type="page"/>
      </w:r>
    </w:p>
    <w:p>
      <w:pPr>
        <w:keepNext/>
        <w:spacing w:before="360" w:after="160"/>
        <w:ind w:firstLine="0"/>
        <w:jc w:val="left"/>
      </w:pPr>
      <w:r>
        <w:rPr>
          <w:rFonts w:ascii="Times New Roman" w:hAnsi="Times New Roman"/>
          <w:b/>
          <w:color w:val="0F172A"/>
          <w:sz w:val="32"/>
        </w:rPr>
        <w:t>Liste des Tableaux</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1 :</w:t>
      </w:r>
      <w:r>
        <w:rPr>
          <w:rFonts w:ascii="Times New Roman" w:hAnsi="Times New Roman"/>
          <w:b w:val="0"/>
          <w:i w:val="0"/>
          <w:color w:val="000000"/>
          <w:sz w:val="24"/>
        </w:rPr>
        <w:t xml:space="preserve"> Description du cas d'utilisation « Authentification et Contrôle d'accès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2 :</w:t>
      </w:r>
      <w:r>
        <w:rPr>
          <w:rFonts w:ascii="Times New Roman" w:hAnsi="Times New Roman"/>
          <w:b w:val="0"/>
          <w:i w:val="0"/>
          <w:color w:val="000000"/>
          <w:sz w:val="24"/>
        </w:rPr>
        <w:t xml:space="preserve"> Description du cas d'utilisation « Enregistrement d'une Police d'Assurance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3 :</w:t>
      </w:r>
      <w:r>
        <w:rPr>
          <w:rFonts w:ascii="Times New Roman" w:hAnsi="Times New Roman"/>
          <w:b w:val="0"/>
          <w:i w:val="0"/>
          <w:color w:val="000000"/>
          <w:sz w:val="24"/>
        </w:rPr>
        <w:t xml:space="preserve"> Description du cas d'utilisation « Gestion du Double Circuit de Règlements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4 :</w:t>
      </w:r>
      <w:r>
        <w:rPr>
          <w:rFonts w:ascii="Times New Roman" w:hAnsi="Times New Roman"/>
          <w:b w:val="0"/>
          <w:i w:val="0"/>
          <w:color w:val="000000"/>
          <w:sz w:val="24"/>
        </w:rPr>
        <w:t xml:space="preserve"> Description du cas d'utilisation « Génération et Téléchargement de Facture PDF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5 :</w:t>
      </w:r>
      <w:r>
        <w:rPr>
          <w:rFonts w:ascii="Times New Roman" w:hAnsi="Times New Roman"/>
          <w:b w:val="0"/>
          <w:i w:val="0"/>
          <w:color w:val="000000"/>
          <w:sz w:val="24"/>
        </w:rPr>
        <w:t xml:space="preserve"> Description du cas d'utilisation « Analyse Intelligente d'une Déclaration de Sinistre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6 :</w:t>
      </w:r>
      <w:r>
        <w:rPr>
          <w:rFonts w:ascii="Times New Roman" w:hAnsi="Times New Roman"/>
          <w:b w:val="0"/>
          <w:i w:val="0"/>
          <w:color w:val="000000"/>
          <w:sz w:val="24"/>
        </w:rPr>
        <w:t xml:space="preserve"> Description du cas d'utilisation « Pilotage Analytics et Filtrage par Exercice Comptable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7 :</w:t>
      </w:r>
      <w:r>
        <w:rPr>
          <w:rFonts w:ascii="Times New Roman" w:hAnsi="Times New Roman"/>
          <w:b w:val="0"/>
          <w:i w:val="0"/>
          <w:color w:val="000000"/>
          <w:sz w:val="24"/>
        </w:rPr>
        <w:t xml:space="preserve"> Dictionnaire de données du système InsurFlow</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Tableau 8 :</w:t>
      </w:r>
      <w:r>
        <w:rPr>
          <w:rFonts w:ascii="Times New Roman" w:hAnsi="Times New Roman"/>
          <w:b w:val="0"/>
          <w:i w:val="0"/>
          <w:color w:val="000000"/>
          <w:sz w:val="24"/>
        </w:rPr>
        <w:t xml:space="preserve"> Spécifications de l'environnement matériel de développement et de déploiement</w:t>
      </w:r>
    </w:p>
    <w:p>
      <w:r>
        <w:br w:type="page"/>
      </w:r>
    </w:p>
    <w:p>
      <w:r>
        <w:br w:type="page"/>
      </w:r>
    </w:p>
    <w:p>
      <w:pPr>
        <w:keepNext/>
        <w:spacing w:before="360" w:after="160"/>
        <w:ind w:firstLine="0"/>
        <w:jc w:val="left"/>
      </w:pPr>
      <w:r>
        <w:rPr>
          <w:rFonts w:ascii="Times New Roman" w:hAnsi="Times New Roman"/>
          <w:b/>
          <w:color w:val="0F172A"/>
          <w:sz w:val="32"/>
        </w:rPr>
        <w:t>Introduction Générale</w:t>
      </w:r>
    </w:p>
    <w:p>
      <w:pPr>
        <w:spacing w:line="360" w:lineRule="auto" w:before="120" w:after="120"/>
        <w:ind w:firstLine="454"/>
        <w:jc w:val="both"/>
      </w:pPr>
      <w:r>
        <w:rPr>
          <w:rFonts w:ascii="Times New Roman" w:hAnsi="Times New Roman"/>
          <w:b w:val="0"/>
          <w:i w:val="0"/>
          <w:color w:val="000000"/>
          <w:sz w:val="24"/>
        </w:rPr>
        <w:t>Le secteur de l'assurance et du courtage constitue l'un des piliers stratégiques de l'économie marocaine et internationale. Il garantit la pérennité des investissements des entreprises, protège les patrimoines individuels et absorbe les risques financiers inhérents aux activités professionnelles et personnelles. Au Maroc, ce secteur est encadré par des exigences réglementaires strictes édictées par l'Autorité de Contrôle des Assurances et de la Prévoyance Sociale (ACAPS) et régies par la Loi n° 17-99 portant Code des Assurances. Ces dispositions imposent aux intermédiaires d'assurance (courtiers et agents généraux) une rigueur absolue dans la tenue des registres de production, la gestion des créances clients, la réconciliation financière avec les compagnies d'assurance mandantes et la conservation des pièces justificatives.</w:t>
      </w:r>
    </w:p>
    <w:p>
      <w:pPr>
        <w:spacing w:line="360" w:lineRule="auto" w:before="120" w:after="120"/>
        <w:ind w:firstLine="454"/>
        <w:jc w:val="both"/>
      </w:pPr>
      <w:r>
        <w:rPr>
          <w:rFonts w:ascii="Times New Roman" w:hAnsi="Times New Roman"/>
          <w:b w:val="0"/>
          <w:i w:val="0"/>
          <w:color w:val="000000"/>
          <w:sz w:val="24"/>
        </w:rPr>
        <w:t>Cependant, de nombreuses structures de courtage et cabinets d'assurance opèrent encore à l'aide d'outils hétérogènes, fragmentés ou semi-manuels, principalement basés sur des classeurs papier et des feuilles de calcul Microsoft Excel disparates (</w:t>
      </w:r>
      <w:r>
        <w:rPr>
          <w:rFonts w:ascii="Consolas" w:hAnsi="Consolas"/>
          <w:b w:val="0"/>
          <w:i w:val="0"/>
          <w:color w:val="B41414"/>
          <w:sz w:val="22"/>
        </w:rPr>
        <w:t>PROD S C</w:t>
      </w:r>
      <w:r>
        <w:rPr>
          <w:rFonts w:ascii="Times New Roman" w:hAnsi="Times New Roman"/>
          <w:b w:val="0"/>
          <w:i w:val="0"/>
          <w:color w:val="000000"/>
          <w:sz w:val="24"/>
        </w:rPr>
        <w:t xml:space="preserve">, </w:t>
      </w:r>
      <w:r>
        <w:rPr>
          <w:rFonts w:ascii="Consolas" w:hAnsi="Consolas"/>
          <w:b w:val="0"/>
          <w:i w:val="0"/>
          <w:color w:val="B41414"/>
          <w:sz w:val="22"/>
        </w:rPr>
        <w:t>PROD A C</w:t>
      </w:r>
      <w:r>
        <w:rPr>
          <w:rFonts w:ascii="Times New Roman" w:hAnsi="Times New Roman"/>
          <w:b w:val="0"/>
          <w:i w:val="0"/>
          <w:color w:val="000000"/>
          <w:sz w:val="24"/>
        </w:rPr>
        <w:t xml:space="preserve">, </w:t>
      </w:r>
      <w:r>
        <w:rPr>
          <w:rFonts w:ascii="Consolas" w:hAnsi="Consolas"/>
          <w:b w:val="0"/>
          <w:i w:val="0"/>
          <w:color w:val="B41414"/>
          <w:sz w:val="22"/>
        </w:rPr>
        <w:t>MARITIME</w:t>
      </w:r>
      <w:r>
        <w:rPr>
          <w:rFonts w:ascii="Times New Roman" w:hAnsi="Times New Roman"/>
          <w:b w:val="0"/>
          <w:i w:val="0"/>
          <w:color w:val="000000"/>
          <w:sz w:val="24"/>
        </w:rPr>
        <w:t xml:space="preserve">, </w:t>
      </w:r>
      <w:r>
        <w:rPr>
          <w:rFonts w:ascii="Consolas" w:hAnsi="Consolas"/>
          <w:b w:val="0"/>
          <w:i w:val="0"/>
          <w:color w:val="B41414"/>
          <w:sz w:val="22"/>
        </w:rPr>
        <w:t>MARITIME A C</w:t>
      </w:r>
      <w:r>
        <w:rPr>
          <w:rFonts w:ascii="Times New Roman" w:hAnsi="Times New Roman"/>
          <w:b w:val="0"/>
          <w:i w:val="0"/>
          <w:color w:val="000000"/>
          <w:sz w:val="24"/>
        </w:rPr>
        <w:t>). Cette organisation artisanale génère des dysfonctionnements majeurs : redondance massive des saisies, risques élevés d'erreurs de calcul sur les taxes et accessoires, opacité dans le suivi des encaissements clients et des reversements aux compagnies d'assurances (CIE), impossibilité d'isoler rigoureusement les exercices comptables annuels, et absence d'outils analytiques d'aide à la décision. De surcroît, le traitement des déclarations de sinistres et l'évaluation des risques de souscription demeurent des processus lents, dépourvus de mécanismes automatisés de détection des fraudes ou d'orientation juridique selon les barèmes conventionnels.</w:t>
      </w:r>
    </w:p>
    <w:p>
      <w:pPr>
        <w:spacing w:line="360" w:lineRule="auto" w:before="120" w:after="120"/>
        <w:ind w:firstLine="454"/>
        <w:jc w:val="both"/>
      </w:pPr>
      <w:r>
        <w:rPr>
          <w:rFonts w:ascii="Times New Roman" w:hAnsi="Times New Roman"/>
          <w:b w:val="0"/>
          <w:i w:val="0"/>
          <w:color w:val="000000"/>
          <w:sz w:val="24"/>
        </w:rPr>
        <w:t xml:space="preserve">C'est dans ce contexte que s'inscrit notre Projet de Fin d'Année (PFA). Notre objectif principal est de concevoir et de réaliser </w:t>
      </w:r>
      <w:r>
        <w:rPr>
          <w:rFonts w:ascii="Times New Roman" w:hAnsi="Times New Roman"/>
          <w:b/>
          <w:i w:val="0"/>
          <w:color w:val="000000"/>
          <w:sz w:val="24"/>
        </w:rPr>
        <w:t>InsurFlow</w:t>
      </w:r>
      <w:r>
        <w:rPr>
          <w:rFonts w:ascii="Times New Roman" w:hAnsi="Times New Roman"/>
          <w:b w:val="0"/>
          <w:i w:val="0"/>
          <w:color w:val="000000"/>
          <w:sz w:val="24"/>
        </w:rPr>
        <w:t>, une plateforme ERP d'entreprise moderne, sécurisée, cloud-native et enrichie par l'Intelligence Artificielle. InsurFlow est spécialement conçue pour moderniser l'intégralité de la chaîne de valeur du courtage d'assurance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 gestion centralisée du portefeuille clients avec conformité KYC (contrôle strict de l'Identifiant Commun de l'Entreprise à 15 chiffres, CIN, Registre de Commerce)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 production et l'émission des polices d'assurance standards et maritimes (avec numéro d'ordre interne, navires, certificats et ventilation co-assurance multi-compagnies)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La gestion étanche d'un </w:t>
      </w:r>
      <w:r>
        <w:rPr>
          <w:rFonts w:ascii="Times New Roman" w:hAnsi="Times New Roman"/>
          <w:b/>
          <w:i w:val="0"/>
          <w:color w:val="000000"/>
          <w:sz w:val="24"/>
        </w:rPr>
        <w:t>double circuit financier</w:t>
      </w:r>
      <w:r>
        <w:rPr>
          <w:rFonts w:ascii="Times New Roman" w:hAnsi="Times New Roman"/>
          <w:b w:val="0"/>
          <w:i w:val="0"/>
          <w:color w:val="000000"/>
          <w:sz w:val="24"/>
        </w:rPr>
        <w:t xml:space="preserve"> isolant les encaissements clients des décaissements compagnies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La clôture et l'analyse étanche par </w:t>
      </w:r>
      <w:r>
        <w:rPr>
          <w:rFonts w:ascii="Times New Roman" w:hAnsi="Times New Roman"/>
          <w:b/>
          <w:i w:val="0"/>
          <w:color w:val="000000"/>
          <w:sz w:val="24"/>
        </w:rPr>
        <w:t>exercice comptable financier</w:t>
      </w:r>
      <w:r>
        <w:rPr>
          <w:rFonts w:ascii="Times New Roman" w:hAnsi="Times New Roman"/>
          <w:b w:val="0"/>
          <w:i w:val="0"/>
          <w:color w:val="000000"/>
          <w:sz w:val="24"/>
        </w:rPr>
        <w:t xml:space="preserv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 facturation automatisée (factures standards, devis proforma, avoirs) avec génération de documents PDF officiels et exports Excel sécurisés en encodage UTF-8 BOM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L'assistance intelligente à la gestion des sinistres (évaluation de responsabilité, chiffrage net après franchise et détection des fraudes) et l'aide à la souscription par IA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 déploiement automatisé selon les standards </w:t>
      </w:r>
      <w:r>
        <w:rPr>
          <w:rFonts w:ascii="Times New Roman" w:hAnsi="Times New Roman"/>
          <w:b/>
          <w:i w:val="0"/>
          <w:color w:val="000000"/>
          <w:sz w:val="24"/>
        </w:rPr>
        <w:t>DevSecOps</w:t>
      </w:r>
      <w:r>
        <w:rPr>
          <w:rFonts w:ascii="Times New Roman" w:hAnsi="Times New Roman"/>
          <w:b w:val="0"/>
          <w:i w:val="0"/>
          <w:color w:val="000000"/>
          <w:sz w:val="24"/>
        </w:rPr>
        <w:t xml:space="preserve"> sur infrastructure Cloud Azure avec supervision en temps réel (Prometheus / Grafana).</w:t>
      </w:r>
    </w:p>
    <w:p>
      <w:pPr>
        <w:spacing w:line="360" w:lineRule="auto" w:before="120" w:after="120"/>
        <w:ind w:firstLine="454"/>
        <w:jc w:val="both"/>
      </w:pPr>
      <w:r>
        <w:rPr>
          <w:rFonts w:ascii="Times New Roman" w:hAnsi="Times New Roman"/>
          <w:b w:val="0"/>
          <w:i w:val="0"/>
          <w:color w:val="000000"/>
          <w:sz w:val="24"/>
        </w:rPr>
        <w:t>Pour rendre compte de l'ensemble des travaux menés, ce rapport s'articule autour de quatre chapitres complémentaires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Le </w:t>
      </w:r>
      <w:r>
        <w:rPr>
          <w:rFonts w:ascii="Times New Roman" w:hAnsi="Times New Roman"/>
          <w:b/>
          <w:i w:val="0"/>
          <w:color w:val="000000"/>
          <w:sz w:val="24"/>
        </w:rPr>
        <w:t>Chapitre 1</w:t>
      </w:r>
      <w:r>
        <w:rPr>
          <w:rFonts w:ascii="Times New Roman" w:hAnsi="Times New Roman"/>
          <w:b w:val="0"/>
          <w:i w:val="0"/>
          <w:color w:val="000000"/>
          <w:sz w:val="24"/>
        </w:rPr>
        <w:t xml:space="preserve"> est consacré à la présentation du cadre du projet, de l'organisme d'accueil, à l'étude critique de l'existant, à la solution proposée, au choix de la méthodologie Agile Scrum et au planning prévisionnel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Le </w:t>
      </w:r>
      <w:r>
        <w:rPr>
          <w:rFonts w:ascii="Times New Roman" w:hAnsi="Times New Roman"/>
          <w:b/>
          <w:i w:val="0"/>
          <w:color w:val="000000"/>
          <w:sz w:val="24"/>
        </w:rPr>
        <w:t>Chapitre 2</w:t>
      </w:r>
      <w:r>
        <w:rPr>
          <w:rFonts w:ascii="Times New Roman" w:hAnsi="Times New Roman"/>
          <w:b w:val="0"/>
          <w:i w:val="0"/>
          <w:color w:val="000000"/>
          <w:sz w:val="24"/>
        </w:rPr>
        <w:t xml:space="preserve"> détaille la spécification des besoins fonctionnels et non fonctionnels, l'identification des acteurs, la description textuelle normalisée des cas d'utilisation et le diagramme global des cas d'utilisation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Le </w:t>
      </w:r>
      <w:r>
        <w:rPr>
          <w:rFonts w:ascii="Times New Roman" w:hAnsi="Times New Roman"/>
          <w:b/>
          <w:i w:val="0"/>
          <w:color w:val="000000"/>
          <w:sz w:val="24"/>
        </w:rPr>
        <w:t>Chapitre 3</w:t>
      </w:r>
      <w:r>
        <w:rPr>
          <w:rFonts w:ascii="Times New Roman" w:hAnsi="Times New Roman"/>
          <w:b w:val="0"/>
          <w:i w:val="0"/>
          <w:color w:val="000000"/>
          <w:sz w:val="24"/>
        </w:rPr>
        <w:t xml:space="preserve"> aborde la conception approfondie du système à travers la modélisation dynamique UML 2 (diagrammes de séquences boîte blanche, collaboration, états-transitions, activités), la modélisation statique (diagramme de classes, modèle relationnel, dictionnaire de données exhaustif) ainsi que l'architecture logicielle 3-tiers et l'architecture matérielle de déploiement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Le </w:t>
      </w:r>
      <w:r>
        <w:rPr>
          <w:rFonts w:ascii="Times New Roman" w:hAnsi="Times New Roman"/>
          <w:b/>
          <w:i w:val="0"/>
          <w:color w:val="000000"/>
          <w:sz w:val="24"/>
        </w:rPr>
        <w:t>Chapitre 4</w:t>
      </w:r>
      <w:r>
        <w:rPr>
          <w:rFonts w:ascii="Times New Roman" w:hAnsi="Times New Roman"/>
          <w:b w:val="0"/>
          <w:i w:val="0"/>
          <w:color w:val="000000"/>
          <w:sz w:val="24"/>
        </w:rPr>
        <w:t xml:space="preserve"> décrit la phase de réalisation, comprenant l'environnement matériel et logiciel adopté, la présentation commentée des principales interfaces graphiques développées et la chaîne DevSecOps.</w:t>
      </w:r>
    </w:p>
    <w:p>
      <w:pPr>
        <w:spacing w:line="360" w:lineRule="auto" w:before="120" w:after="120"/>
        <w:ind w:firstLine="454"/>
        <w:jc w:val="both"/>
      </w:pPr>
      <w:r>
        <w:rPr>
          <w:rFonts w:ascii="Times New Roman" w:hAnsi="Times New Roman"/>
          <w:b w:val="0"/>
          <w:i w:val="0"/>
          <w:color w:val="000000"/>
          <w:sz w:val="24"/>
        </w:rPr>
        <w:t xml:space="preserve">Enfin, une </w:t>
      </w:r>
      <w:r>
        <w:rPr>
          <w:rFonts w:ascii="Times New Roman" w:hAnsi="Times New Roman"/>
          <w:b/>
          <w:i w:val="0"/>
          <w:color w:val="000000"/>
          <w:sz w:val="24"/>
        </w:rPr>
        <w:t>Conclusion Générale</w:t>
      </w:r>
      <w:r>
        <w:rPr>
          <w:rFonts w:ascii="Times New Roman" w:hAnsi="Times New Roman"/>
          <w:b w:val="0"/>
          <w:i w:val="0"/>
          <w:color w:val="000000"/>
          <w:sz w:val="24"/>
        </w:rPr>
        <w:t xml:space="preserve"> récapitule les objectifs atteints, souligne les défis techniques surmontés et ouvre sur les perspectives d'évolution future du système InsurFlow.</w:t>
      </w:r>
    </w:p>
    <w:p>
      <w:r>
        <w:br w:type="page"/>
      </w:r>
    </w:p>
    <w:p>
      <w:r>
        <w:br w:type="page"/>
      </w:r>
    </w:p>
    <w:p>
      <w:pPr>
        <w:keepNext/>
        <w:spacing w:before="360" w:after="160"/>
        <w:ind w:firstLine="0"/>
        <w:jc w:val="left"/>
      </w:pPr>
      <w:r>
        <w:rPr>
          <w:rFonts w:ascii="Times New Roman" w:hAnsi="Times New Roman"/>
          <w:b/>
          <w:color w:val="B40000"/>
          <w:sz w:val="32"/>
        </w:rPr>
        <w:t>Chapitre 1 : Présentation du cadre de projet</w:t>
      </w:r>
    </w:p>
    <w:p>
      <w:pPr>
        <w:keepNext/>
        <w:spacing w:before="280" w:after="120"/>
        <w:ind w:firstLine="0"/>
        <w:jc w:val="left"/>
      </w:pPr>
      <w:r>
        <w:rPr>
          <w:rFonts w:ascii="Times New Roman" w:hAnsi="Times New Roman"/>
          <w:b/>
          <w:color w:val="1E293B"/>
          <w:sz w:val="28"/>
        </w:rPr>
        <w:t>1. Introduction</w:t>
      </w:r>
    </w:p>
    <w:p>
      <w:pPr>
        <w:spacing w:line="360" w:lineRule="auto" w:before="120" w:after="120"/>
        <w:ind w:firstLine="454"/>
        <w:jc w:val="both"/>
      </w:pPr>
      <w:r>
        <w:rPr>
          <w:rFonts w:ascii="Times New Roman" w:hAnsi="Times New Roman"/>
          <w:b w:val="0"/>
          <w:i w:val="0"/>
          <w:color w:val="000000"/>
          <w:sz w:val="24"/>
        </w:rPr>
        <w:t>Ce premier chapitre a pour vocation d'introduire le cadre organisationnel et méthodologique dans lequel s'est déroulé notre projet de fin d'année. Nous présentons dans un premier temps l'organisme d'accueil, ses missions et son environnement informatique initial. Nous réalisons ensuite une étude approfondie de l'existant afin de mettre en exergue ses insuffisances et de justifier la solution novatrice proposée. Enfin, nous explicitons le choix du modèle de cycle de vie de développement logiciel adopté (Agile Scrum) et détaillons le planning prévisionnel du projet.</w:t>
      </w:r>
    </w:p>
    <w:p>
      <w:pPr>
        <w:keepNext/>
        <w:spacing w:before="280" w:after="120"/>
        <w:ind w:firstLine="0"/>
        <w:jc w:val="left"/>
      </w:pPr>
      <w:r>
        <w:rPr>
          <w:rFonts w:ascii="Times New Roman" w:hAnsi="Times New Roman"/>
          <w:b/>
          <w:color w:val="1E293B"/>
          <w:sz w:val="28"/>
        </w:rPr>
        <w:t>2. Présentation de la société d'accueil</w:t>
      </w:r>
    </w:p>
    <w:p>
      <w:pPr>
        <w:keepNext/>
        <w:spacing w:before="200" w:after="80"/>
        <w:ind w:firstLine="0"/>
        <w:jc w:val="left"/>
      </w:pPr>
      <w:r>
        <w:rPr>
          <w:rFonts w:ascii="Times New Roman" w:hAnsi="Times New Roman"/>
          <w:b/>
          <w:color w:val="334155"/>
          <w:sz w:val="24"/>
        </w:rPr>
        <w:t>2.1. Secteur d'activité et missions</w:t>
      </w:r>
    </w:p>
    <w:p>
      <w:pPr>
        <w:spacing w:line="360" w:lineRule="auto" w:before="120" w:after="120"/>
        <w:ind w:firstLine="454"/>
        <w:jc w:val="both"/>
      </w:pPr>
      <w:r>
        <w:rPr>
          <w:rFonts w:ascii="Times New Roman" w:hAnsi="Times New Roman"/>
          <w:b w:val="0"/>
          <w:i w:val="0"/>
          <w:color w:val="000000"/>
          <w:sz w:val="24"/>
        </w:rPr>
        <w:t xml:space="preserve">Notre projet s'est déroulé au sein d'un cabinet de courtage en assurances associé à la structure d'ingénierie logicielle </w:t>
      </w:r>
      <w:r>
        <w:rPr>
          <w:rFonts w:ascii="Times New Roman" w:hAnsi="Times New Roman"/>
          <w:b/>
          <w:i w:val="0"/>
          <w:color w:val="000000"/>
          <w:sz w:val="24"/>
        </w:rPr>
        <w:t>YK Software Solutions</w:t>
      </w:r>
      <w:r>
        <w:rPr>
          <w:rFonts w:ascii="Times New Roman" w:hAnsi="Times New Roman"/>
          <w:b w:val="0"/>
          <w:i w:val="0"/>
          <w:color w:val="000000"/>
          <w:sz w:val="24"/>
        </w:rPr>
        <w:t>. L'organisme d'accueil opère en tant qu'intermédiaire agréé entre les grandes compagnies d'assurance opérant sur le marché marocain (telles que Sanlam Maroc, Wafa Assurance, RMA, AtlantaSanad, AXA Assurance Maroc) et une clientèle diversifiée composée d'entreprises industrielles, de sociétés de transport et logistique, de flottes maritimes et de particuliers.</w:t>
      </w:r>
    </w:p>
    <w:p>
      <w:pPr>
        <w:spacing w:line="360" w:lineRule="auto" w:before="120" w:after="120"/>
        <w:ind w:firstLine="454"/>
        <w:jc w:val="both"/>
      </w:pPr>
      <w:r>
        <w:rPr>
          <w:rFonts w:ascii="Times New Roman" w:hAnsi="Times New Roman"/>
          <w:b w:val="0"/>
          <w:i w:val="0"/>
          <w:color w:val="000000"/>
          <w:sz w:val="24"/>
        </w:rPr>
        <w:t>Les missions fondamentales de l'organisme consistent à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Conseiller les clients souscripteurs et négocier pour leur compte les meilleures couvertures d'assurance au meilleur coût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Émettre et enregistrer les polices d'assurance, quittances et avenants dans le respect des barèmes réglementaires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Assurer le recouvrement des primes d'assurance auprès des clients et reverser les montants dus aux compagnies d'assurance mandantes après déduction des commissions contractuelles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Assister les assurés lors de la survenance de sinistres (expertise, recours, indemnisation)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Assurer la conservation légale et l'archivage des documents contractuels et comptables.</w:t>
      </w:r>
    </w:p>
    <w:p>
      <w:pPr>
        <w:keepNext/>
        <w:spacing w:before="200" w:after="80"/>
        <w:ind w:firstLine="0"/>
        <w:jc w:val="left"/>
      </w:pPr>
      <w:r>
        <w:rPr>
          <w:rFonts w:ascii="Times New Roman" w:hAnsi="Times New Roman"/>
          <w:b/>
          <w:color w:val="334155"/>
          <w:sz w:val="24"/>
        </w:rPr>
        <w:t>2.2. Structure organisationnelle et organigramme</w:t>
      </w:r>
    </w:p>
    <w:p>
      <w:pPr>
        <w:spacing w:line="360" w:lineRule="auto" w:before="120" w:after="120"/>
        <w:ind w:firstLine="454"/>
        <w:jc w:val="both"/>
      </w:pPr>
      <w:r>
        <w:rPr>
          <w:rFonts w:ascii="Times New Roman" w:hAnsi="Times New Roman"/>
          <w:b w:val="0"/>
          <w:i w:val="0"/>
          <w:color w:val="000000"/>
          <w:sz w:val="24"/>
        </w:rPr>
        <w:t>L'organisme d'accueil s'articule autour de quatre départements opérationnels complémentaires :</w:t>
      </w:r>
    </w:p>
    <w:p>
      <w:pPr>
        <w:spacing w:line="312" w:lineRule="auto" w:before="40" w:after="60"/>
        <w:ind w:left="567" w:hanging="283"/>
        <w:jc w:val="both"/>
      </w:pPr>
      <w:r>
        <w:rPr>
          <w:rFonts w:ascii="Times New Roman" w:hAnsi="Times New Roman"/>
          <w:b/>
          <w:color w:val="1E293B"/>
          <w:sz w:val="24"/>
        </w:rPr>
        <w:t xml:space="preserve">1.  </w:t>
      </w:r>
      <w:r>
        <w:rPr>
          <w:rFonts w:ascii="Times New Roman" w:hAnsi="Times New Roman"/>
          <w:b/>
          <w:i w:val="0"/>
          <w:color w:val="000000"/>
          <w:sz w:val="24"/>
        </w:rPr>
        <w:t>La Direction Générale :</w:t>
      </w:r>
      <w:r>
        <w:rPr>
          <w:rFonts w:ascii="Times New Roman" w:hAnsi="Times New Roman"/>
          <w:b w:val="0"/>
          <w:i w:val="0"/>
          <w:color w:val="000000"/>
          <w:sz w:val="24"/>
        </w:rPr>
        <w:t xml:space="preserve"> Définit les orientations stratégiques, les partenariats avec les compagnies et supervise la rentabilité globale.</w:t>
      </w:r>
    </w:p>
    <w:p>
      <w:pPr>
        <w:spacing w:line="312" w:lineRule="auto" w:before="40" w:after="60"/>
        <w:ind w:left="567" w:hanging="283"/>
        <w:jc w:val="both"/>
      </w:pPr>
      <w:r>
        <w:rPr>
          <w:rFonts w:ascii="Times New Roman" w:hAnsi="Times New Roman"/>
          <w:b/>
          <w:color w:val="1E293B"/>
          <w:sz w:val="24"/>
        </w:rPr>
        <w:t xml:space="preserve">2.  </w:t>
      </w:r>
      <w:r>
        <w:rPr>
          <w:rFonts w:ascii="Times New Roman" w:hAnsi="Times New Roman"/>
          <w:b/>
          <w:i w:val="0"/>
          <w:color w:val="000000"/>
          <w:sz w:val="24"/>
        </w:rPr>
        <w:t>Le Département Production &amp; Souscription :</w:t>
      </w:r>
      <w:r>
        <w:rPr>
          <w:rFonts w:ascii="Times New Roman" w:hAnsi="Times New Roman"/>
          <w:b w:val="0"/>
          <w:i w:val="0"/>
          <w:color w:val="000000"/>
          <w:sz w:val="24"/>
        </w:rPr>
        <w:t xml:space="preserve"> Prend en charge l'accueil des clients, la tarification, l'élaboration des contrats et la tenue des registres de production.</w:t>
      </w:r>
    </w:p>
    <w:p>
      <w:pPr>
        <w:spacing w:line="312" w:lineRule="auto" w:before="40" w:after="60"/>
        <w:ind w:left="567" w:hanging="283"/>
        <w:jc w:val="both"/>
      </w:pPr>
      <w:r>
        <w:rPr>
          <w:rFonts w:ascii="Times New Roman" w:hAnsi="Times New Roman"/>
          <w:b/>
          <w:color w:val="1E293B"/>
          <w:sz w:val="24"/>
        </w:rPr>
        <w:t xml:space="preserve">3.  </w:t>
      </w:r>
      <w:r>
        <w:rPr>
          <w:rFonts w:ascii="Times New Roman" w:hAnsi="Times New Roman"/>
          <w:b/>
          <w:i w:val="0"/>
          <w:color w:val="000000"/>
          <w:sz w:val="24"/>
        </w:rPr>
        <w:t>Le Département Comptabilité &amp; Recouvrement :</w:t>
      </w:r>
      <w:r>
        <w:rPr>
          <w:rFonts w:ascii="Times New Roman" w:hAnsi="Times New Roman"/>
          <w:b w:val="0"/>
          <w:i w:val="0"/>
          <w:color w:val="000000"/>
          <w:sz w:val="24"/>
        </w:rPr>
        <w:t xml:space="preserve"> Supervise la facturation, l'encaissement des primes, la gestion des créances clients et le règlement des soldes aux compagnies d'assurance.</w:t>
      </w:r>
    </w:p>
    <w:p>
      <w:pPr>
        <w:spacing w:line="312" w:lineRule="auto" w:before="40" w:after="60"/>
        <w:ind w:left="567" w:hanging="283"/>
        <w:jc w:val="both"/>
      </w:pPr>
      <w:r>
        <w:rPr>
          <w:rFonts w:ascii="Times New Roman" w:hAnsi="Times New Roman"/>
          <w:b/>
          <w:color w:val="1E293B"/>
          <w:sz w:val="24"/>
        </w:rPr>
        <w:t xml:space="preserve">4.  </w:t>
      </w:r>
      <w:r>
        <w:rPr>
          <w:rFonts w:ascii="Times New Roman" w:hAnsi="Times New Roman"/>
          <w:b/>
          <w:i w:val="0"/>
          <w:color w:val="000000"/>
          <w:sz w:val="24"/>
        </w:rPr>
        <w:t>Le Département Systèmes d'Information &amp; Digitalisation :</w:t>
      </w:r>
      <w:r>
        <w:rPr>
          <w:rFonts w:ascii="Times New Roman" w:hAnsi="Times New Roman"/>
          <w:b w:val="0"/>
          <w:i w:val="0"/>
          <w:color w:val="000000"/>
          <w:sz w:val="24"/>
        </w:rPr>
        <w:t xml:space="preserve"> Assure le maintien opérationnel du parc informatique, la sécurité des données et le pilotage des projets de transformation numérique.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graph TD</w:t>
              <w:br/>
              <w:t xml:space="preserve">    DG["Direction Générale"]</w:t>
              <w:br/>
              <w:t xml:space="preserve">    DP["Département Production &amp; Souscription"]</w:t>
              <w:br/>
              <w:t xml:space="preserve">    DC["Département Comptabilité &amp; Recouvrement"]</w:t>
              <w:br/>
              <w:t xml:space="preserve">    DSI["Département Systèmes d'Information"]</w:t>
              <w:br/>
              <w:t xml:space="preserve">  </w:t>
              <w:br/>
              <w:t xml:space="preserve">    DG --&gt; DP</w:t>
              <w:br/>
              <w:t xml:space="preserve">    DG --&gt; DC</w:t>
              <w:br/>
              <w:t xml:space="preserve">    DG --&gt; DSI</w:t>
              <w:br/>
              <w:t xml:space="preserve">  </w:t>
              <w:br/>
              <w:t xml:space="preserve">    DP --&gt; P1["Cellule Assurances Entreprises &amp; Maritime"]</w:t>
              <w:br/>
              <w:t xml:space="preserve">    DP --&gt; P2["Cellule Assurances Particuliers &amp; Flottes"]</w:t>
              <w:br/>
              <w:t xml:space="preserve">  </w:t>
              <w:br/>
              <w:t xml:space="preserve">    DC --&gt; C1["Cellule Encaissements Clients"]</w:t>
              <w:br/>
              <w:t xml:space="preserve">    DC --&gt; C2["Cellule Règlements Compagnies (CIE)"]</w:t>
              <w:br/>
              <w:t xml:space="preserve">  </w:t>
              <w:br/>
              <w:t xml:space="preserve">    DSI --&gt; S1["Ingénierie Logicielle &amp; Cloud"]</w:t>
              <w:br/>
              <w:t xml:space="preserve">    DSI --&gt; S2["Support &amp; Sécurité des Données"]</w:t>
            </w:r>
          </w:p>
        </w:tc>
      </w:tr>
    </w:tbl>
    <w:p>
      <w:pPr>
        <w:spacing w:line="276" w:lineRule="auto" w:before="80" w:after="200"/>
        <w:ind w:firstLine="0"/>
        <w:jc w:val="center"/>
      </w:pPr>
      <w:r>
        <w:rPr>
          <w:rFonts w:ascii="Times New Roman" w:hAnsi="Times New Roman"/>
          <w:b/>
          <w:i w:val="0"/>
          <w:color w:val="1E3A8A"/>
          <w:sz w:val="22"/>
        </w:rPr>
        <w:t>Figure 1 : Structure organisationnelle de l'organisme d'accueil</w:t>
      </w:r>
    </w:p>
    <w:p>
      <w:pPr>
        <w:keepNext/>
        <w:spacing w:before="200" w:after="80"/>
        <w:ind w:firstLine="0"/>
        <w:jc w:val="left"/>
      </w:pPr>
      <w:r>
        <w:rPr>
          <w:rFonts w:ascii="Times New Roman" w:hAnsi="Times New Roman"/>
          <w:b/>
          <w:color w:val="334155"/>
          <w:sz w:val="24"/>
        </w:rPr>
        <w:t>2.3. Outils informatiques et environnement initial</w:t>
      </w:r>
    </w:p>
    <w:p>
      <w:pPr>
        <w:spacing w:line="360" w:lineRule="auto" w:before="120" w:after="120"/>
        <w:ind w:firstLine="454"/>
        <w:jc w:val="both"/>
      </w:pPr>
      <w:r>
        <w:rPr>
          <w:rFonts w:ascii="Times New Roman" w:hAnsi="Times New Roman"/>
          <w:b w:val="0"/>
          <w:i w:val="0"/>
          <w:color w:val="000000"/>
          <w:sz w:val="24"/>
        </w:rPr>
        <w:t xml:space="preserve">Avant le lancement de notre projet, le service de production utilisait un outil historique (legacy) reposant sur une architecture Node.js/React minimale couplée à une utilisation prédominante de fichiers Microsoft Excel partagés en réseau local. Ces classeurs, articulés autour de feuilles de calcul nommées </w:t>
      </w:r>
      <w:r>
        <w:rPr>
          <w:rFonts w:ascii="Consolas" w:hAnsi="Consolas"/>
          <w:b w:val="0"/>
          <w:i w:val="0"/>
          <w:color w:val="B41414"/>
          <w:sz w:val="22"/>
        </w:rPr>
        <w:t>PROD S C</w:t>
      </w:r>
      <w:r>
        <w:rPr>
          <w:rFonts w:ascii="Times New Roman" w:hAnsi="Times New Roman"/>
          <w:b w:val="0"/>
          <w:i w:val="0"/>
          <w:color w:val="000000"/>
          <w:sz w:val="24"/>
        </w:rPr>
        <w:t xml:space="preserve">, </w:t>
      </w:r>
      <w:r>
        <w:rPr>
          <w:rFonts w:ascii="Consolas" w:hAnsi="Consolas"/>
          <w:b w:val="0"/>
          <w:i w:val="0"/>
          <w:color w:val="B41414"/>
          <w:sz w:val="22"/>
        </w:rPr>
        <w:t>PROD A C</w:t>
      </w:r>
      <w:r>
        <w:rPr>
          <w:rFonts w:ascii="Times New Roman" w:hAnsi="Times New Roman"/>
          <w:b w:val="0"/>
          <w:i w:val="0"/>
          <w:color w:val="000000"/>
          <w:sz w:val="24"/>
        </w:rPr>
        <w:t xml:space="preserve">, </w:t>
      </w:r>
      <w:r>
        <w:rPr>
          <w:rFonts w:ascii="Consolas" w:hAnsi="Consolas"/>
          <w:b w:val="0"/>
          <w:i w:val="0"/>
          <w:color w:val="B41414"/>
          <w:sz w:val="22"/>
        </w:rPr>
        <w:t>MARITIME</w:t>
      </w:r>
      <w:r>
        <w:rPr>
          <w:rFonts w:ascii="Times New Roman" w:hAnsi="Times New Roman"/>
          <w:b w:val="0"/>
          <w:i w:val="0"/>
          <w:color w:val="000000"/>
          <w:sz w:val="24"/>
        </w:rPr>
        <w:t xml:space="preserve"> et </w:t>
      </w:r>
      <w:r>
        <w:rPr>
          <w:rFonts w:ascii="Consolas" w:hAnsi="Consolas"/>
          <w:b w:val="0"/>
          <w:i w:val="0"/>
          <w:color w:val="B41414"/>
          <w:sz w:val="22"/>
        </w:rPr>
        <w:t>MARITIME A C</w:t>
      </w:r>
      <w:r>
        <w:rPr>
          <w:rFonts w:ascii="Times New Roman" w:hAnsi="Times New Roman"/>
          <w:b w:val="0"/>
          <w:i w:val="0"/>
          <w:color w:val="000000"/>
          <w:sz w:val="24"/>
        </w:rPr>
        <w:t>, faisaient office d'unique référentiel de travail pour la saisie des opérations d'assurance et le lettrage des règlements.</w:t>
      </w:r>
    </w:p>
    <w:p>
      <w:pPr>
        <w:keepNext/>
        <w:spacing w:before="280" w:after="120"/>
        <w:ind w:firstLine="0"/>
        <w:jc w:val="left"/>
      </w:pPr>
      <w:r>
        <w:rPr>
          <w:rFonts w:ascii="Times New Roman" w:hAnsi="Times New Roman"/>
          <w:b/>
          <w:color w:val="1E293B"/>
          <w:sz w:val="28"/>
        </w:rPr>
        <w:t>3. Étude de l'existant</w:t>
      </w:r>
    </w:p>
    <w:p>
      <w:pPr>
        <w:keepNext/>
        <w:spacing w:before="200" w:after="80"/>
        <w:ind w:firstLine="0"/>
        <w:jc w:val="left"/>
      </w:pPr>
      <w:r>
        <w:rPr>
          <w:rFonts w:ascii="Times New Roman" w:hAnsi="Times New Roman"/>
          <w:b/>
          <w:color w:val="334155"/>
          <w:sz w:val="24"/>
        </w:rPr>
        <w:t>3.1. Description de l'existant</w:t>
      </w:r>
    </w:p>
    <w:p>
      <w:pPr>
        <w:spacing w:line="360" w:lineRule="auto" w:before="120" w:after="120"/>
        <w:ind w:firstLine="454"/>
        <w:jc w:val="both"/>
      </w:pPr>
      <w:r>
        <w:rPr>
          <w:rFonts w:ascii="Times New Roman" w:hAnsi="Times New Roman"/>
          <w:b w:val="0"/>
          <w:i w:val="0"/>
          <w:color w:val="000000"/>
          <w:sz w:val="24"/>
        </w:rPr>
        <w:t>L'analyse des modalités de travail au sein de l'agence a mis en lumière un processus séquentiel fortement tributaire de manipulations humaines :</w:t>
      </w:r>
    </w:p>
    <w:p>
      <w:pPr>
        <w:spacing w:line="312" w:lineRule="auto" w:before="40" w:after="60"/>
        <w:ind w:left="567" w:hanging="283"/>
        <w:jc w:val="both"/>
      </w:pPr>
      <w:r>
        <w:rPr>
          <w:rFonts w:ascii="Times New Roman" w:hAnsi="Times New Roman"/>
          <w:b/>
          <w:color w:val="1E293B"/>
          <w:sz w:val="24"/>
        </w:rPr>
        <w:t xml:space="preserve">1.  </w:t>
      </w:r>
      <w:r>
        <w:rPr>
          <w:rFonts w:ascii="Times New Roman" w:hAnsi="Times New Roman"/>
          <w:b/>
          <w:i w:val="0"/>
          <w:color w:val="000000"/>
          <w:sz w:val="24"/>
        </w:rPr>
        <w:t>Saisie des contrats :</w:t>
      </w:r>
      <w:r>
        <w:rPr>
          <w:rFonts w:ascii="Times New Roman" w:hAnsi="Times New Roman"/>
          <w:b w:val="0"/>
          <w:i w:val="0"/>
          <w:color w:val="000000"/>
          <w:sz w:val="24"/>
        </w:rPr>
        <w:t xml:space="preserve"> Lors de la souscription d'une police (automobile, risques divers, transport ou maritime), le gestionnaire reporte manuellement les informations dans le classeur Excel correspondant. Pour les contrats maritimes, la saisie inclut le nom du navire, le numéro de certificat, le numéro d'ordre interne et les parts de co-assurance.</w:t>
      </w:r>
    </w:p>
    <w:p>
      <w:pPr>
        <w:spacing w:line="312" w:lineRule="auto" w:before="40" w:after="60"/>
        <w:ind w:left="567" w:hanging="283"/>
        <w:jc w:val="both"/>
      </w:pPr>
      <w:r>
        <w:rPr>
          <w:rFonts w:ascii="Times New Roman" w:hAnsi="Times New Roman"/>
          <w:b/>
          <w:color w:val="1E293B"/>
          <w:sz w:val="24"/>
        </w:rPr>
        <w:t xml:space="preserve">2.  </w:t>
      </w:r>
      <w:r>
        <w:rPr>
          <w:rFonts w:ascii="Times New Roman" w:hAnsi="Times New Roman"/>
          <w:b/>
          <w:i w:val="0"/>
          <w:color w:val="000000"/>
          <w:sz w:val="24"/>
        </w:rPr>
        <w:t>Calcul des primes :</w:t>
      </w:r>
      <w:r>
        <w:rPr>
          <w:rFonts w:ascii="Times New Roman" w:hAnsi="Times New Roman"/>
          <w:b w:val="0"/>
          <w:i w:val="0"/>
          <w:color w:val="000000"/>
          <w:sz w:val="24"/>
        </w:rPr>
        <w:t xml:space="preserve"> Le montant total de la police est calculé en additionnant la prime nette, les taxes applicables, la taxe parafiscale, les accessoires et la contribution CNPC.</w:t>
      </w:r>
    </w:p>
    <w:p>
      <w:pPr>
        <w:spacing w:line="312" w:lineRule="auto" w:before="40" w:after="60"/>
        <w:ind w:left="567" w:hanging="283"/>
        <w:jc w:val="both"/>
      </w:pPr>
      <w:r>
        <w:rPr>
          <w:rFonts w:ascii="Times New Roman" w:hAnsi="Times New Roman"/>
          <w:b/>
          <w:color w:val="1E293B"/>
          <w:sz w:val="24"/>
        </w:rPr>
        <w:t xml:space="preserve">3.  </w:t>
      </w:r>
      <w:r>
        <w:rPr>
          <w:rFonts w:ascii="Times New Roman" w:hAnsi="Times New Roman"/>
          <w:b/>
          <w:i w:val="0"/>
          <w:color w:val="000000"/>
          <w:sz w:val="24"/>
        </w:rPr>
        <w:t>Règlements et encaissements :</w:t>
      </w:r>
      <w:r>
        <w:rPr>
          <w:rFonts w:ascii="Times New Roman" w:hAnsi="Times New Roman"/>
          <w:b w:val="0"/>
          <w:i w:val="0"/>
          <w:color w:val="000000"/>
          <w:sz w:val="24"/>
        </w:rPr>
        <w:t xml:space="preserve"> Lorsqu'un client effectue un versement (par chèque, virement ou espèces), le comptable saisit la ligne de paiement dans la colonne du registre. En parallèle, lorsqu'un chèque de reversement est émis au profit de la compagnie d'assurance (CIE), une seconde saisie est effectuée.</w:t>
      </w:r>
    </w:p>
    <w:p>
      <w:pPr>
        <w:spacing w:line="312" w:lineRule="auto" w:before="40" w:after="60"/>
        <w:ind w:left="567" w:hanging="283"/>
        <w:jc w:val="both"/>
      </w:pPr>
      <w:r>
        <w:rPr>
          <w:rFonts w:ascii="Times New Roman" w:hAnsi="Times New Roman"/>
          <w:b/>
          <w:color w:val="1E293B"/>
          <w:sz w:val="24"/>
        </w:rPr>
        <w:t xml:space="preserve">4.  </w:t>
      </w:r>
      <w:r>
        <w:rPr>
          <w:rFonts w:ascii="Times New Roman" w:hAnsi="Times New Roman"/>
          <w:b/>
          <w:i w:val="0"/>
          <w:color w:val="000000"/>
          <w:sz w:val="24"/>
        </w:rPr>
        <w:t>Facturation :</w:t>
      </w:r>
      <w:r>
        <w:rPr>
          <w:rFonts w:ascii="Times New Roman" w:hAnsi="Times New Roman"/>
          <w:b w:val="0"/>
          <w:i w:val="0"/>
          <w:color w:val="000000"/>
          <w:sz w:val="24"/>
        </w:rPr>
        <w:t xml:space="preserve"> Les factures étaient rédigées manuellement sur un modèle Word, sans synchronisation automatique avec les quittances émises.</w:t>
      </w:r>
    </w:p>
    <w:p>
      <w:pPr>
        <w:keepNext/>
        <w:spacing w:before="200" w:after="80"/>
        <w:ind w:firstLine="0"/>
        <w:jc w:val="left"/>
      </w:pPr>
      <w:r>
        <w:rPr>
          <w:rFonts w:ascii="Times New Roman" w:hAnsi="Times New Roman"/>
          <w:b/>
          <w:color w:val="334155"/>
          <w:sz w:val="24"/>
        </w:rPr>
        <w:t>3.2. Critique de l'existant</w:t>
      </w:r>
    </w:p>
    <w:p>
      <w:pPr>
        <w:spacing w:line="360" w:lineRule="auto" w:before="120" w:after="120"/>
        <w:ind w:firstLine="454"/>
        <w:jc w:val="both"/>
      </w:pPr>
      <w:r>
        <w:rPr>
          <w:rFonts w:ascii="Times New Roman" w:hAnsi="Times New Roman"/>
          <w:b w:val="0"/>
          <w:i w:val="0"/>
          <w:color w:val="000000"/>
          <w:sz w:val="24"/>
        </w:rPr>
        <w:t>L'étude critique du système existant a permis d'identifier plusieurs faiblesses majeures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Absence de séparation des exercices comptables :</w:t>
      </w:r>
      <w:r>
        <w:rPr>
          <w:rFonts w:ascii="Times New Roman" w:hAnsi="Times New Roman"/>
          <w:b w:val="0"/>
          <w:i w:val="0"/>
          <w:color w:val="000000"/>
          <w:sz w:val="24"/>
        </w:rPr>
        <w:t xml:space="preserve"> Toutes les opérations étaient consignées de manière continue dans les mêmes fichiers sans cloisonnement étanche par année fiscale. Les bilans de fin d'année et les comparaisons inter-exercices imposaient des manipulations complexes et sources d'erreurs.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Risques majeurs d'intégrité et redondance des données :</w:t>
      </w:r>
      <w:r>
        <w:rPr>
          <w:rFonts w:ascii="Times New Roman" w:hAnsi="Times New Roman"/>
          <w:b w:val="0"/>
          <w:i w:val="0"/>
          <w:color w:val="000000"/>
          <w:sz w:val="24"/>
        </w:rPr>
        <w:t xml:space="preserve"> L'absence de base de données relationnelle ou documentaire centralisée entraînait des doublons, des discordances entre les fiches clients et des pertes d'historique en cas d'écrasement de fichier.</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Confusion dans le double circuit financier :</w:t>
      </w:r>
      <w:r>
        <w:rPr>
          <w:rFonts w:ascii="Times New Roman" w:hAnsi="Times New Roman"/>
          <w:b w:val="0"/>
          <w:i w:val="0"/>
          <w:color w:val="000000"/>
          <w:sz w:val="24"/>
        </w:rPr>
        <w:t xml:space="preserve"> L'imbrication des règlements clients (encaissements) et des règlements compagnies (décaissements) sur les mêmes lignes de tableur faussait le calcul des créances réelles des clients et compliquait le rapprochement des comptes de courtage.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Défaut de validation des formats réglementaires :</w:t>
      </w:r>
      <w:r>
        <w:rPr>
          <w:rFonts w:ascii="Times New Roman" w:hAnsi="Times New Roman"/>
          <w:b w:val="0"/>
          <w:i w:val="0"/>
          <w:color w:val="000000"/>
          <w:sz w:val="24"/>
        </w:rPr>
        <w:t xml:space="preserve"> Aucun contrôle systématique n'était opéré sur des identifiants cruciaux tels que l'ICE (Identifiant Commun de l'Entreprise à 15 chiffres) ou les numéros de CIN.</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Inexistence d'outils d'aide à la décision et d'IA :</w:t>
      </w:r>
      <w:r>
        <w:rPr>
          <w:rFonts w:ascii="Times New Roman" w:hAnsi="Times New Roman"/>
          <w:b w:val="0"/>
          <w:i w:val="0"/>
          <w:color w:val="000000"/>
          <w:sz w:val="24"/>
        </w:rPr>
        <w:t xml:space="preserve"> Les gestionnaires ne disposaient d'aucun tableau de bord de performance en temps réel, ni d'outil automatisé pour qualifier la gravité des sinistres ou évaluer le risque de souscription.</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Vulnérabilités de sécurité et d'auditabilité :</w:t>
      </w:r>
      <w:r>
        <w:rPr>
          <w:rFonts w:ascii="Times New Roman" w:hAnsi="Times New Roman"/>
          <w:b w:val="0"/>
          <w:i w:val="0"/>
          <w:color w:val="000000"/>
          <w:sz w:val="24"/>
        </w:rPr>
        <w:t xml:space="preserve"> Absence de traçabilité des modifications, pas de chiffrement des données sensibles, authentification rudimentaire et absence de plan de reprise d'activité.</w:t>
      </w:r>
    </w:p>
    <w:p>
      <w:pPr>
        <w:keepNext/>
        <w:spacing w:before="200" w:after="80"/>
        <w:ind w:firstLine="0"/>
        <w:jc w:val="left"/>
      </w:pPr>
      <w:r>
        <w:rPr>
          <w:rFonts w:ascii="Times New Roman" w:hAnsi="Times New Roman"/>
          <w:b/>
          <w:color w:val="334155"/>
          <w:sz w:val="24"/>
        </w:rPr>
        <w:t>3.3. Solution proposée</w:t>
      </w:r>
    </w:p>
    <w:p>
      <w:pPr>
        <w:spacing w:line="360" w:lineRule="auto" w:before="120" w:after="120"/>
        <w:ind w:firstLine="454"/>
        <w:jc w:val="both"/>
      </w:pPr>
      <w:r>
        <w:rPr>
          <w:rFonts w:ascii="Times New Roman" w:hAnsi="Times New Roman"/>
          <w:b w:val="0"/>
          <w:i w:val="0"/>
          <w:color w:val="000000"/>
          <w:sz w:val="24"/>
        </w:rPr>
        <w:t xml:space="preserve">Face à ces constats, nous avons proposé la conception et la réalisation de la plateforme </w:t>
      </w:r>
      <w:r>
        <w:rPr>
          <w:rFonts w:ascii="Times New Roman" w:hAnsi="Times New Roman"/>
          <w:b/>
          <w:i w:val="0"/>
          <w:color w:val="000000"/>
          <w:sz w:val="24"/>
        </w:rPr>
        <w:t>InsurFlow</w:t>
      </w:r>
      <w:r>
        <w:rPr>
          <w:rFonts w:ascii="Times New Roman" w:hAnsi="Times New Roman"/>
          <w:b w:val="0"/>
          <w:i w:val="0"/>
          <w:color w:val="000000"/>
          <w:sz w:val="24"/>
        </w:rPr>
        <w:t>, un ERP d'assurance full-stack cloud-native offrant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Une </w:t>
      </w:r>
      <w:r>
        <w:rPr>
          <w:rFonts w:ascii="Times New Roman" w:hAnsi="Times New Roman"/>
          <w:b/>
          <w:i w:val="0"/>
          <w:color w:val="000000"/>
          <w:sz w:val="24"/>
        </w:rPr>
        <w:t>architecture applicative d'entreprise</w:t>
      </w:r>
      <w:r>
        <w:rPr>
          <w:rFonts w:ascii="Times New Roman" w:hAnsi="Times New Roman"/>
          <w:b w:val="0"/>
          <w:i w:val="0"/>
          <w:color w:val="000000"/>
          <w:sz w:val="24"/>
        </w:rPr>
        <w:t xml:space="preserve"> moderne reposant sur </w:t>
      </w:r>
      <w:r>
        <w:rPr>
          <w:rFonts w:ascii="Times New Roman" w:hAnsi="Times New Roman"/>
          <w:b/>
          <w:i w:val="0"/>
          <w:color w:val="000000"/>
          <w:sz w:val="24"/>
        </w:rPr>
        <w:t>Spring Boot 3.3 (Java 21 LTS)</w:t>
      </w:r>
      <w:r>
        <w:rPr>
          <w:rFonts w:ascii="Times New Roman" w:hAnsi="Times New Roman"/>
          <w:b w:val="0"/>
          <w:i w:val="0"/>
          <w:color w:val="000000"/>
          <w:sz w:val="24"/>
        </w:rPr>
        <w:t xml:space="preserve"> pour le backend REST et </w:t>
      </w:r>
      <w:r>
        <w:rPr>
          <w:rFonts w:ascii="Times New Roman" w:hAnsi="Times New Roman"/>
          <w:b/>
          <w:i w:val="0"/>
          <w:color w:val="000000"/>
          <w:sz w:val="24"/>
        </w:rPr>
        <w:t>Next.js 15 / React 19 (TypeScript)</w:t>
      </w:r>
      <w:r>
        <w:rPr>
          <w:rFonts w:ascii="Times New Roman" w:hAnsi="Times New Roman"/>
          <w:b w:val="0"/>
          <w:i w:val="0"/>
          <w:color w:val="000000"/>
          <w:sz w:val="24"/>
        </w:rPr>
        <w:t xml:space="preserve"> pour le frontend réactif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Une </w:t>
      </w:r>
      <w:r>
        <w:rPr>
          <w:rFonts w:ascii="Times New Roman" w:hAnsi="Times New Roman"/>
          <w:b/>
          <w:i w:val="0"/>
          <w:color w:val="000000"/>
          <w:sz w:val="24"/>
        </w:rPr>
        <w:t>gestion native et étanche des exercices comptables</w:t>
      </w:r>
      <w:r>
        <w:rPr>
          <w:rFonts w:ascii="Times New Roman" w:hAnsi="Times New Roman"/>
          <w:b w:val="0"/>
          <w:i w:val="0"/>
          <w:color w:val="000000"/>
          <w:sz w:val="24"/>
        </w:rPr>
        <w:t>, permettant de filtrer instantanément l'ensemble des indicateurs, registres et opérations par année fiscale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Une modélisation fidèle de la totalité des </w:t>
      </w:r>
      <w:r>
        <w:rPr>
          <w:rFonts w:ascii="Times New Roman" w:hAnsi="Times New Roman"/>
          <w:b/>
          <w:i w:val="0"/>
          <w:color w:val="000000"/>
          <w:sz w:val="24"/>
        </w:rPr>
        <w:t>registres de production d'assurance</w:t>
      </w:r>
      <w:r>
        <w:rPr>
          <w:rFonts w:ascii="Times New Roman" w:hAnsi="Times New Roman"/>
          <w:b w:val="0"/>
          <w:i w:val="0"/>
          <w:color w:val="000000"/>
          <w:sz w:val="24"/>
        </w:rPr>
        <w:t xml:space="preserve"> (</w:t>
      </w:r>
      <w:r>
        <w:rPr>
          <w:rFonts w:ascii="Consolas" w:hAnsi="Consolas"/>
          <w:b w:val="0"/>
          <w:i w:val="0"/>
          <w:color w:val="B41414"/>
          <w:sz w:val="22"/>
        </w:rPr>
        <w:t>PROD S C</w:t>
      </w:r>
      <w:r>
        <w:rPr>
          <w:rFonts w:ascii="Times New Roman" w:hAnsi="Times New Roman"/>
          <w:b w:val="0"/>
          <w:i w:val="0"/>
          <w:color w:val="000000"/>
          <w:sz w:val="24"/>
        </w:rPr>
        <w:t xml:space="preserve">, </w:t>
      </w:r>
      <w:r>
        <w:rPr>
          <w:rFonts w:ascii="Consolas" w:hAnsi="Consolas"/>
          <w:b w:val="0"/>
          <w:i w:val="0"/>
          <w:color w:val="B41414"/>
          <w:sz w:val="22"/>
        </w:rPr>
        <w:t>PROD A C</w:t>
      </w:r>
      <w:r>
        <w:rPr>
          <w:rFonts w:ascii="Times New Roman" w:hAnsi="Times New Roman"/>
          <w:b w:val="0"/>
          <w:i w:val="0"/>
          <w:color w:val="000000"/>
          <w:sz w:val="24"/>
        </w:rPr>
        <w:t xml:space="preserve">, </w:t>
      </w:r>
      <w:r>
        <w:rPr>
          <w:rFonts w:ascii="Consolas" w:hAnsi="Consolas"/>
          <w:b w:val="0"/>
          <w:i w:val="0"/>
          <w:color w:val="B41414"/>
          <w:sz w:val="22"/>
        </w:rPr>
        <w:t>MARITIME</w:t>
      </w:r>
      <w:r>
        <w:rPr>
          <w:rFonts w:ascii="Times New Roman" w:hAnsi="Times New Roman"/>
          <w:b w:val="0"/>
          <w:i w:val="0"/>
          <w:color w:val="000000"/>
          <w:sz w:val="24"/>
        </w:rPr>
        <w:t xml:space="preserve">, </w:t>
      </w:r>
      <w:r>
        <w:rPr>
          <w:rFonts w:ascii="Consolas" w:hAnsi="Consolas"/>
          <w:b w:val="0"/>
          <w:i w:val="0"/>
          <w:color w:val="B41414"/>
          <w:sz w:val="22"/>
        </w:rPr>
        <w:t>MARITIME A C</w:t>
      </w:r>
      <w:r>
        <w:rPr>
          <w:rFonts w:ascii="Times New Roman" w:hAnsi="Times New Roman"/>
          <w:b w:val="0"/>
          <w:i w:val="0"/>
          <w:color w:val="000000"/>
          <w:sz w:val="24"/>
        </w:rPr>
        <w:t>) avec gestion de la co-assurance multi-compagnies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 </w:t>
      </w:r>
      <w:r>
        <w:rPr>
          <w:rFonts w:ascii="Times New Roman" w:hAnsi="Times New Roman"/>
          <w:b/>
          <w:i w:val="0"/>
          <w:color w:val="000000"/>
          <w:sz w:val="24"/>
        </w:rPr>
        <w:t>double circuit financier indépendant</w:t>
      </w:r>
      <w:r>
        <w:rPr>
          <w:rFonts w:ascii="Times New Roman" w:hAnsi="Times New Roman"/>
          <w:b w:val="0"/>
          <w:i w:val="0"/>
          <w:color w:val="000000"/>
          <w:sz w:val="24"/>
        </w:rPr>
        <w:t xml:space="preserve"> garantissant la séparation comptable entre les encaissements souscripteurs et les décaissements compagnies d'assurance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 moteur complet de </w:t>
      </w:r>
      <w:r>
        <w:rPr>
          <w:rFonts w:ascii="Times New Roman" w:hAnsi="Times New Roman"/>
          <w:b/>
          <w:i w:val="0"/>
          <w:color w:val="000000"/>
          <w:sz w:val="24"/>
        </w:rPr>
        <w:t>facturation et de génération documentaire PDF certifiée</w:t>
      </w:r>
      <w:r>
        <w:rPr>
          <w:rFonts w:ascii="Times New Roman" w:hAnsi="Times New Roman"/>
          <w:b w:val="0"/>
          <w:i w:val="0"/>
          <w:color w:val="000000"/>
          <w:sz w:val="24"/>
        </w:rPr>
        <w:t xml:space="preserve"> (OpenPDF &amp; jsPDF-autotable) avec exports Excel CSV en encodage UTF-8 avec BOM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Des </w:t>
      </w:r>
      <w:r>
        <w:rPr>
          <w:rFonts w:ascii="Times New Roman" w:hAnsi="Times New Roman"/>
          <w:b/>
          <w:i w:val="0"/>
          <w:color w:val="000000"/>
          <w:sz w:val="24"/>
        </w:rPr>
        <w:t>modules d'Intelligence Artificielle</w:t>
      </w:r>
      <w:r>
        <w:rPr>
          <w:rFonts w:ascii="Times New Roman" w:hAnsi="Times New Roman"/>
          <w:b w:val="0"/>
          <w:i w:val="0"/>
          <w:color w:val="000000"/>
          <w:sz w:val="24"/>
        </w:rPr>
        <w:t xml:space="preserve"> pour l'évaluation des risques de souscription et l'analyse automatisée des déclarations de sinistres (chiffrage, barème ACAPS et détection de fraude)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 xml:space="preserve">Une chaîne d'intégration et de déploiement continu </w:t>
      </w:r>
      <w:r>
        <w:rPr>
          <w:rFonts w:ascii="Times New Roman" w:hAnsi="Times New Roman"/>
          <w:b/>
          <w:i w:val="0"/>
          <w:color w:val="000000"/>
          <w:sz w:val="24"/>
        </w:rPr>
        <w:t>DevSecOps</w:t>
      </w:r>
      <w:r>
        <w:rPr>
          <w:rFonts w:ascii="Times New Roman" w:hAnsi="Times New Roman"/>
          <w:b w:val="0"/>
          <w:i w:val="0"/>
          <w:color w:val="000000"/>
          <w:sz w:val="24"/>
        </w:rPr>
        <w:t xml:space="preserve"> automatisée via GitHub Actions, analyse de vulnérabilités Trivy, conteneurisation Docker multi-services, reverse-proxy Nginx TLS 1.3 avec certificats Let's Encrypt et observabilité temps réel sous Prometheus / Grafana sur machine virtuelle Azure.</w:t>
      </w:r>
    </w:p>
    <w:p>
      <w:pPr>
        <w:keepNext/>
        <w:spacing w:before="280" w:after="120"/>
        <w:ind w:firstLine="0"/>
        <w:jc w:val="left"/>
      </w:pPr>
      <w:r>
        <w:rPr>
          <w:rFonts w:ascii="Times New Roman" w:hAnsi="Times New Roman"/>
          <w:b/>
          <w:color w:val="1E293B"/>
          <w:sz w:val="28"/>
        </w:rPr>
        <w:t>4. Choix de modèle de développement</w:t>
      </w:r>
    </w:p>
    <w:p>
      <w:pPr>
        <w:keepNext/>
        <w:spacing w:before="200" w:after="80"/>
        <w:ind w:firstLine="0"/>
        <w:jc w:val="left"/>
      </w:pPr>
      <w:r>
        <w:rPr>
          <w:rFonts w:ascii="Times New Roman" w:hAnsi="Times New Roman"/>
          <w:b/>
          <w:color w:val="334155"/>
          <w:sz w:val="24"/>
        </w:rPr>
        <w:t>4.1. Démarche Agile Scrum</w:t>
      </w:r>
    </w:p>
    <w:p>
      <w:pPr>
        <w:spacing w:line="360" w:lineRule="auto" w:before="120" w:after="120"/>
        <w:ind w:firstLine="454"/>
        <w:jc w:val="both"/>
      </w:pPr>
      <w:r>
        <w:rPr>
          <w:rFonts w:ascii="Times New Roman" w:hAnsi="Times New Roman"/>
          <w:b w:val="0"/>
          <w:i w:val="0"/>
          <w:color w:val="000000"/>
          <w:sz w:val="24"/>
        </w:rPr>
        <w:t xml:space="preserve">Pour conduire ce projet dans les meilleures conditions de flexibilité, de qualité et de réactivité face à l'évolution des exigences métiers, nous avons adopté la méthodologie </w:t>
      </w:r>
      <w:r>
        <w:rPr>
          <w:rFonts w:ascii="Times New Roman" w:hAnsi="Times New Roman"/>
          <w:b/>
          <w:i w:val="0"/>
          <w:color w:val="000000"/>
          <w:sz w:val="24"/>
        </w:rPr>
        <w:t>Agile Scrum</w:t>
      </w:r>
      <w:r>
        <w:rPr>
          <w:rFonts w:ascii="Times New Roman" w:hAnsi="Times New Roman"/>
          <w:b w:val="0"/>
          <w:i w:val="0"/>
          <w:color w:val="000000"/>
          <w:sz w:val="24"/>
        </w:rPr>
        <w:t>.</w:t>
      </w:r>
    </w:p>
    <w:p>
      <w:pPr>
        <w:spacing w:line="360" w:lineRule="auto" w:before="120" w:after="120"/>
        <w:ind w:firstLine="454"/>
        <w:jc w:val="both"/>
      </w:pPr>
      <w:r>
        <w:rPr>
          <w:rFonts w:ascii="Times New Roman" w:hAnsi="Times New Roman"/>
          <w:b w:val="0"/>
          <w:i w:val="0"/>
          <w:color w:val="000000"/>
          <w:sz w:val="24"/>
        </w:rPr>
        <w:t>Ce choix se justifie par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 nécessité d'itérations courtes (Sprints de 2 à 3 semaines) permettant de valider régulièrement les fonctionnalités auprès des utilisateurs finaux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 capacité à intégrer rapidement les retours métiers sur les spécificités des registres d'assurance et des calculs de taxes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Une visibilité transparente sur l'avancement des développements via un Backlog de produit hiérarchisé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La maîtrise des risques techniques grâce à l'intégration continue et aux tests automatisés.</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graph LR</w:t>
              <w:br/>
              <w:t xml:space="preserve">    PB["Product Backlog"] --&gt; SP["Sprint Planning"]</w:t>
              <w:br/>
              <w:t xml:space="preserve">    SP --&gt; SB["Sprint Backlog"]</w:t>
              <w:br/>
              <w:t xml:space="preserve">    SB --&gt; SPRINT["Sprint (2-3 Semaines)"]</w:t>
              <w:br/>
              <w:t xml:space="preserve">    SPRINT --&gt; DAILY["Daily Scrum (15 min)"]</w:t>
              <w:br/>
              <w:t xml:space="preserve">    DAILY --&gt; SPRINT</w:t>
              <w:br/>
              <w:t xml:space="preserve">    SPRINT --&gt; INCR["Incrément Potentiellement Livrable"]</w:t>
              <w:br/>
              <w:t xml:space="preserve">    INCR --&gt; SR["Sprint Review"]</w:t>
              <w:br/>
              <w:t xml:space="preserve">    SR --&gt; SRET["Sprint Retrospective"]</w:t>
              <w:br/>
              <w:t xml:space="preserve">    SRET --&gt; SP</w:t>
            </w:r>
          </w:p>
        </w:tc>
      </w:tr>
    </w:tbl>
    <w:p>
      <w:pPr>
        <w:spacing w:line="276" w:lineRule="auto" w:before="80" w:after="200"/>
        <w:ind w:firstLine="0"/>
        <w:jc w:val="center"/>
      </w:pPr>
      <w:r>
        <w:rPr>
          <w:rFonts w:ascii="Times New Roman" w:hAnsi="Times New Roman"/>
          <w:b/>
          <w:i w:val="0"/>
          <w:color w:val="1E3A8A"/>
          <w:sz w:val="22"/>
        </w:rPr>
        <w:t>Figure 2 : Cycle de vie Scrum appliqué au projet InsurFlow</w:t>
      </w:r>
    </w:p>
    <w:p>
      <w:pPr>
        <w:keepNext/>
        <w:spacing w:before="200" w:after="80"/>
        <w:ind w:firstLine="0"/>
        <w:jc w:val="left"/>
      </w:pPr>
      <w:r>
        <w:rPr>
          <w:rFonts w:ascii="Times New Roman" w:hAnsi="Times New Roman"/>
          <w:b/>
          <w:color w:val="334155"/>
          <w:sz w:val="24"/>
        </w:rPr>
        <w:t>4.2. Rôles et cérémonies Scrum</w:t>
      </w:r>
    </w:p>
    <w:p>
      <w:pPr>
        <w:spacing w:line="360" w:lineRule="auto" w:before="120" w:after="120"/>
        <w:ind w:firstLine="454"/>
        <w:jc w:val="both"/>
      </w:pPr>
      <w:r>
        <w:rPr>
          <w:rFonts w:ascii="Times New Roman" w:hAnsi="Times New Roman"/>
          <w:b w:val="0"/>
          <w:i w:val="0"/>
          <w:color w:val="000000"/>
          <w:sz w:val="24"/>
        </w:rPr>
        <w:t>Dans le cadre de notre organisation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Product Owner (PO) :</w:t>
      </w:r>
      <w:r>
        <w:rPr>
          <w:rFonts w:ascii="Times New Roman" w:hAnsi="Times New Roman"/>
          <w:b w:val="0"/>
          <w:i w:val="0"/>
          <w:color w:val="000000"/>
          <w:sz w:val="24"/>
        </w:rPr>
        <w:t xml:space="preserve"> Représenté par notre encadrant professionnel, garant de la vision métier, de la priorisation des exigences du cahier des charges et de la validation des recettes applicatives.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Scrum Master &amp; Équipe de Développement :</w:t>
      </w:r>
      <w:r>
        <w:rPr>
          <w:rFonts w:ascii="Times New Roman" w:hAnsi="Times New Roman"/>
          <w:b w:val="0"/>
          <w:i w:val="0"/>
          <w:color w:val="000000"/>
          <w:sz w:val="24"/>
        </w:rPr>
        <w:t xml:space="preserve"> Assuré par nous-mêmes, veillant au respect des principes agiles, à la levée des blocages techniques, à la conception architecturale, au développement full-stack et au déploiement DevSecOps.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Cérémonies appliquées :</w:t>
      </w:r>
      <w:r>
        <w:rPr>
          <w:rFonts w:ascii="Times New Roman" w:hAnsi="Times New Roman"/>
          <w:b w:val="0"/>
          <w:i w:val="0"/>
          <w:color w:val="000000"/>
          <w:sz w:val="24"/>
        </w:rPr>
        <w:t xml:space="preserve"> Sprint Planning en début d'itération, points d'avancement réguliers, Sprint Review lors de la livraison des incréments logiciels et Sprint Retrospective pour optimiser nos pratiques d'ingénierie.</w:t>
      </w:r>
    </w:p>
    <w:p>
      <w:pPr>
        <w:keepNext/>
        <w:spacing w:before="280" w:after="120"/>
        <w:ind w:firstLine="0"/>
        <w:jc w:val="left"/>
      </w:pPr>
      <w:r>
        <w:rPr>
          <w:rFonts w:ascii="Times New Roman" w:hAnsi="Times New Roman"/>
          <w:b/>
          <w:color w:val="1E293B"/>
          <w:sz w:val="28"/>
        </w:rPr>
        <w:t>5. Planification du projet</w:t>
      </w:r>
    </w:p>
    <w:p>
      <w:pPr>
        <w:spacing w:line="360" w:lineRule="auto" w:before="120" w:after="120"/>
        <w:ind w:firstLine="454"/>
        <w:jc w:val="both"/>
      </w:pPr>
      <w:r>
        <w:rPr>
          <w:rFonts w:ascii="Times New Roman" w:hAnsi="Times New Roman"/>
          <w:b w:val="0"/>
          <w:i w:val="0"/>
          <w:color w:val="000000"/>
          <w:sz w:val="24"/>
        </w:rPr>
        <w:t>La conduite de notre projet s'est articulée autour de la méthode Agile Scrum sur une période intensive de deux mois (8 semaines), s'étalant du 1er juillet au 1er septembre. Afin d'assurer un pilotage rigoureux et de mesurer l'efficacité de nos itérations, nous distinguons la planification prévisionnelle initiale du déroulement réel observé sur le terrain à travers des diagrammes de Gantt chronologiques.</w:t>
      </w:r>
    </w:p>
    <w:p>
      <w:pPr>
        <w:keepNext/>
        <w:spacing w:before="200" w:after="80"/>
        <w:ind w:firstLine="0"/>
        <w:jc w:val="left"/>
      </w:pPr>
      <w:r>
        <w:rPr>
          <w:rFonts w:ascii="Times New Roman" w:hAnsi="Times New Roman"/>
          <w:b/>
          <w:color w:val="334155"/>
          <w:sz w:val="24"/>
        </w:rPr>
        <w:t>5.1. Planning prévisionnel</w:t>
      </w:r>
    </w:p>
    <w:p>
      <w:pPr>
        <w:spacing w:line="360" w:lineRule="auto" w:before="120" w:after="120"/>
        <w:ind w:firstLine="454"/>
        <w:jc w:val="both"/>
      </w:pPr>
      <w:r>
        <w:rPr>
          <w:rFonts w:ascii="Times New Roman" w:hAnsi="Times New Roman"/>
          <w:b w:val="0"/>
          <w:i w:val="0"/>
          <w:color w:val="000000"/>
          <w:sz w:val="24"/>
        </w:rPr>
        <w:t>Le diagramme de Gantt prévisionnel détaille l'enchaînement initial théorique des différentes phases de développement réparties sur les 8 semaines de stage (du 01 juillet au 01 septembre).</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l'image : Figure 3 - Diagramme de Gantt Prévisionnel du projet InsurFlow ]</w:t>
            </w:r>
          </w:p>
        </w:tc>
      </w:tr>
    </w:tbl>
    <w:p>
      <w:pPr>
        <w:spacing w:before="40" w:after="80"/>
      </w:pPr>
    </w:p>
    <w:p>
      <w:pPr>
        <w:spacing w:line="276" w:lineRule="auto" w:before="80" w:after="200"/>
        <w:ind w:firstLine="0"/>
        <w:jc w:val="center"/>
      </w:pPr>
      <w:r>
        <w:rPr>
          <w:rFonts w:ascii="Times New Roman" w:hAnsi="Times New Roman"/>
          <w:b/>
          <w:i w:val="0"/>
          <w:color w:val="1E3A8A"/>
          <w:sz w:val="22"/>
        </w:rPr>
        <w:t>Figure 3 : Diagramme de Gantt Prévisionnel du projet InsurFlow</w:t>
      </w:r>
    </w:p>
    <w:p>
      <w:pPr>
        <w:keepNext/>
        <w:spacing w:before="200" w:after="80"/>
        <w:ind w:firstLine="0"/>
        <w:jc w:val="left"/>
      </w:pPr>
      <w:r>
        <w:rPr>
          <w:rFonts w:ascii="Times New Roman" w:hAnsi="Times New Roman"/>
          <w:b/>
          <w:color w:val="334155"/>
          <w:sz w:val="24"/>
        </w:rPr>
        <w:t>5.2. Planning réel et analyse des écarts</w:t>
      </w:r>
    </w:p>
    <w:p>
      <w:pPr>
        <w:spacing w:line="360" w:lineRule="auto" w:before="120" w:after="120"/>
        <w:ind w:firstLine="454"/>
        <w:jc w:val="both"/>
      </w:pPr>
      <w:r>
        <w:rPr>
          <w:rFonts w:ascii="Times New Roman" w:hAnsi="Times New Roman"/>
          <w:b w:val="0"/>
          <w:i w:val="0"/>
          <w:color w:val="000000"/>
          <w:sz w:val="24"/>
        </w:rPr>
        <w:t>Le diagramme de Gantt réel retrace l'exécution effective des activités tout au long du stage et met en évidence la flexibilité opérée durant les sprints.</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l'image : Figure 4 - Diagramme de Gantt Réel du projet InsurFlow ]</w:t>
            </w:r>
          </w:p>
        </w:tc>
      </w:tr>
    </w:tbl>
    <w:p>
      <w:pPr>
        <w:spacing w:before="40" w:after="80"/>
      </w:pPr>
    </w:p>
    <w:p>
      <w:pPr>
        <w:spacing w:line="276" w:lineRule="auto" w:before="80" w:after="200"/>
        <w:ind w:firstLine="0"/>
        <w:jc w:val="center"/>
      </w:pPr>
      <w:r>
        <w:rPr>
          <w:rFonts w:ascii="Times New Roman" w:hAnsi="Times New Roman"/>
          <w:b/>
          <w:i w:val="0"/>
          <w:color w:val="1E3A8A"/>
          <w:sz w:val="22"/>
        </w:rPr>
        <w:t>Figure 4 : Diagramme de Gantt Réel du projet InsurFlow</w:t>
      </w:r>
    </w:p>
    <w:p>
      <w:pPr>
        <w:spacing w:line="360" w:lineRule="auto" w:before="120" w:after="120"/>
        <w:ind w:firstLine="454"/>
        <w:jc w:val="both"/>
      </w:pPr>
      <w:r>
        <w:rPr>
          <w:rFonts w:ascii="Times New Roman" w:hAnsi="Times New Roman"/>
          <w:b/>
          <w:i w:val="0"/>
          <w:color w:val="000000"/>
          <w:sz w:val="24"/>
        </w:rPr>
        <w:t>Commentaire analytique sur le déroulement réel :</w:t>
      </w:r>
    </w:p>
    <w:p>
      <w:pPr>
        <w:spacing w:line="360" w:lineRule="auto" w:before="120" w:after="120"/>
        <w:ind w:firstLine="454"/>
        <w:jc w:val="both"/>
      </w:pPr>
      <w:r>
        <w:rPr>
          <w:rFonts w:ascii="Times New Roman" w:hAnsi="Times New Roman"/>
          <w:b w:val="0"/>
          <w:i w:val="0"/>
          <w:color w:val="000000"/>
          <w:sz w:val="24"/>
        </w:rPr>
        <w:t>La comparaison entre la trajectoire prévisionnelle et la réalité du terrain montre un respect rigoureux du calendrier global. La complexité liée à la modélisation des polices maritimes et du double circuit financier a nécessité une semaine supplémentaire lors du sprint Core ERP (étalé jusqu'au 14 août). Grâce à la réactivité Scrum et à l'ajustement du backlog, le déploiement sur la machine virtuelle Azure, la recette fonctionnelle et la finalisation de la rédaction du rapport ont été menés en parallèle sur la seconde quinzaine d'août, permettant une livraison complète et opérationnelle au 1er septembre.</w:t>
      </w:r>
    </w:p>
    <w:p>
      <w:pPr>
        <w:keepNext/>
        <w:spacing w:before="280" w:after="120"/>
        <w:ind w:firstLine="0"/>
        <w:jc w:val="left"/>
      </w:pPr>
      <w:r>
        <w:rPr>
          <w:rFonts w:ascii="Times New Roman" w:hAnsi="Times New Roman"/>
          <w:b/>
          <w:color w:val="1E293B"/>
          <w:sz w:val="28"/>
        </w:rPr>
        <w:t>6. Conclusion</w:t>
      </w:r>
    </w:p>
    <w:p>
      <w:pPr>
        <w:spacing w:line="360" w:lineRule="auto" w:before="120" w:after="120"/>
        <w:ind w:firstLine="454"/>
        <w:jc w:val="both"/>
      </w:pPr>
      <w:r>
        <w:rPr>
          <w:rFonts w:ascii="Times New Roman" w:hAnsi="Times New Roman"/>
          <w:b w:val="0"/>
          <w:i w:val="0"/>
          <w:color w:val="000000"/>
          <w:sz w:val="24"/>
        </w:rPr>
        <w:t>Ce premier chapitre nous a permis de situer le projet dans son contexte d'ingénierie, de présenter l'organisme d'accueil et d'établir un diagnostic rigoureux du système d'information existant. Les lacunes constatées justifient pleinement le développement de la plateforme InsurFlow selon la méthodologie Agile Scrum. Le chapitre suivant est consacré à la spécification formelle et détaillée des besoins fonctionnels et non fonctionnels du système.</w:t>
      </w:r>
    </w:p>
    <w:p>
      <w:r>
        <w:br w:type="page"/>
      </w:r>
    </w:p>
    <w:p>
      <w:r>
        <w:br w:type="page"/>
      </w:r>
    </w:p>
    <w:p>
      <w:pPr>
        <w:keepNext/>
        <w:spacing w:before="360" w:after="160"/>
        <w:ind w:firstLine="0"/>
        <w:jc w:val="left"/>
      </w:pPr>
      <w:r>
        <w:rPr>
          <w:rFonts w:ascii="Times New Roman" w:hAnsi="Times New Roman"/>
          <w:b/>
          <w:color w:val="B40000"/>
          <w:sz w:val="32"/>
        </w:rPr>
        <w:t>Chapitre 2 : Spécification des besoins</w:t>
      </w:r>
    </w:p>
    <w:p>
      <w:pPr>
        <w:keepNext/>
        <w:spacing w:before="280" w:after="120"/>
        <w:ind w:firstLine="0"/>
        <w:jc w:val="left"/>
      </w:pPr>
      <w:r>
        <w:rPr>
          <w:rFonts w:ascii="Times New Roman" w:hAnsi="Times New Roman"/>
          <w:b/>
          <w:color w:val="1E293B"/>
          <w:sz w:val="28"/>
        </w:rPr>
        <w:t>1. Introduction</w:t>
      </w:r>
    </w:p>
    <w:p>
      <w:pPr>
        <w:spacing w:line="360" w:lineRule="auto" w:before="120" w:after="120"/>
        <w:ind w:firstLine="454"/>
        <w:jc w:val="both"/>
      </w:pPr>
      <w:r>
        <w:rPr>
          <w:rFonts w:ascii="Times New Roman" w:hAnsi="Times New Roman"/>
          <w:b w:val="0"/>
          <w:i w:val="0"/>
          <w:color w:val="000000"/>
          <w:sz w:val="24"/>
        </w:rPr>
        <w:t>La réussite d'un projet d'ingénierie logicielle dépend de l'exactitude de la phase d'ingénierie des exigences. Ce chapitre a pour objectif de spécifier de manière exhaustive l'ensemble des besoins auxquels la plateforme InsurFlow doit répondre. Nous distinguons rigoureusement les besoins fonctionnels, structurés par domaine métier et hiérarchisés, des besoins non fonctionnels qui régissent la qualité, la sécurité et la performance du système. Nous présentons ensuite les acteurs du système ainsi que les cas d'utilisation formalisés selon les standards académiques et le diagramme global des cas d'utilisation.</w:t>
      </w:r>
    </w:p>
    <w:p>
      <w:pPr>
        <w:keepNext/>
        <w:spacing w:before="280" w:after="120"/>
        <w:ind w:firstLine="0"/>
        <w:jc w:val="left"/>
      </w:pPr>
      <w:r>
        <w:rPr>
          <w:rFonts w:ascii="Times New Roman" w:hAnsi="Times New Roman"/>
          <w:b/>
          <w:color w:val="1E293B"/>
          <w:sz w:val="28"/>
        </w:rPr>
        <w:t>2. Spécification des besoins fonctionnels</w:t>
      </w:r>
    </w:p>
    <w:p>
      <w:pPr>
        <w:spacing w:line="360" w:lineRule="auto" w:before="120" w:after="120"/>
        <w:ind w:firstLine="454"/>
        <w:jc w:val="both"/>
      </w:pPr>
      <w:r>
        <w:rPr>
          <w:rFonts w:ascii="Times New Roman" w:hAnsi="Times New Roman"/>
          <w:b w:val="0"/>
          <w:i w:val="0"/>
          <w:color w:val="000000"/>
          <w:sz w:val="24"/>
        </w:rPr>
        <w:t>Les besoins fonctionnels représentent les services et opérations métiers indispensables que le système doit offrir aux utilisateurs.</w:t>
      </w:r>
    </w:p>
    <w:p>
      <w:pPr>
        <w:keepNext/>
        <w:spacing w:before="200" w:after="80"/>
        <w:ind w:firstLine="0"/>
        <w:jc w:val="left"/>
      </w:pPr>
      <w:r>
        <w:rPr>
          <w:rFonts w:ascii="Times New Roman" w:hAnsi="Times New Roman"/>
          <w:b/>
          <w:color w:val="334155"/>
          <w:sz w:val="24"/>
        </w:rPr>
        <w:t>2.1. Gestion des polices d'assurance et production</w:t>
      </w:r>
    </w:p>
    <w:p>
      <w:pPr>
        <w:spacing w:line="360" w:lineRule="auto" w:before="120" w:after="120"/>
        <w:ind w:firstLine="454"/>
        <w:jc w:val="both"/>
      </w:pPr>
      <w:r>
        <w:rPr>
          <w:rFonts w:ascii="Times New Roman" w:hAnsi="Times New Roman"/>
          <w:b w:val="0"/>
          <w:i w:val="0"/>
          <w:color w:val="000000"/>
          <w:sz w:val="24"/>
        </w:rPr>
        <w:t>Ce besoin concerne la capture, le calcul et le suivi des contrats d'assurance émis par l'agence.</w:t>
      </w:r>
    </w:p>
    <w:p>
      <w:pPr>
        <w:keepNext/>
        <w:spacing w:before="160" w:after="60"/>
        <w:ind w:firstLine="0"/>
        <w:jc w:val="left"/>
      </w:pPr>
      <w:r>
        <w:rPr>
          <w:rFonts w:ascii="Times New Roman" w:hAnsi="Times New Roman"/>
          <w:b/>
          <w:i/>
          <w:color w:val="475569"/>
          <w:sz w:val="24"/>
        </w:rPr>
        <w:t>2.1.1. Saisie des polices standards (`PROD S C` et `PROD A C`)</w:t>
      </w:r>
    </w:p>
    <w:p>
      <w:pPr>
        <w:spacing w:line="360" w:lineRule="auto" w:before="120" w:after="120"/>
        <w:ind w:firstLine="454"/>
        <w:jc w:val="both"/>
      </w:pPr>
      <w:r>
        <w:rPr>
          <w:rFonts w:ascii="Times New Roman" w:hAnsi="Times New Roman"/>
          <w:b w:val="0"/>
          <w:i w:val="0"/>
          <w:color w:val="000000"/>
          <w:sz w:val="24"/>
        </w:rPr>
        <w:t>Le système doit permettre au gestionnaire de saisir l'ensemble des caractéristiques d'une police : client souscripteur, nature d'opération (Affaire Nouvelle, Renouvellement, Avenant, Résiliation), date d'effet, mois de demande (</w:t>
      </w:r>
      <w:r>
        <w:rPr>
          <w:rFonts w:ascii="Consolas" w:hAnsi="Consolas"/>
          <w:b w:val="0"/>
          <w:i w:val="0"/>
          <w:color w:val="B41414"/>
          <w:sz w:val="22"/>
        </w:rPr>
        <w:t>moisDem</w:t>
      </w:r>
      <w:r>
        <w:rPr>
          <w:rFonts w:ascii="Times New Roman" w:hAnsi="Times New Roman"/>
          <w:b w:val="0"/>
          <w:i w:val="0"/>
          <w:color w:val="000000"/>
          <w:sz w:val="24"/>
        </w:rPr>
        <w:t xml:space="preserve"> au format </w:t>
      </w:r>
      <w:r>
        <w:rPr>
          <w:rFonts w:ascii="Consolas" w:hAnsi="Consolas"/>
          <w:b w:val="0"/>
          <w:i w:val="0"/>
          <w:color w:val="B41414"/>
          <w:sz w:val="22"/>
        </w:rPr>
        <w:t>AAAA-MM</w:t>
      </w:r>
      <w:r>
        <w:rPr>
          <w:rFonts w:ascii="Times New Roman" w:hAnsi="Times New Roman"/>
          <w:b w:val="0"/>
          <w:i w:val="0"/>
          <w:color w:val="000000"/>
          <w:sz w:val="24"/>
        </w:rPr>
        <w:t>), compagnie d'assurance émettrice, catégorie/branche de risque, numéro de police et taux de TVA applicable.</w:t>
      </w:r>
    </w:p>
    <w:p>
      <w:pPr>
        <w:keepNext/>
        <w:spacing w:before="160" w:after="60"/>
        <w:ind w:firstLine="0"/>
        <w:jc w:val="left"/>
      </w:pPr>
      <w:r>
        <w:rPr>
          <w:rFonts w:ascii="Times New Roman" w:hAnsi="Times New Roman"/>
          <w:b/>
          <w:i/>
          <w:color w:val="475569"/>
          <w:sz w:val="24"/>
        </w:rPr>
        <w:t>2.1.2. Spécificités du registre maritime (`MARITIME` et `MARITIME A C`)</w:t>
      </w:r>
    </w:p>
    <w:p>
      <w:pPr>
        <w:spacing w:line="360" w:lineRule="auto" w:before="120" w:after="120"/>
        <w:ind w:firstLine="454"/>
        <w:jc w:val="both"/>
      </w:pPr>
      <w:r>
        <w:rPr>
          <w:rFonts w:ascii="Times New Roman" w:hAnsi="Times New Roman"/>
          <w:b w:val="0"/>
          <w:i w:val="0"/>
          <w:color w:val="000000"/>
          <w:sz w:val="24"/>
        </w:rPr>
        <w:t>Pour les opérations maritimes, le système doit obligatoirement capturer des données techniques supplémentaires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Numéro d'Ordre séquentiel interne (</w:t>
      </w:r>
      <w:r>
        <w:rPr>
          <w:rFonts w:ascii="Consolas" w:hAnsi="Consolas"/>
          <w:b w:val="0"/>
          <w:i w:val="0"/>
          <w:color w:val="B41414"/>
          <w:sz w:val="22"/>
        </w:rPr>
        <w:t>ordre</w:t>
      </w:r>
      <w:r>
        <w:rPr>
          <w:rFonts w:ascii="Times New Roman" w:hAnsi="Times New Roman"/>
          <w:b w:val="0"/>
          <w:i w:val="0"/>
          <w:color w:val="000000"/>
          <w:sz w:val="24"/>
        </w:rPr>
        <w: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Nom du navire ou du bâtiment couvert (</w:t>
      </w:r>
      <w:r>
        <w:rPr>
          <w:rFonts w:ascii="Consolas" w:hAnsi="Consolas"/>
          <w:b w:val="0"/>
          <w:i w:val="0"/>
          <w:color w:val="B41414"/>
          <w:sz w:val="22"/>
        </w:rPr>
        <w:t>navire</w:t>
      </w:r>
      <w:r>
        <w:rPr>
          <w:rFonts w:ascii="Times New Roman" w:hAnsi="Times New Roman"/>
          <w:b w:val="0"/>
          <w:i w:val="0"/>
          <w:color w:val="000000"/>
          <w:sz w:val="24"/>
        </w:rPr>
        <w: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Numéro du certificat d'assurance maritime (</w:t>
      </w:r>
      <w:r>
        <w:rPr>
          <w:rFonts w:ascii="Consolas" w:hAnsi="Consolas"/>
          <w:b w:val="0"/>
          <w:i w:val="0"/>
          <w:color w:val="B41414"/>
          <w:sz w:val="22"/>
        </w:rPr>
        <w:t>certificat</w:t>
      </w:r>
      <w:r>
        <w:rPr>
          <w:rFonts w:ascii="Times New Roman" w:hAnsi="Times New Roman"/>
          <w:b w:val="0"/>
          <w:i w:val="0"/>
          <w:color w:val="000000"/>
          <w:sz w:val="24"/>
        </w:rPr>
        <w: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Référence dossier de la compagnie (</w:t>
      </w:r>
      <w:r>
        <w:rPr>
          <w:rFonts w:ascii="Consolas" w:hAnsi="Consolas"/>
          <w:b w:val="0"/>
          <w:i w:val="0"/>
          <w:color w:val="B41414"/>
          <w:sz w:val="22"/>
        </w:rPr>
        <w:t>refCie</w:t>
      </w:r>
      <w:r>
        <w:rPr>
          <w:rFonts w:ascii="Times New Roman" w:hAnsi="Times New Roman"/>
          <w:b w:val="0"/>
          <w:i w:val="0"/>
          <w:color w:val="000000"/>
          <w:sz w:val="24"/>
        </w:rPr>
        <w:t>).</w:t>
      </w:r>
    </w:p>
    <w:p>
      <w:pPr>
        <w:keepNext/>
        <w:spacing w:before="160" w:after="60"/>
        <w:ind w:firstLine="0"/>
        <w:jc w:val="left"/>
      </w:pPr>
      <w:r>
        <w:rPr>
          <w:rFonts w:ascii="Times New Roman" w:hAnsi="Times New Roman"/>
          <w:b/>
          <w:i/>
          <w:color w:val="475569"/>
          <w:sz w:val="24"/>
        </w:rPr>
        <w:t>2.1.3. Répartition co-assurance multi-compagnies</w:t>
      </w:r>
    </w:p>
    <w:p>
      <w:pPr>
        <w:spacing w:line="360" w:lineRule="auto" w:before="120" w:after="120"/>
        <w:ind w:firstLine="454"/>
        <w:jc w:val="both"/>
      </w:pPr>
      <w:r>
        <w:rPr>
          <w:rFonts w:ascii="Times New Roman" w:hAnsi="Times New Roman"/>
          <w:b w:val="0"/>
          <w:i w:val="0"/>
          <w:color w:val="000000"/>
          <w:sz w:val="24"/>
        </w:rPr>
        <w:t>Dans le cadre de polices souscrites en co-assurance ou co-courtage, le système doit permettre de ventiler la prime entre plusieurs compagnies d'assurances partenaires en renseignant pour chacune le pourcentage de couverture attribué (ex: AtlantaSanad 40%, RMA 30%, Wafa 30%).</w:t>
      </w:r>
    </w:p>
    <w:p>
      <w:pPr>
        <w:keepNext/>
        <w:spacing w:before="160" w:after="60"/>
        <w:ind w:firstLine="0"/>
        <w:jc w:val="left"/>
      </w:pPr>
      <w:r>
        <w:rPr>
          <w:rFonts w:ascii="Times New Roman" w:hAnsi="Times New Roman"/>
          <w:b/>
          <w:i/>
          <w:color w:val="475569"/>
          <w:sz w:val="24"/>
        </w:rPr>
        <w:t>2.1.4. Moteur de calcul automatisé des primes</w:t>
      </w:r>
    </w:p>
    <w:p>
      <w:pPr>
        <w:spacing w:line="360" w:lineRule="auto" w:before="120" w:after="120"/>
        <w:ind w:firstLine="454"/>
        <w:jc w:val="both"/>
      </w:pPr>
      <w:r>
        <w:rPr>
          <w:rFonts w:ascii="Times New Roman" w:hAnsi="Times New Roman"/>
          <w:b w:val="0"/>
          <w:i w:val="0"/>
          <w:color w:val="000000"/>
          <w:sz w:val="24"/>
        </w:rPr>
        <w:t>Le système doit calculer automatiquement les montants totaux de prime à partir d'une ou plusieurs lignes de paramètres financiers selon la formule réglementaire :</w:t>
      </w:r>
    </w:p>
    <w:p>
      <w:pPr>
        <w:spacing w:before="120" w:after="120"/>
        <w:ind w:firstLine="0"/>
        <w:jc w:val="center"/>
      </w:pPr>
      <w:r>
        <w:rPr>
          <w:rFonts w:ascii="Cambria Math" w:hAnsi="Cambria Math"/>
          <w:b/>
          <w:i/>
          <w:color w:val="1E3A8A"/>
          <w:sz w:val="24"/>
        </w:rPr>
      </w:r>
    </w:p>
    <w:p>
      <w:pPr>
        <w:spacing w:line="360" w:lineRule="auto" w:before="120" w:after="120"/>
        <w:ind w:firstLine="454"/>
        <w:jc w:val="both"/>
      </w:pPr>
      <w:r>
        <w:rPr>
          <w:rFonts w:ascii="Times New Roman" w:hAnsi="Times New Roman"/>
          <w:b w:val="0"/>
          <w:i w:val="0"/>
          <w:color w:val="000000"/>
          <w:sz w:val="24"/>
        </w:rPr>
        <w:t>\text{Prime Ligne} = \text{Prime Nette} + \text{Taxe} + \text{Taxe Parafiscale} + \text{Accessoires} + \text{CNPC}</w:t>
      </w:r>
    </w:p>
    <w:p>
      <w:pPr>
        <w:spacing w:before="120" w:after="120"/>
        <w:ind w:firstLine="0"/>
        <w:jc w:val="center"/>
      </w:pPr>
      <w:r>
        <w:rPr>
          <w:rFonts w:ascii="Cambria Math" w:hAnsi="Cambria Math"/>
          <w:b/>
          <w:i/>
          <w:color w:val="1E3A8A"/>
          <w:sz w:val="24"/>
        </w:rPr>
      </w:r>
    </w:p>
    <w:p>
      <w:pPr>
        <w:spacing w:before="120" w:after="120"/>
        <w:ind w:firstLine="0"/>
        <w:jc w:val="center"/>
      </w:pPr>
      <w:r>
        <w:rPr>
          <w:rFonts w:ascii="Cambria Math" w:hAnsi="Cambria Math"/>
          <w:b/>
          <w:i/>
          <w:color w:val="1E3A8A"/>
          <w:sz w:val="24"/>
        </w:rPr>
      </w:r>
    </w:p>
    <w:p>
      <w:pPr>
        <w:spacing w:line="360" w:lineRule="auto" w:before="120" w:after="120"/>
        <w:ind w:firstLine="454"/>
        <w:jc w:val="both"/>
      </w:pPr>
      <w:r>
        <w:rPr>
          <w:rFonts w:ascii="Times New Roman" w:hAnsi="Times New Roman"/>
          <w:b w:val="0"/>
          <w:i w:val="0"/>
          <w:color w:val="000000"/>
          <w:sz w:val="24"/>
        </w:rPr>
        <w:t>\text{Montant Total Police} = \sum_{i=1}^{n} \text{Prime Ligne}_i</w:t>
      </w:r>
    </w:p>
    <w:p>
      <w:pPr>
        <w:spacing w:before="120" w:after="120"/>
        <w:ind w:firstLine="0"/>
        <w:jc w:val="center"/>
      </w:pPr>
      <w:r>
        <w:rPr>
          <w:rFonts w:ascii="Cambria Math" w:hAnsi="Cambria Math"/>
          <w:b/>
          <w:i/>
          <w:color w:val="1E3A8A"/>
          <w:sz w:val="24"/>
        </w:rPr>
      </w:r>
    </w:p>
    <w:p>
      <w:pPr>
        <w:keepNext/>
        <w:spacing w:before="200" w:after="80"/>
        <w:ind w:firstLine="0"/>
        <w:jc w:val="left"/>
      </w:pPr>
      <w:r>
        <w:rPr>
          <w:rFonts w:ascii="Times New Roman" w:hAnsi="Times New Roman"/>
          <w:b/>
          <w:color w:val="334155"/>
          <w:sz w:val="24"/>
        </w:rPr>
        <w:t>2.2. Gestion financière et double circuit de règlements</w:t>
      </w:r>
    </w:p>
    <w:p>
      <w:pPr>
        <w:spacing w:line="360" w:lineRule="auto" w:before="120" w:after="120"/>
        <w:ind w:firstLine="454"/>
        <w:jc w:val="both"/>
      </w:pPr>
      <w:r>
        <w:rPr>
          <w:rFonts w:ascii="Times New Roman" w:hAnsi="Times New Roman"/>
          <w:b w:val="0"/>
          <w:i w:val="0"/>
          <w:color w:val="000000"/>
          <w:sz w:val="24"/>
        </w:rPr>
        <w:t>Ce module assure la traçabilité intégrale des flux monétaires générés par les polices d'assurance.</w:t>
      </w:r>
    </w:p>
    <w:p>
      <w:pPr>
        <w:keepNext/>
        <w:spacing w:before="160" w:after="60"/>
        <w:ind w:firstLine="0"/>
        <w:jc w:val="left"/>
      </w:pPr>
      <w:r>
        <w:rPr>
          <w:rFonts w:ascii="Times New Roman" w:hAnsi="Times New Roman"/>
          <w:b/>
          <w:i/>
          <w:color w:val="475569"/>
          <w:sz w:val="24"/>
        </w:rPr>
        <w:t>2.2.1. Circuit des encaissements clients</w:t>
      </w:r>
    </w:p>
    <w:p>
      <w:pPr>
        <w:spacing w:line="360" w:lineRule="auto" w:before="120" w:after="120"/>
        <w:ind w:firstLine="454"/>
        <w:jc w:val="both"/>
      </w:pPr>
      <w:r>
        <w:rPr>
          <w:rFonts w:ascii="Times New Roman" w:hAnsi="Times New Roman"/>
          <w:b w:val="0"/>
          <w:i w:val="0"/>
          <w:color w:val="000000"/>
          <w:sz w:val="24"/>
        </w:rPr>
        <w:t>Le système doit enregistrer les règlements versés par les assurés (espèces, chèque avec date d'échéance et banque émettrice, virement bancaire ou effet). Chaque encaissement validé vient automatiquement réduire le crédit (créance) du client souscripteur.</w:t>
      </w:r>
    </w:p>
    <w:p>
      <w:pPr>
        <w:keepNext/>
        <w:spacing w:before="160" w:after="60"/>
        <w:ind w:firstLine="0"/>
        <w:jc w:val="left"/>
      </w:pPr>
      <w:r>
        <w:rPr>
          <w:rFonts w:ascii="Times New Roman" w:hAnsi="Times New Roman"/>
          <w:b/>
          <w:i/>
          <w:color w:val="475569"/>
          <w:sz w:val="24"/>
        </w:rPr>
        <w:t>2.2.2. Circuit des décaissements compagnies d'assurance (CIE)</w:t>
      </w:r>
    </w:p>
    <w:p>
      <w:pPr>
        <w:spacing w:line="360" w:lineRule="auto" w:before="120" w:after="120"/>
        <w:ind w:firstLine="454"/>
        <w:jc w:val="both"/>
      </w:pPr>
      <w:r>
        <w:rPr>
          <w:rFonts w:ascii="Times New Roman" w:hAnsi="Times New Roman"/>
          <w:b w:val="0"/>
          <w:i w:val="0"/>
          <w:color w:val="000000"/>
          <w:sz w:val="24"/>
        </w:rPr>
        <w:t>Le système doit enregistrer de manière totalement étanche les reversements effectués par l'agence de courtage aux compagnies d'assurance mandantes. Ces opérations de décaissement n'impactent en aucun cas la situation de créance du client souscripteur.</w:t>
      </w:r>
    </w:p>
    <w:p>
      <w:pPr>
        <w:keepNext/>
        <w:spacing w:before="160" w:after="60"/>
        <w:ind w:firstLine="0"/>
        <w:jc w:val="left"/>
      </w:pPr>
      <w:r>
        <w:rPr>
          <w:rFonts w:ascii="Times New Roman" w:hAnsi="Times New Roman"/>
          <w:b/>
          <w:i/>
          <w:color w:val="475569"/>
          <w:sz w:val="24"/>
        </w:rPr>
        <w:t>2.2.3. Calcul automatique du statut de règlement</w:t>
      </w:r>
    </w:p>
    <w:p>
      <w:pPr>
        <w:spacing w:line="360" w:lineRule="auto" w:before="120" w:after="120"/>
        <w:ind w:firstLine="454"/>
        <w:jc w:val="both"/>
      </w:pPr>
      <w:r>
        <w:rPr>
          <w:rFonts w:ascii="Times New Roman" w:hAnsi="Times New Roman"/>
          <w:b w:val="0"/>
          <w:i w:val="0"/>
          <w:color w:val="000000"/>
          <w:sz w:val="24"/>
        </w:rPr>
        <w:t>À chaque mouvement financier, le système doit recalculer en temps réel l'état de l'opération :</w:t>
      </w:r>
    </w:p>
    <w:p>
      <w:pPr>
        <w:spacing w:line="312" w:lineRule="auto" w:before="40" w:after="60"/>
        <w:ind w:left="567" w:hanging="227"/>
        <w:jc w:val="both"/>
      </w:pPr>
      <w:r>
        <w:rPr>
          <w:rFonts w:ascii="Times New Roman" w:hAnsi="Times New Roman"/>
          <w:color w:val="B40000"/>
          <w:sz w:val="24"/>
        </w:rPr>
        <w:t xml:space="preserve">•  </w:t>
      </w:r>
      <w:r>
        <w:rPr>
          <w:rFonts w:ascii="Consolas" w:hAnsi="Consolas"/>
          <w:b w:val="0"/>
          <w:i w:val="0"/>
          <w:color w:val="B41414"/>
          <w:sz w:val="22"/>
        </w:rPr>
        <w:t>EN_ATTENTE</w:t>
      </w:r>
      <w:r>
        <w:rPr>
          <w:rFonts w:ascii="Times New Roman" w:hAnsi="Times New Roman"/>
          <w:b w:val="0"/>
          <w:i w:val="0"/>
          <w:color w:val="000000"/>
          <w:sz w:val="24"/>
        </w:rPr>
        <w:t xml:space="preserve"> : Aucun encaissement client enregistré ;</w:t>
      </w:r>
    </w:p>
    <w:p>
      <w:pPr>
        <w:spacing w:line="312" w:lineRule="auto" w:before="40" w:after="60"/>
        <w:ind w:left="567" w:hanging="227"/>
        <w:jc w:val="both"/>
      </w:pPr>
      <w:r>
        <w:rPr>
          <w:rFonts w:ascii="Times New Roman" w:hAnsi="Times New Roman"/>
          <w:color w:val="B40000"/>
          <w:sz w:val="24"/>
        </w:rPr>
        <w:t xml:space="preserve">•  </w:t>
      </w:r>
      <w:r>
        <w:rPr>
          <w:rFonts w:ascii="Consolas" w:hAnsi="Consolas"/>
          <w:b w:val="0"/>
          <w:i w:val="0"/>
          <w:color w:val="B41414"/>
          <w:sz w:val="22"/>
        </w:rPr>
        <w:t>PARTIEL</w:t>
      </w:r>
      <w:r>
        <w:rPr>
          <w:rFonts w:ascii="Times New Roman" w:hAnsi="Times New Roman"/>
          <w:b w:val="0"/>
          <w:i w:val="0"/>
          <w:color w:val="000000"/>
          <w:sz w:val="24"/>
        </w:rPr>
        <w:t xml:space="preserve"> : Total des encaissements client strictement inférieur au montant total de la police ;</w:t>
      </w:r>
    </w:p>
    <w:p>
      <w:pPr>
        <w:spacing w:line="312" w:lineRule="auto" w:before="40" w:after="60"/>
        <w:ind w:left="567" w:hanging="227"/>
        <w:jc w:val="both"/>
      </w:pPr>
      <w:r>
        <w:rPr>
          <w:rFonts w:ascii="Times New Roman" w:hAnsi="Times New Roman"/>
          <w:color w:val="B40000"/>
          <w:sz w:val="24"/>
        </w:rPr>
        <w:t xml:space="preserve">•  </w:t>
      </w:r>
      <w:r>
        <w:rPr>
          <w:rFonts w:ascii="Consolas" w:hAnsi="Consolas"/>
          <w:b w:val="0"/>
          <w:i w:val="0"/>
          <w:color w:val="B41414"/>
          <w:sz w:val="22"/>
        </w:rPr>
        <w:t>PAYE</w:t>
      </w:r>
      <w:r>
        <w:rPr>
          <w:rFonts w:ascii="Times New Roman" w:hAnsi="Times New Roman"/>
          <w:b w:val="0"/>
          <w:i w:val="0"/>
          <w:color w:val="000000"/>
          <w:sz w:val="24"/>
        </w:rPr>
        <w:t xml:space="preserve"> : Total des encaissements client supérieur ou égal au montant total de la police.</w:t>
      </w:r>
    </w:p>
    <w:p>
      <w:pPr>
        <w:keepNext/>
        <w:spacing w:before="200" w:after="80"/>
        <w:ind w:firstLine="0"/>
        <w:jc w:val="left"/>
      </w:pPr>
      <w:r>
        <w:rPr>
          <w:rFonts w:ascii="Times New Roman" w:hAnsi="Times New Roman"/>
          <w:b/>
          <w:color w:val="334155"/>
          <w:sz w:val="24"/>
        </w:rPr>
        <w:t>2.3. Gestion du portefeuille clients et conformité KYC</w:t>
      </w:r>
    </w:p>
    <w:p>
      <w:pPr>
        <w:spacing w:line="360" w:lineRule="auto" w:before="120" w:after="120"/>
        <w:ind w:firstLine="454"/>
        <w:jc w:val="both"/>
      </w:pPr>
      <w:r>
        <w:rPr>
          <w:rFonts w:ascii="Times New Roman" w:hAnsi="Times New Roman"/>
          <w:b w:val="0"/>
          <w:i w:val="0"/>
          <w:color w:val="000000"/>
          <w:sz w:val="24"/>
        </w:rPr>
        <w:t>Ce besoin assure la gestion centralisée et le contrôle de conformité des souscripteurs.</w:t>
      </w:r>
    </w:p>
    <w:p>
      <w:pPr>
        <w:keepNext/>
        <w:spacing w:before="160" w:after="60"/>
        <w:ind w:firstLine="0"/>
        <w:jc w:val="left"/>
      </w:pPr>
      <w:r>
        <w:rPr>
          <w:rFonts w:ascii="Times New Roman" w:hAnsi="Times New Roman"/>
          <w:b/>
          <w:i/>
          <w:color w:val="475569"/>
          <w:sz w:val="24"/>
        </w:rPr>
        <w:t>2.3.1. Gestion des clients particuliers</w:t>
      </w:r>
    </w:p>
    <w:p>
      <w:pPr>
        <w:spacing w:line="360" w:lineRule="auto" w:before="120" w:after="120"/>
        <w:ind w:firstLine="454"/>
        <w:jc w:val="both"/>
      </w:pPr>
      <w:r>
        <w:rPr>
          <w:rFonts w:ascii="Times New Roman" w:hAnsi="Times New Roman"/>
          <w:b w:val="0"/>
          <w:i w:val="0"/>
          <w:color w:val="000000"/>
          <w:sz w:val="24"/>
        </w:rPr>
        <w:t>Saisie de la Carte d'Identité Nationale (CIN), nom, prénom, numéro de téléphone, adresse et suivi du crédit accordé.</w:t>
      </w:r>
    </w:p>
    <w:p>
      <w:pPr>
        <w:keepNext/>
        <w:spacing w:before="160" w:after="60"/>
        <w:ind w:firstLine="0"/>
        <w:jc w:val="left"/>
      </w:pPr>
      <w:r>
        <w:rPr>
          <w:rFonts w:ascii="Times New Roman" w:hAnsi="Times New Roman"/>
          <w:b/>
          <w:i/>
          <w:color w:val="475569"/>
          <w:sz w:val="24"/>
        </w:rPr>
        <w:t>2.3.2. Gestion des clients sociétés (personnes morales)</w:t>
      </w:r>
    </w:p>
    <w:p>
      <w:pPr>
        <w:spacing w:line="360" w:lineRule="auto" w:before="120" w:after="120"/>
        <w:ind w:firstLine="454"/>
        <w:jc w:val="both"/>
      </w:pPr>
      <w:r>
        <w:rPr>
          <w:rFonts w:ascii="Times New Roman" w:hAnsi="Times New Roman"/>
          <w:b w:val="0"/>
          <w:i w:val="0"/>
          <w:color w:val="000000"/>
          <w:sz w:val="24"/>
        </w:rPr>
        <w:t>Saisie obligatoire de la raison sociale, de l'Identifiant Commun de l'Entreprise (</w:t>
      </w:r>
      <w:r>
        <w:rPr>
          <w:rFonts w:ascii="Times New Roman" w:hAnsi="Times New Roman"/>
          <w:b/>
          <w:i w:val="0"/>
          <w:color w:val="000000"/>
          <w:sz w:val="24"/>
        </w:rPr>
        <w:t>ICE soumis à une validation stricte de 15 chiffres numériques</w:t>
      </w:r>
      <w:r>
        <w:rPr>
          <w:rFonts w:ascii="Times New Roman" w:hAnsi="Times New Roman"/>
          <w:b w:val="0"/>
          <w:i w:val="0"/>
          <w:color w:val="000000"/>
          <w:sz w:val="24"/>
        </w:rPr>
        <w:t>), de l'Identifiant Fiscal (IF), du Registre de Commerce (RC), du téléphone et de l'adresse.</w:t>
      </w:r>
    </w:p>
    <w:p>
      <w:pPr>
        <w:keepNext/>
        <w:spacing w:before="160" w:after="60"/>
        <w:ind w:firstLine="0"/>
        <w:jc w:val="left"/>
      </w:pPr>
      <w:r>
        <w:rPr>
          <w:rFonts w:ascii="Times New Roman" w:hAnsi="Times New Roman"/>
          <w:b/>
          <w:i/>
          <w:color w:val="475569"/>
          <w:sz w:val="24"/>
        </w:rPr>
        <w:t>2.3.3. Gestion Électronique des Documents (GED)</w:t>
      </w:r>
    </w:p>
    <w:p>
      <w:pPr>
        <w:spacing w:line="360" w:lineRule="auto" w:before="120" w:after="120"/>
        <w:ind w:firstLine="454"/>
        <w:jc w:val="both"/>
      </w:pPr>
      <w:r>
        <w:rPr>
          <w:rFonts w:ascii="Times New Roman" w:hAnsi="Times New Roman"/>
          <w:b w:val="0"/>
          <w:i w:val="0"/>
          <w:color w:val="000000"/>
          <w:sz w:val="24"/>
        </w:rPr>
        <w:t>Possibilité de télécharger, stocker sur le serveur sécurisé et visualiser les pièces justificatives associées aux dossiers clients (scan CIN, attestation ICE, modèle J du registre de commerce).</w:t>
      </w:r>
    </w:p>
    <w:p>
      <w:pPr>
        <w:keepNext/>
        <w:spacing w:before="200" w:after="80"/>
        <w:ind w:firstLine="0"/>
        <w:jc w:val="left"/>
      </w:pPr>
      <w:r>
        <w:rPr>
          <w:rFonts w:ascii="Times New Roman" w:hAnsi="Times New Roman"/>
          <w:b/>
          <w:color w:val="334155"/>
          <w:sz w:val="24"/>
        </w:rPr>
        <w:t>2.4. Module de facturation et génération documentaire</w:t>
      </w:r>
    </w:p>
    <w:p>
      <w:pPr>
        <w:keepNext/>
        <w:spacing w:before="160" w:after="60"/>
        <w:ind w:firstLine="0"/>
        <w:jc w:val="left"/>
      </w:pPr>
      <w:r>
        <w:rPr>
          <w:rFonts w:ascii="Times New Roman" w:hAnsi="Times New Roman"/>
          <w:b/>
          <w:i/>
          <w:color w:val="475569"/>
          <w:sz w:val="24"/>
        </w:rPr>
        <w:t>2.4.1. Gestion des factures standards, devis proforma et avoirs</w:t>
      </w:r>
    </w:p>
    <w:p>
      <w:pPr>
        <w:spacing w:line="360" w:lineRule="auto" w:before="120" w:after="120"/>
        <w:ind w:firstLine="454"/>
        <w:jc w:val="both"/>
      </w:pPr>
      <w:r>
        <w:rPr>
          <w:rFonts w:ascii="Times New Roman" w:hAnsi="Times New Roman"/>
          <w:b w:val="0"/>
          <w:i w:val="0"/>
          <w:color w:val="000000"/>
          <w:sz w:val="24"/>
        </w:rPr>
        <w:t>Le système doit permettre la création de factures standards adossées aux opérations, de devis proforma pour les prospects et de factures d'avoir pour les annulations ou régularisations comptables.</w:t>
      </w:r>
    </w:p>
    <w:p>
      <w:pPr>
        <w:keepNext/>
        <w:spacing w:before="160" w:after="60"/>
        <w:ind w:firstLine="0"/>
        <w:jc w:val="left"/>
      </w:pPr>
      <w:r>
        <w:rPr>
          <w:rFonts w:ascii="Times New Roman" w:hAnsi="Times New Roman"/>
          <w:b/>
          <w:i/>
          <w:color w:val="475569"/>
          <w:sz w:val="24"/>
        </w:rPr>
        <w:t>2.4.2. Génération de documents PDF officiels</w:t>
      </w:r>
    </w:p>
    <w:p>
      <w:pPr>
        <w:spacing w:line="360" w:lineRule="auto" w:before="120" w:after="120"/>
        <w:ind w:firstLine="454"/>
        <w:jc w:val="both"/>
      </w:pPr>
      <w:r>
        <w:rPr>
          <w:rFonts w:ascii="Times New Roman" w:hAnsi="Times New Roman"/>
          <w:b w:val="0"/>
          <w:i w:val="0"/>
          <w:color w:val="000000"/>
          <w:sz w:val="24"/>
        </w:rPr>
        <w:t>Le système doit générer à la volée des factures et bordereaux au format PDF haute résolution, respectant la charte graphique officielle de l'agence, mentionnant le détail des taxes (TVA, HT, TTC) et le statut de paiement.</w:t>
      </w:r>
    </w:p>
    <w:p>
      <w:pPr>
        <w:keepNext/>
        <w:spacing w:before="160" w:after="60"/>
        <w:ind w:firstLine="0"/>
        <w:jc w:val="left"/>
      </w:pPr>
      <w:r>
        <w:rPr>
          <w:rFonts w:ascii="Times New Roman" w:hAnsi="Times New Roman"/>
          <w:b/>
          <w:i/>
          <w:color w:val="475569"/>
          <w:sz w:val="24"/>
        </w:rPr>
        <w:t>2.4.3. Exportation universelle des registres</w:t>
      </w:r>
    </w:p>
    <w:p>
      <w:pPr>
        <w:spacing w:line="360" w:lineRule="auto" w:before="120" w:after="120"/>
        <w:ind w:firstLine="454"/>
        <w:jc w:val="both"/>
      </w:pPr>
      <w:r>
        <w:rPr>
          <w:rFonts w:ascii="Times New Roman" w:hAnsi="Times New Roman"/>
          <w:b w:val="0"/>
          <w:i w:val="0"/>
          <w:color w:val="000000"/>
          <w:sz w:val="24"/>
        </w:rPr>
        <w:t>Exportation des tables d'opérations et de règlements aux formats PDF paginé (avec jsPDF-AutoTable) et Excel CSV avec inclusion du préfixe UTF-8 BOM pour garantir la parfaite lisibilité des caractères accentués et arabes sous Microsoft Excel.</w:t>
      </w:r>
    </w:p>
    <w:p>
      <w:pPr>
        <w:keepNext/>
        <w:spacing w:before="200" w:after="80"/>
        <w:ind w:firstLine="0"/>
        <w:jc w:val="left"/>
      </w:pPr>
      <w:r>
        <w:rPr>
          <w:rFonts w:ascii="Times New Roman" w:hAnsi="Times New Roman"/>
          <w:b/>
          <w:color w:val="334155"/>
          <w:sz w:val="24"/>
        </w:rPr>
        <w:t>2.5. Modules d'Intelligence Artificielle : Sinistres et Risques</w:t>
      </w:r>
    </w:p>
    <w:p>
      <w:pPr>
        <w:keepNext/>
        <w:spacing w:before="160" w:after="60"/>
        <w:ind w:firstLine="0"/>
        <w:jc w:val="left"/>
      </w:pPr>
      <w:r>
        <w:rPr>
          <w:rFonts w:ascii="Times New Roman" w:hAnsi="Times New Roman"/>
          <w:b/>
          <w:i/>
          <w:color w:val="475569"/>
          <w:sz w:val="24"/>
        </w:rPr>
        <w:t>2.5.1. Analyseur intelligent de sinistres (Claims AI)</w:t>
      </w:r>
    </w:p>
    <w:p>
      <w:pPr>
        <w:spacing w:line="360" w:lineRule="auto" w:before="120" w:after="120"/>
        <w:ind w:firstLine="454"/>
        <w:jc w:val="both"/>
      </w:pPr>
      <w:r>
        <w:rPr>
          <w:rFonts w:ascii="Times New Roman" w:hAnsi="Times New Roman"/>
          <w:b w:val="0"/>
          <w:i w:val="0"/>
          <w:color w:val="000000"/>
          <w:sz w:val="24"/>
        </w:rPr>
        <w:t>Le système doit intégrer un moteur d'analyse sémantique capable de traiter les descriptions d'accidents et constats amiables pour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Évaluer le taux de responsabilité selon la réglementation ACAPS et la convention CISA/CID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Établir le décompte financier net (Dommages estimés - Franchise contractuelle)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Calculer un score de suspicion de fraude (de 0 à 100) avec détection d'anomalies (déclaration tardive selon l'Article 20 de la Loi 17-99, accident sans tiers, souscription trop récente)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val="0"/>
          <w:i w:val="0"/>
          <w:color w:val="000000"/>
          <w:sz w:val="24"/>
        </w:rPr>
        <w:t>Formuler des préconisations d'actions immédiates (mandatement d'expert, réquisition de PV de police).</w:t>
      </w:r>
    </w:p>
    <w:p>
      <w:pPr>
        <w:keepNext/>
        <w:spacing w:before="160" w:after="60"/>
        <w:ind w:firstLine="0"/>
        <w:jc w:val="left"/>
      </w:pPr>
      <w:r>
        <w:rPr>
          <w:rFonts w:ascii="Times New Roman" w:hAnsi="Times New Roman"/>
          <w:b/>
          <w:i/>
          <w:color w:val="475569"/>
          <w:sz w:val="24"/>
        </w:rPr>
        <w:t>2.5.2. Évaluation prédictive du risque de souscription (Risk Assessment AI)</w:t>
      </w:r>
    </w:p>
    <w:p>
      <w:pPr>
        <w:spacing w:line="360" w:lineRule="auto" w:before="120" w:after="120"/>
        <w:ind w:firstLine="454"/>
        <w:jc w:val="both"/>
      </w:pPr>
      <w:r>
        <w:rPr>
          <w:rFonts w:ascii="Times New Roman" w:hAnsi="Times New Roman"/>
          <w:b w:val="0"/>
          <w:i w:val="0"/>
          <w:color w:val="000000"/>
          <w:sz w:val="24"/>
        </w:rPr>
        <w:t>Analyse du profil du client (historique de sinistres, budget, usage du véhicule, kilométrage annuel) pour générer un score de risque, une recommandation tarifaire et des garanties complémentaires préconisées.</w:t>
      </w:r>
    </w:p>
    <w:p>
      <w:pPr>
        <w:keepNext/>
        <w:spacing w:before="160" w:after="60"/>
        <w:ind w:firstLine="0"/>
        <w:jc w:val="left"/>
      </w:pPr>
      <w:r>
        <w:rPr>
          <w:rFonts w:ascii="Times New Roman" w:hAnsi="Times New Roman"/>
          <w:b/>
          <w:i/>
          <w:color w:val="475569"/>
          <w:sz w:val="24"/>
        </w:rPr>
        <w:t>2.5.3. Assistant conversationnel contextuel (AI Copilot)</w:t>
      </w:r>
    </w:p>
    <w:p>
      <w:pPr>
        <w:spacing w:line="360" w:lineRule="auto" w:before="120" w:after="120"/>
        <w:ind w:firstLine="454"/>
        <w:jc w:val="both"/>
      </w:pPr>
      <w:r>
        <w:rPr>
          <w:rFonts w:ascii="Times New Roman" w:hAnsi="Times New Roman"/>
          <w:b w:val="0"/>
          <w:i w:val="0"/>
          <w:color w:val="000000"/>
          <w:sz w:val="24"/>
        </w:rPr>
        <w:t>Assistant interactif accessible sur l'ensemble des pages de l'ERP pour guider l'opérateur sur les règles de gestion d'assurance, la navigation et les synthèses de dossiers.</w:t>
      </w:r>
    </w:p>
    <w:p>
      <w:pPr>
        <w:keepNext/>
        <w:spacing w:before="200" w:after="80"/>
        <w:ind w:firstLine="0"/>
        <w:jc w:val="left"/>
      </w:pPr>
      <w:r>
        <w:rPr>
          <w:rFonts w:ascii="Times New Roman" w:hAnsi="Times New Roman"/>
          <w:b/>
          <w:color w:val="334155"/>
          <w:sz w:val="24"/>
        </w:rPr>
        <w:t>2.6. Tableau de bord analytics et exercices comptables</w:t>
      </w:r>
    </w:p>
    <w:p>
      <w:pPr>
        <w:keepNext/>
        <w:spacing w:before="160" w:after="60"/>
        <w:ind w:firstLine="0"/>
        <w:jc w:val="left"/>
      </w:pPr>
      <w:r>
        <w:rPr>
          <w:rFonts w:ascii="Times New Roman" w:hAnsi="Times New Roman"/>
          <w:b/>
          <w:i/>
          <w:color w:val="475569"/>
          <w:sz w:val="24"/>
        </w:rPr>
        <w:t>2.6.1. Sélecteur universel d'exercice comptable (`ExerciceSelector`)</w:t>
      </w:r>
    </w:p>
    <w:p>
      <w:pPr>
        <w:spacing w:line="360" w:lineRule="auto" w:before="120" w:after="120"/>
        <w:ind w:firstLine="454"/>
        <w:jc w:val="both"/>
      </w:pPr>
      <w:r>
        <w:rPr>
          <w:rFonts w:ascii="Times New Roman" w:hAnsi="Times New Roman"/>
          <w:b w:val="0"/>
          <w:i w:val="0"/>
          <w:color w:val="000000"/>
          <w:sz w:val="24"/>
        </w:rPr>
        <w:t>Positionnement automatique par défaut sur l'exercice de l'année courante (ex: 2026), avec possibilité de basculer instantanément sur un exercice antérieur ou futur.</w:t>
      </w:r>
    </w:p>
    <w:p>
      <w:pPr>
        <w:keepNext/>
        <w:spacing w:before="160" w:after="60"/>
        <w:ind w:firstLine="0"/>
        <w:jc w:val="left"/>
      </w:pPr>
      <w:r>
        <w:rPr>
          <w:rFonts w:ascii="Times New Roman" w:hAnsi="Times New Roman"/>
          <w:b/>
          <w:i/>
          <w:color w:val="475569"/>
          <w:sz w:val="24"/>
        </w:rPr>
        <w:t>2.6.2. Indicateurs clés de performance (KPIs)</w:t>
      </w:r>
    </w:p>
    <w:p>
      <w:pPr>
        <w:spacing w:line="360" w:lineRule="auto" w:before="120" w:after="120"/>
        <w:ind w:firstLine="454"/>
        <w:jc w:val="both"/>
      </w:pPr>
      <w:r>
        <w:rPr>
          <w:rFonts w:ascii="Times New Roman" w:hAnsi="Times New Roman"/>
          <w:b w:val="0"/>
          <w:i w:val="0"/>
          <w:color w:val="000000"/>
          <w:sz w:val="24"/>
        </w:rPr>
        <w:t>Affichage en temps réel du volume d'affaires émis (DH), des primes encaissées, du reste à recouvrer, du nombre d'opérations et du volume du portefeuille client pour l'exercice sélectionné.</w:t>
      </w:r>
    </w:p>
    <w:p>
      <w:pPr>
        <w:keepNext/>
        <w:spacing w:before="160" w:after="60"/>
        <w:ind w:firstLine="0"/>
        <w:jc w:val="left"/>
      </w:pPr>
      <w:r>
        <w:rPr>
          <w:rFonts w:ascii="Times New Roman" w:hAnsi="Times New Roman"/>
          <w:b/>
          <w:i/>
          <w:color w:val="475569"/>
          <w:sz w:val="24"/>
        </w:rPr>
        <w:t>2.6.3. Visualisations graphiques interactives</w:t>
      </w:r>
    </w:p>
    <w:p>
      <w:pPr>
        <w:spacing w:line="360" w:lineRule="auto" w:before="120" w:after="120"/>
        <w:ind w:firstLine="454"/>
        <w:jc w:val="both"/>
      </w:pPr>
      <w:r>
        <w:rPr>
          <w:rFonts w:ascii="Times New Roman" w:hAnsi="Times New Roman"/>
          <w:b w:val="0"/>
          <w:i w:val="0"/>
          <w:color w:val="000000"/>
          <w:sz w:val="24"/>
        </w:rPr>
        <w:t>Histogramme de l'activité mensuelle sur 12 mois (</w:t>
      </w:r>
      <w:r>
        <w:rPr>
          <w:rFonts w:ascii="Consolas" w:hAnsi="Consolas"/>
          <w:b w:val="0"/>
          <w:i w:val="0"/>
          <w:color w:val="B41414"/>
          <w:sz w:val="22"/>
        </w:rPr>
        <w:t>janv.</w:t>
      </w:r>
      <w:r>
        <w:rPr>
          <w:rFonts w:ascii="Times New Roman" w:hAnsi="Times New Roman"/>
          <w:b w:val="0"/>
          <w:i w:val="0"/>
          <w:color w:val="000000"/>
          <w:sz w:val="24"/>
        </w:rPr>
        <w:t xml:space="preserve"> à </w:t>
      </w:r>
      <w:r>
        <w:rPr>
          <w:rFonts w:ascii="Consolas" w:hAnsi="Consolas"/>
          <w:b w:val="0"/>
          <w:i w:val="0"/>
          <w:color w:val="B41414"/>
          <w:sz w:val="22"/>
        </w:rPr>
        <w:t>déc.</w:t>
      </w:r>
      <w:r>
        <w:rPr>
          <w:rFonts w:ascii="Times New Roman" w:hAnsi="Times New Roman"/>
          <w:b w:val="0"/>
          <w:i w:val="0"/>
          <w:color w:val="000000"/>
          <w:sz w:val="24"/>
        </w:rPr>
        <w:t>), graphique circulaire de répartition des primes par catégorie de risque et classement des meilleures compagnies d'assurance partenaires.</w:t>
      </w:r>
    </w:p>
    <w:p>
      <w:pPr>
        <w:keepNext/>
        <w:spacing w:before="200" w:after="80"/>
        <w:ind w:firstLine="0"/>
        <w:jc w:val="left"/>
      </w:pPr>
      <w:r>
        <w:rPr>
          <w:rFonts w:ascii="Times New Roman" w:hAnsi="Times New Roman"/>
          <w:b/>
          <w:color w:val="334155"/>
          <w:sz w:val="24"/>
        </w:rPr>
        <w:t>2.7. Administration système, sécurité RBAC et référentiels</w:t>
      </w:r>
    </w:p>
    <w:p>
      <w:pPr>
        <w:keepNext/>
        <w:spacing w:before="160" w:after="60"/>
        <w:ind w:firstLine="0"/>
        <w:jc w:val="left"/>
      </w:pPr>
      <w:r>
        <w:rPr>
          <w:rFonts w:ascii="Times New Roman" w:hAnsi="Times New Roman"/>
          <w:b/>
          <w:i/>
          <w:color w:val="475569"/>
          <w:sz w:val="24"/>
        </w:rPr>
        <w:t>2.7.1. Gestion des accès à base de rôles (RBAC)</w:t>
      </w:r>
    </w:p>
    <w:p>
      <w:pPr>
        <w:spacing w:line="360" w:lineRule="auto" w:before="120" w:after="120"/>
        <w:ind w:firstLine="454"/>
        <w:jc w:val="both"/>
      </w:pPr>
      <w:r>
        <w:rPr>
          <w:rFonts w:ascii="Times New Roman" w:hAnsi="Times New Roman"/>
          <w:b w:val="0"/>
          <w:i w:val="0"/>
          <w:color w:val="000000"/>
          <w:sz w:val="24"/>
        </w:rPr>
        <w:t xml:space="preserve">Gestion des utilisateurs avec distinction entre le rôle </w:t>
      </w:r>
      <w:r>
        <w:rPr>
          <w:rFonts w:ascii="Consolas" w:hAnsi="Consolas"/>
          <w:b w:val="0"/>
          <w:i w:val="0"/>
          <w:color w:val="B41414"/>
          <w:sz w:val="22"/>
        </w:rPr>
        <w:t>ADMIN</w:t>
      </w:r>
      <w:r>
        <w:rPr>
          <w:rFonts w:ascii="Times New Roman" w:hAnsi="Times New Roman"/>
          <w:b w:val="0"/>
          <w:i w:val="0"/>
          <w:color w:val="000000"/>
          <w:sz w:val="24"/>
        </w:rPr>
        <w:t xml:space="preserve"> (gestion complète des comptes, paramétrages et audits) et le rôle </w:t>
      </w:r>
      <w:r>
        <w:rPr>
          <w:rFonts w:ascii="Consolas" w:hAnsi="Consolas"/>
          <w:b w:val="0"/>
          <w:i w:val="0"/>
          <w:color w:val="B41414"/>
          <w:sz w:val="22"/>
        </w:rPr>
        <w:t>USER</w:t>
      </w:r>
      <w:r>
        <w:rPr>
          <w:rFonts w:ascii="Times New Roman" w:hAnsi="Times New Roman"/>
          <w:b w:val="0"/>
          <w:i w:val="0"/>
          <w:color w:val="000000"/>
          <w:sz w:val="24"/>
        </w:rPr>
        <w:t xml:space="preserve"> / </w:t>
      </w:r>
      <w:r>
        <w:rPr>
          <w:rFonts w:ascii="Consolas" w:hAnsi="Consolas"/>
          <w:b w:val="0"/>
          <w:i w:val="0"/>
          <w:color w:val="B41414"/>
          <w:sz w:val="22"/>
        </w:rPr>
        <w:t>OPERATOR</w:t>
      </w:r>
      <w:r>
        <w:rPr>
          <w:rFonts w:ascii="Times New Roman" w:hAnsi="Times New Roman"/>
          <w:b w:val="0"/>
          <w:i w:val="0"/>
          <w:color w:val="000000"/>
          <w:sz w:val="24"/>
        </w:rPr>
        <w:t xml:space="preserve"> (opérations de saisie et consultation).</w:t>
      </w:r>
    </w:p>
    <w:p>
      <w:pPr>
        <w:keepNext/>
        <w:spacing w:before="160" w:after="60"/>
        <w:ind w:firstLine="0"/>
        <w:jc w:val="left"/>
      </w:pPr>
      <w:r>
        <w:rPr>
          <w:rFonts w:ascii="Times New Roman" w:hAnsi="Times New Roman"/>
          <w:b/>
          <w:i/>
          <w:color w:val="475569"/>
          <w:sz w:val="24"/>
        </w:rPr>
        <w:t>2.7.2. Protection du compte administrateur</w:t>
      </w:r>
    </w:p>
    <w:p>
      <w:pPr>
        <w:spacing w:line="360" w:lineRule="auto" w:before="120" w:after="120"/>
        <w:ind w:firstLine="454"/>
        <w:jc w:val="both"/>
      </w:pPr>
      <w:r>
        <w:rPr>
          <w:rFonts w:ascii="Times New Roman" w:hAnsi="Times New Roman"/>
          <w:b w:val="0"/>
          <w:i w:val="0"/>
          <w:color w:val="000000"/>
          <w:sz w:val="24"/>
        </w:rPr>
        <w:t>Interdiction technique pour tout administrateur connecté de supprimer son propre compte utilisateur.</w:t>
      </w:r>
    </w:p>
    <w:p>
      <w:pPr>
        <w:keepNext/>
        <w:spacing w:before="160" w:after="60"/>
        <w:ind w:firstLine="0"/>
        <w:jc w:val="left"/>
      </w:pPr>
      <w:r>
        <w:rPr>
          <w:rFonts w:ascii="Times New Roman" w:hAnsi="Times New Roman"/>
          <w:b/>
          <w:i/>
          <w:color w:val="475569"/>
          <w:sz w:val="24"/>
        </w:rPr>
        <w:t>2.7.3. Gestion des référentiels système</w:t>
      </w:r>
    </w:p>
    <w:p>
      <w:pPr>
        <w:spacing w:line="360" w:lineRule="auto" w:before="120" w:after="120"/>
        <w:ind w:firstLine="454"/>
        <w:jc w:val="both"/>
      </w:pPr>
      <w:r>
        <w:rPr>
          <w:rFonts w:ascii="Times New Roman" w:hAnsi="Times New Roman"/>
          <w:b w:val="0"/>
          <w:i w:val="0"/>
          <w:color w:val="000000"/>
          <w:sz w:val="24"/>
        </w:rPr>
        <w:t>Interface de paramétrage dynamique des tables de référence : Compagnies d'assurance, Catégories/Branches, Natures d'opérations, Taux de TVA et Paramètres de prime.</w:t>
      </w:r>
    </w:p>
    <w:p>
      <w:pPr>
        <w:keepNext/>
        <w:spacing w:before="280" w:after="120"/>
        <w:ind w:firstLine="0"/>
        <w:jc w:val="left"/>
      </w:pPr>
      <w:r>
        <w:rPr>
          <w:rFonts w:ascii="Times New Roman" w:hAnsi="Times New Roman"/>
          <w:b/>
          <w:color w:val="1E293B"/>
          <w:sz w:val="28"/>
        </w:rPr>
        <w:t>3. Spécification des besoins non fonctionnels</w:t>
      </w:r>
    </w:p>
    <w:p>
      <w:pPr>
        <w:spacing w:line="360" w:lineRule="auto" w:before="120" w:after="120"/>
        <w:ind w:firstLine="454"/>
        <w:jc w:val="both"/>
      </w:pPr>
      <w:r>
        <w:rPr>
          <w:rFonts w:ascii="Times New Roman" w:hAnsi="Times New Roman"/>
          <w:b w:val="0"/>
          <w:i w:val="0"/>
          <w:color w:val="000000"/>
          <w:sz w:val="24"/>
        </w:rPr>
        <w:t>Les besoins non fonctionnels définissent les contraintes de qualité et les exigences techniques indispensables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Sécurité et Confidentialité :</w:t>
      </w:r>
      <w:r>
        <w:rPr>
          <w:rFonts w:ascii="Times New Roman" w:hAnsi="Times New Roman"/>
          <w:b w:val="0"/>
          <w:i w:val="0"/>
          <w:color w:val="000000"/>
          <w:sz w:val="24"/>
        </w:rPr>
        <w:t xml:space="preserve"> Authentification sans état basée sur des jetons </w:t>
      </w:r>
      <w:r>
        <w:rPr>
          <w:rFonts w:ascii="Times New Roman" w:hAnsi="Times New Roman"/>
          <w:b/>
          <w:i w:val="0"/>
          <w:color w:val="000000"/>
          <w:sz w:val="24"/>
        </w:rPr>
        <w:t>JWT (JSON Web Token)</w:t>
      </w:r>
      <w:r>
        <w:rPr>
          <w:rFonts w:ascii="Times New Roman" w:hAnsi="Times New Roman"/>
          <w:b w:val="0"/>
          <w:i w:val="0"/>
          <w:color w:val="000000"/>
          <w:sz w:val="24"/>
        </w:rPr>
        <w:t xml:space="preserve"> signés cryptographiquement via algorithme HMAC-SHA256. Hachage à sens unique des mots de passe avec </w:t>
      </w:r>
      <w:r>
        <w:rPr>
          <w:rFonts w:ascii="Times New Roman" w:hAnsi="Times New Roman"/>
          <w:b/>
          <w:i w:val="0"/>
          <w:color w:val="000000"/>
          <w:sz w:val="24"/>
        </w:rPr>
        <w:t>BCrypt</w:t>
      </w:r>
      <w:r>
        <w:rPr>
          <w:rFonts w:ascii="Times New Roman" w:hAnsi="Times New Roman"/>
          <w:b w:val="0"/>
          <w:i w:val="0"/>
          <w:color w:val="000000"/>
          <w:sz w:val="24"/>
        </w:rPr>
        <w:t xml:space="preserve"> salé. Chiffrement de toutes les communications en transit via le protocole </w:t>
      </w:r>
      <w:r>
        <w:rPr>
          <w:rFonts w:ascii="Times New Roman" w:hAnsi="Times New Roman"/>
          <w:b/>
          <w:i w:val="0"/>
          <w:color w:val="000000"/>
          <w:sz w:val="24"/>
        </w:rPr>
        <w:t>TLS 1.3</w:t>
      </w:r>
      <w:r>
        <w:rPr>
          <w:rFonts w:ascii="Times New Roman" w:hAnsi="Times New Roman"/>
          <w:b w:val="0"/>
          <w:i w:val="0"/>
          <w:color w:val="000000"/>
          <w:sz w:val="24"/>
        </w:rPr>
        <w:t>. Protection stricte contre les failles courantes (CORS, XSS, CSRF, Injection NoSQL).</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Performance et Réactivité :</w:t>
      </w:r>
      <w:r>
        <w:rPr>
          <w:rFonts w:ascii="Times New Roman" w:hAnsi="Times New Roman"/>
          <w:b w:val="0"/>
          <w:i w:val="0"/>
          <w:color w:val="000000"/>
          <w:sz w:val="24"/>
        </w:rPr>
        <w:t xml:space="preserve"> Temps de réponse des endpoints REST inférieur à </w:t>
      </w:r>
      <w:r>
        <w:rPr>
          <w:rFonts w:ascii="Times New Roman" w:hAnsi="Times New Roman"/>
          <w:b/>
          <w:i w:val="0"/>
          <w:color w:val="000000"/>
          <w:sz w:val="24"/>
        </w:rPr>
        <w:t>200 ms</w:t>
      </w:r>
      <w:r>
        <w:rPr>
          <w:rFonts w:ascii="Times New Roman" w:hAnsi="Times New Roman"/>
          <w:b w:val="0"/>
          <w:i w:val="0"/>
          <w:color w:val="000000"/>
          <w:sz w:val="24"/>
        </w:rPr>
        <w:t xml:space="preserve"> pour 95% des requêtes d'agrégation et de lecture. Optimisation du rendu frontend via les Server/Client Components de Next.js.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Ergonomie et Design System :</w:t>
      </w:r>
      <w:r>
        <w:rPr>
          <w:rFonts w:ascii="Times New Roman" w:hAnsi="Times New Roman"/>
          <w:b w:val="0"/>
          <w:i w:val="0"/>
          <w:color w:val="000000"/>
          <w:sz w:val="24"/>
        </w:rPr>
        <w:t xml:space="preserve"> Interface web responsive épurée reposant sur une politique stricte d'espaces blancs (</w:t>
      </w:r>
      <w:r>
        <w:rPr>
          <w:rFonts w:ascii="Times New Roman" w:hAnsi="Times New Roman"/>
          <w:b w:val="0"/>
          <w:i/>
          <w:color w:val="000000"/>
          <w:sz w:val="24"/>
        </w:rPr>
        <w:t>Modern Whitespace Architecture</w:t>
      </w:r>
      <w:r>
        <w:rPr>
          <w:rFonts w:ascii="Times New Roman" w:hAnsi="Times New Roman"/>
          <w:b w:val="0"/>
          <w:i w:val="0"/>
          <w:color w:val="000000"/>
          <w:sz w:val="24"/>
        </w:rPr>
        <w:t>), garantissant une lisibilité maximale sur écrans Full HD, 4K, ordinateurs portables et tablettes.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Disponibilité et Résilience :</w:t>
      </w:r>
      <w:r>
        <w:rPr>
          <w:rFonts w:ascii="Times New Roman" w:hAnsi="Times New Roman"/>
          <w:b w:val="0"/>
          <w:i w:val="0"/>
          <w:color w:val="000000"/>
          <w:sz w:val="24"/>
        </w:rPr>
        <w:t xml:space="preserve"> Déploiement conteneurisé sous Docker garantissant un redémarrage automatique en cas de défaillance (</w:t>
      </w:r>
      <w:r>
        <w:rPr>
          <w:rFonts w:ascii="Consolas" w:hAnsi="Consolas"/>
          <w:b w:val="0"/>
          <w:i w:val="0"/>
          <w:color w:val="B41414"/>
          <w:sz w:val="22"/>
        </w:rPr>
        <w:t>restart: unless-stopped</w:t>
      </w:r>
      <w:r>
        <w:rPr>
          <w:rFonts w:ascii="Times New Roman" w:hAnsi="Times New Roman"/>
          <w:b w:val="0"/>
          <w:i w:val="0"/>
          <w:color w:val="000000"/>
          <w:sz w:val="24"/>
        </w:rPr>
        <w:t>). Procédures automatisées de sauvegarde de la base de données avec rétention tournante.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Maintenabilité et Évolutivité :</w:t>
      </w:r>
      <w:r>
        <w:rPr>
          <w:rFonts w:ascii="Times New Roman" w:hAnsi="Times New Roman"/>
          <w:b w:val="0"/>
          <w:i w:val="0"/>
          <w:color w:val="000000"/>
          <w:sz w:val="24"/>
        </w:rPr>
        <w:t xml:space="preserve"> Architecture logicielle en couches découplées (</w:t>
      </w:r>
      <w:r>
        <w:rPr>
          <w:rFonts w:ascii="Times New Roman" w:hAnsi="Times New Roman"/>
          <w:b w:val="0"/>
          <w:i/>
          <w:color w:val="000000"/>
          <w:sz w:val="24"/>
        </w:rPr>
        <w:t>Clean Architecture</w:t>
      </w:r>
      <w:r>
        <w:rPr>
          <w:rFonts w:ascii="Times New Roman" w:hAnsi="Times New Roman"/>
          <w:b w:val="0"/>
          <w:i w:val="0"/>
          <w:color w:val="000000"/>
          <w:sz w:val="24"/>
        </w:rPr>
        <w:t xml:space="preserve"> Controller-Service-Repository), typage strict TypeScript éliminant tout type indéfini (</w:t>
      </w:r>
      <w:r>
        <w:rPr>
          <w:rFonts w:ascii="Consolas" w:hAnsi="Consolas"/>
          <w:b w:val="0"/>
          <w:i w:val="0"/>
          <w:color w:val="B41414"/>
          <w:sz w:val="22"/>
        </w:rPr>
        <w:t>any</w:t>
      </w:r>
      <w:r>
        <w:rPr>
          <w:rFonts w:ascii="Times New Roman" w:hAnsi="Times New Roman"/>
          <w:b w:val="0"/>
          <w:i w:val="0"/>
          <w:color w:val="000000"/>
          <w:sz w:val="24"/>
        </w:rPr>
        <w:t>) et modularité facilitant l'ajout de nouvelles branches d'assurance.</w:t>
      </w:r>
    </w:p>
    <w:p>
      <w:pPr>
        <w:keepNext/>
        <w:spacing w:before="280" w:after="120"/>
        <w:ind w:firstLine="0"/>
        <w:jc w:val="left"/>
      </w:pPr>
      <w:r>
        <w:rPr>
          <w:rFonts w:ascii="Times New Roman" w:hAnsi="Times New Roman"/>
          <w:b/>
          <w:color w:val="1E293B"/>
          <w:sz w:val="28"/>
        </w:rPr>
        <w:t>4. Présentation des cas d'utilisation</w:t>
      </w:r>
    </w:p>
    <w:p>
      <w:pPr>
        <w:keepNext/>
        <w:spacing w:before="200" w:after="80"/>
        <w:ind w:firstLine="0"/>
        <w:jc w:val="left"/>
      </w:pPr>
      <w:r>
        <w:rPr>
          <w:rFonts w:ascii="Times New Roman" w:hAnsi="Times New Roman"/>
          <w:b/>
          <w:color w:val="334155"/>
          <w:sz w:val="24"/>
        </w:rPr>
        <w:t>4.1. Présentation des acteurs</w:t>
      </w:r>
    </w:p>
    <w:p>
      <w:pPr>
        <w:spacing w:line="360" w:lineRule="auto" w:before="120" w:after="120"/>
        <w:ind w:firstLine="454"/>
        <w:jc w:val="both"/>
      </w:pPr>
      <w:r>
        <w:rPr>
          <w:rFonts w:ascii="Times New Roman" w:hAnsi="Times New Roman"/>
          <w:b w:val="0"/>
          <w:i w:val="0"/>
          <w:color w:val="000000"/>
          <w:sz w:val="24"/>
        </w:rPr>
        <w:t>Le système interagit avec quatre types d'acteurs :</w:t>
      </w:r>
    </w:p>
    <w:p>
      <w:pPr>
        <w:spacing w:line="312" w:lineRule="auto" w:before="40" w:after="60"/>
        <w:ind w:left="567" w:hanging="283"/>
        <w:jc w:val="both"/>
      </w:pPr>
      <w:r>
        <w:rPr>
          <w:rFonts w:ascii="Times New Roman" w:hAnsi="Times New Roman"/>
          <w:b/>
          <w:color w:val="1E293B"/>
          <w:sz w:val="24"/>
        </w:rPr>
        <w:t xml:space="preserve">1.  </w:t>
      </w:r>
      <w:r>
        <w:rPr>
          <w:rFonts w:ascii="Times New Roman" w:hAnsi="Times New Roman"/>
          <w:b/>
          <w:i w:val="0"/>
          <w:color w:val="000000"/>
          <w:sz w:val="24"/>
        </w:rPr>
        <w:t>Administrateur Système :</w:t>
      </w:r>
      <w:r>
        <w:rPr>
          <w:rFonts w:ascii="Times New Roman" w:hAnsi="Times New Roman"/>
          <w:b w:val="0"/>
          <w:i w:val="0"/>
          <w:color w:val="000000"/>
          <w:sz w:val="24"/>
        </w:rPr>
        <w:t xml:space="preserve"> Responsable de la gestion des utilisateurs, de la configuration des référentiels (compagnies, taux TVA, paramètres), de l'audit système et des clôtures d'exercices.</w:t>
      </w:r>
    </w:p>
    <w:p>
      <w:pPr>
        <w:spacing w:line="312" w:lineRule="auto" w:before="40" w:after="60"/>
        <w:ind w:left="567" w:hanging="283"/>
        <w:jc w:val="both"/>
      </w:pPr>
      <w:r>
        <w:rPr>
          <w:rFonts w:ascii="Times New Roman" w:hAnsi="Times New Roman"/>
          <w:b/>
          <w:color w:val="1E293B"/>
          <w:sz w:val="24"/>
        </w:rPr>
        <w:t xml:space="preserve">2.  </w:t>
      </w:r>
      <w:r>
        <w:rPr>
          <w:rFonts w:ascii="Times New Roman" w:hAnsi="Times New Roman"/>
          <w:b/>
          <w:i w:val="0"/>
          <w:color w:val="000000"/>
          <w:sz w:val="24"/>
        </w:rPr>
        <w:t>Gestionnaire de Production / Courtier :</w:t>
      </w:r>
      <w:r>
        <w:rPr>
          <w:rFonts w:ascii="Times New Roman" w:hAnsi="Times New Roman"/>
          <w:b w:val="0"/>
          <w:i w:val="0"/>
          <w:color w:val="000000"/>
          <w:sz w:val="24"/>
        </w:rPr>
        <w:t xml:space="preserve"> Responsable de la création des dossiers clients, de la saisie des polices d'assurance (standards et maritimes), de la soumission aux moteurs IA et de la génération des devis.</w:t>
      </w:r>
    </w:p>
    <w:p>
      <w:pPr>
        <w:spacing w:line="312" w:lineRule="auto" w:before="40" w:after="60"/>
        <w:ind w:left="567" w:hanging="283"/>
        <w:jc w:val="both"/>
      </w:pPr>
      <w:r>
        <w:rPr>
          <w:rFonts w:ascii="Times New Roman" w:hAnsi="Times New Roman"/>
          <w:b/>
          <w:color w:val="1E293B"/>
          <w:sz w:val="24"/>
        </w:rPr>
        <w:t xml:space="preserve">3.  </w:t>
      </w:r>
      <w:r>
        <w:rPr>
          <w:rFonts w:ascii="Times New Roman" w:hAnsi="Times New Roman"/>
          <w:b/>
          <w:i w:val="0"/>
          <w:color w:val="000000"/>
          <w:sz w:val="24"/>
        </w:rPr>
        <w:t>Responsable Comptable &amp; Financier :</w:t>
      </w:r>
      <w:r>
        <w:rPr>
          <w:rFonts w:ascii="Times New Roman" w:hAnsi="Times New Roman"/>
          <w:b w:val="0"/>
          <w:i w:val="0"/>
          <w:color w:val="000000"/>
          <w:sz w:val="24"/>
        </w:rPr>
        <w:t xml:space="preserve"> En charge de la saisie des encaissements clients, des reversements compagnies, du suivi du recouvrement des créances et de l'émission des factures.</w:t>
      </w:r>
    </w:p>
    <w:p>
      <w:pPr>
        <w:spacing w:line="312" w:lineRule="auto" w:before="40" w:after="60"/>
        <w:ind w:left="567" w:hanging="283"/>
        <w:jc w:val="both"/>
      </w:pPr>
      <w:r>
        <w:rPr>
          <w:rFonts w:ascii="Times New Roman" w:hAnsi="Times New Roman"/>
          <w:b/>
          <w:color w:val="1E293B"/>
          <w:sz w:val="24"/>
        </w:rPr>
        <w:t xml:space="preserve">4.  </w:t>
      </w:r>
      <w:r>
        <w:rPr>
          <w:rFonts w:ascii="Times New Roman" w:hAnsi="Times New Roman"/>
          <w:b/>
          <w:i w:val="0"/>
          <w:color w:val="000000"/>
          <w:sz w:val="24"/>
        </w:rPr>
        <w:t>Moteur d'Intelligence Artificielle (Acteur Secondaire) :</w:t>
      </w:r>
      <w:r>
        <w:rPr>
          <w:rFonts w:ascii="Times New Roman" w:hAnsi="Times New Roman"/>
          <w:b w:val="0"/>
          <w:i w:val="0"/>
          <w:color w:val="000000"/>
          <w:sz w:val="24"/>
        </w:rPr>
        <w:t xml:space="preserve"> Système expert et algorithmes sémantiques traitant les requêtes d'analyse de risque et de détection de fraudes sur les sinistres.</w:t>
      </w:r>
    </w:p>
    <w:p>
      <w:pPr>
        <w:keepNext/>
        <w:spacing w:before="200" w:after="80"/>
        <w:ind w:firstLine="0"/>
        <w:jc w:val="left"/>
      </w:pPr>
      <w:r>
        <w:rPr>
          <w:rFonts w:ascii="Times New Roman" w:hAnsi="Times New Roman"/>
          <w:b/>
          <w:color w:val="334155"/>
          <w:sz w:val="24"/>
        </w:rPr>
        <w:t>4.2. Description des cas d'utilisation</w:t>
      </w:r>
    </w:p>
    <w:p>
      <w:pPr>
        <w:spacing w:line="360" w:lineRule="auto" w:before="120" w:after="120"/>
        <w:ind w:firstLine="454"/>
        <w:jc w:val="both"/>
      </w:pPr>
      <w:r>
        <w:rPr>
          <w:rFonts w:ascii="Times New Roman" w:hAnsi="Times New Roman"/>
          <w:b w:val="0"/>
          <w:i w:val="0"/>
          <w:color w:val="000000"/>
          <w:sz w:val="24"/>
        </w:rPr>
        <w:t>Les tableaux suivants présentent la description textuelle normalisée des cas d'utilisation majeurs conformément au guide de l'EMSI.</w:t>
      </w:r>
    </w:p>
    <w:p>
      <w:pPr>
        <w:spacing w:line="276" w:lineRule="auto" w:before="200" w:after="80"/>
        <w:ind w:firstLine="0"/>
        <w:jc w:val="center"/>
      </w:pPr>
      <w:r>
        <w:rPr>
          <w:rFonts w:ascii="Times New Roman" w:hAnsi="Times New Roman"/>
          <w:b/>
          <w:i w:val="0"/>
          <w:color w:val="1E3A8A"/>
          <w:sz w:val="22"/>
        </w:rPr>
        <w:t>Tableau 1 : Description du cas d'utilisation « Authentification et Contrôle d'accès »</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154"/>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20"/>
              </w:rPr>
              <w:t>Rubrique</w:t>
            </w:r>
          </w:p>
        </w:tc>
        <w:tc>
          <w:tcPr>
            <w:tcW w:type="dxa" w:w="6917"/>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20"/>
              </w:rPr>
              <w:t>Description</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Cas n°</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CU-01</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Acteur(s)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Tous les acteurs (Administrateur, Courtier, Comptable)</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Objectif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Permettre à un utilisateur de se connecter de manière sécurisée et d'obtenir ses autorisations d'accès.</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Pré-condition(s)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L'utilisateur doit disposer d'un compte actif préalablement créé dans le système.</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Post-condition(s)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Un jeton JWT valide est transmis au client HTTP et l'utilisateur accède au tableau de bord selon son rôle.</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nominal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1. L'utilisateur accède à la page de connexion.2. L'utilisateur saisit son identifiant (nom d'utilisateur ou email) et son mot de passe.3. L'utilisateur valide le formulaire.4. Le système vérifie l'existence du compte et compare le condensat BCrypt.5. Le système génère un jeton JWT contenant l'identité et le rôle (</w:t>
            </w:r>
            <w:r>
              <w:rPr>
                <w:rFonts w:ascii="Consolas" w:hAnsi="Consolas"/>
                <w:b w:val="0"/>
                <w:i w:val="0"/>
                <w:color w:val="B41414"/>
                <w:sz w:val="18"/>
              </w:rPr>
              <w:t>ADMIN</w:t>
            </w:r>
            <w:r>
              <w:rPr>
                <w:rFonts w:ascii="Times New Roman" w:hAnsi="Times New Roman"/>
                <w:b w:val="0"/>
                <w:i w:val="0"/>
                <w:color w:val="0F172A"/>
                <w:sz w:val="20"/>
              </w:rPr>
              <w:t>/</w:t>
            </w:r>
            <w:r>
              <w:rPr>
                <w:rFonts w:ascii="Consolas" w:hAnsi="Consolas"/>
                <w:b w:val="0"/>
                <w:i w:val="0"/>
                <w:color w:val="B41414"/>
                <w:sz w:val="18"/>
              </w:rPr>
              <w:t>USER</w:t>
            </w:r>
            <w:r>
              <w:rPr>
                <w:rFonts w:ascii="Times New Roman" w:hAnsi="Times New Roman"/>
                <w:b w:val="0"/>
                <w:i w:val="0"/>
                <w:color w:val="0F172A"/>
                <w:sz w:val="20"/>
              </w:rPr>
              <w:t>).6. Le système redirige l'utilisateur vers le tableau de bord.</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alternatif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4.a. Identifiants invalides : Le système affiche un message d'erreur explicite « Identifiants incorrects » et invite à une nouvelle saisie.4.b. Compte désactivé : Le système bloque l'accès et notifie l'utilisateur de contacter l'administrateur.</w:t>
            </w:r>
          </w:p>
        </w:tc>
      </w:tr>
    </w:tbl>
    <w:p>
      <w:pPr>
        <w:spacing w:before="40" w:after="80"/>
      </w:pPr>
    </w:p>
    <w:p>
      <w:pPr>
        <w:spacing w:line="360" w:lineRule="auto" w:before="120" w:after="120"/>
        <w:ind w:firstLine="454"/>
        <w:jc w:val="both"/>
      </w:pPr>
      <w:r>
        <w:rPr>
          <w:rFonts w:ascii="Times New Roman" w:hAnsi="Times New Roman"/>
          <w:b w:val="0"/>
          <w:i w:val="0"/>
          <w:color w:val="000000"/>
          <w:sz w:val="24"/>
        </w:rPr>
        <w:t>\</w:t>
      </w:r>
    </w:p>
    <w:p>
      <w:pPr>
        <w:spacing w:line="276" w:lineRule="auto" w:before="200" w:after="80"/>
        <w:ind w:firstLine="0"/>
        <w:jc w:val="center"/>
      </w:pPr>
      <w:r>
        <w:rPr>
          <w:rFonts w:ascii="Times New Roman" w:hAnsi="Times New Roman"/>
          <w:b/>
          <w:i w:val="0"/>
          <w:color w:val="1E3A8A"/>
          <w:sz w:val="22"/>
        </w:rPr>
        <w:t>Tableau 2 : Description du cas d'utilisation « Enregistrement d'une Police d'Assurance »</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154"/>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20"/>
              </w:rPr>
              <w:t>Rubrique</w:t>
            </w:r>
          </w:p>
        </w:tc>
        <w:tc>
          <w:tcPr>
            <w:tcW w:type="dxa" w:w="6917"/>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20"/>
              </w:rPr>
              <w:t>Description</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Cas n°</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CU-02</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Acteur(s)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Gestionnaire de Production / Courtier</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Objectif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Créer et enregistrer une nouvelle police d'assurance (standard ou maritime) avec calcul des primes et co-assurance.</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Pré-condition(s)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L'utilisateur est authentifié et le client souscripteur existe dans le référentiel.</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Post-condition(s)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La police est persistée en base, le montant total est calculé, l'exercice comptable est rattaché et une fiche de règlement est initialisée.</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nominal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 xml:space="preserve">1. L'utilisateur accède au formulaire de nouvelle production.2. L'utilisateur sélectionne le client, la nature d'opération, la catégorie et la compagnie.3. L'utilisateur renseigne le numéro de police, la date d'effet et le mois d'émission.4. Si la catégorie est MARITIME, l'utilisateur renseigne le N° d'ordre, le navire, le certificat et ventile les parts de co-assurance.5. L'utilisateur saisit les composantes de prime (nette, taxes, accessoires, CNPC).6. Le système calcule instantanément le montant total TTC et l'exercice associé.7. L'utilisateur valide l'enregistrement.8. Le système persiste la police et initialise l'état de règlement à </w:t>
            </w:r>
            <w:r>
              <w:rPr>
                <w:rFonts w:ascii="Consolas" w:hAnsi="Consolas"/>
                <w:b w:val="0"/>
                <w:i w:val="0"/>
                <w:color w:val="B41414"/>
                <w:sz w:val="18"/>
              </w:rPr>
              <w:t>EN_ATTENTE</w:t>
            </w:r>
            <w:r>
              <w:rPr>
                <w:rFonts w:ascii="Times New Roman" w:hAnsi="Times New Roman"/>
                <w:b w:val="0"/>
                <w:i w:val="0"/>
                <w:color w:val="0F172A"/>
                <w:sz w:val="20"/>
              </w:rPr>
              <w:t>.</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alternatif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4.a. La somme des pourcentages de répartition ne correspond pas à 100% : Le système signale une anomalie de ventilation et bloque la validation.5.a. Champs obligatoires manquants : Le système surligne les erreurs de validation du formulaire.</w:t>
            </w:r>
          </w:p>
        </w:tc>
      </w:tr>
    </w:tbl>
    <w:p>
      <w:pPr>
        <w:spacing w:before="40" w:after="80"/>
      </w:pPr>
    </w:p>
    <w:p>
      <w:pPr>
        <w:spacing w:line="360" w:lineRule="auto" w:before="120" w:after="120"/>
        <w:ind w:firstLine="454"/>
        <w:jc w:val="both"/>
      </w:pPr>
      <w:r>
        <w:rPr>
          <w:rFonts w:ascii="Times New Roman" w:hAnsi="Times New Roman"/>
          <w:b w:val="0"/>
          <w:i w:val="0"/>
          <w:color w:val="000000"/>
          <w:sz w:val="24"/>
        </w:rPr>
        <w:t>\</w:t>
      </w:r>
    </w:p>
    <w:p>
      <w:pPr>
        <w:spacing w:line="276" w:lineRule="auto" w:before="200" w:after="80"/>
        <w:ind w:firstLine="0"/>
        <w:jc w:val="center"/>
      </w:pPr>
      <w:r>
        <w:rPr>
          <w:rFonts w:ascii="Times New Roman" w:hAnsi="Times New Roman"/>
          <w:b/>
          <w:i w:val="0"/>
          <w:color w:val="1E3A8A"/>
          <w:sz w:val="22"/>
        </w:rPr>
        <w:t>Tableau 3 : Description du cas d'utilisation « Gestion du Double Circuit de Règlements »</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154"/>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20"/>
              </w:rPr>
              <w:t>Rubrique</w:t>
            </w:r>
          </w:p>
        </w:tc>
        <w:tc>
          <w:tcPr>
            <w:tcW w:type="dxa" w:w="6917"/>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20"/>
              </w:rPr>
              <w:t>Description</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Cas n°</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CU-03</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Acteur(s)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Responsable Comptable &amp; Financier</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Objectif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Enregistrer les versements clients et les reversements compagnies tout en maintenant l'étanchéité des soldes.</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Pré-condition(s)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La police d'assurance existe et une fiche de règlement est associée.</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Post-condition(s)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Les lignes de paiement sont enregistrées, le crédit client est ajusté et le statut de règlement est actualisé.</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nominal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1. L'utilisateur consulte la fiche de règlement d'une police.2. L'utilisateur choisit le circuit : Encaissement Client ou Décaissement Compagnie.3. L'utilisateur saisit la date, le montant, le mode de paiement (espèces, chèque, virement) et les références bancaires.4. L'utilisateur valide le paiement.5. Le système enregistre la transaction.6. Si le paiement concerne le client, le système déduit le montant de la créance client.7. Le système compare le cumul des paiements clients au montant total de la police et met à jour le statut (</w:t>
            </w:r>
            <w:r>
              <w:rPr>
                <w:rFonts w:ascii="Consolas" w:hAnsi="Consolas"/>
                <w:b w:val="0"/>
                <w:i w:val="0"/>
                <w:color w:val="B41414"/>
                <w:sz w:val="18"/>
              </w:rPr>
              <w:t>EN_ATTENTE</w:t>
            </w:r>
            <w:r>
              <w:rPr>
                <w:rFonts w:ascii="Times New Roman" w:hAnsi="Times New Roman"/>
                <w:b w:val="0"/>
                <w:i w:val="0"/>
                <w:color w:val="0F172A"/>
                <w:sz w:val="20"/>
              </w:rPr>
              <w:t xml:space="preserve">, </w:t>
            </w:r>
            <w:r>
              <w:rPr>
                <w:rFonts w:ascii="Consolas" w:hAnsi="Consolas"/>
                <w:b w:val="0"/>
                <w:i w:val="0"/>
                <w:color w:val="B41414"/>
                <w:sz w:val="18"/>
              </w:rPr>
              <w:t>PARTIEL</w:t>
            </w:r>
            <w:r>
              <w:rPr>
                <w:rFonts w:ascii="Times New Roman" w:hAnsi="Times New Roman"/>
                <w:b w:val="0"/>
                <w:i w:val="0"/>
                <w:color w:val="0F172A"/>
                <w:sz w:val="20"/>
              </w:rPr>
              <w:t xml:space="preserve">, </w:t>
            </w:r>
            <w:r>
              <w:rPr>
                <w:rFonts w:ascii="Consolas" w:hAnsi="Consolas"/>
                <w:b w:val="0"/>
                <w:i w:val="0"/>
                <w:color w:val="B41414"/>
                <w:sz w:val="18"/>
              </w:rPr>
              <w:t>PAYE</w:t>
            </w:r>
            <w:r>
              <w:rPr>
                <w:rFonts w:ascii="Times New Roman" w:hAnsi="Times New Roman"/>
                <w:b w:val="0"/>
                <w:i w:val="0"/>
                <w:color w:val="0F172A"/>
                <w:sz w:val="20"/>
              </w:rPr>
              <w:t>).</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alternatif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3.a. Le montant saisi est supérieur au solde restant dû : Le système affiche un avertissement de trop-perçu tout en autorisant la régularisation.6.a. Le paiement est un décaissement CIE : Le système enregistre le paiement sans altérer le crédit du client souscripteur.</w:t>
            </w:r>
          </w:p>
        </w:tc>
      </w:tr>
    </w:tbl>
    <w:p>
      <w:pPr>
        <w:spacing w:before="40" w:after="80"/>
      </w:pPr>
    </w:p>
    <w:p>
      <w:pPr>
        <w:spacing w:line="360" w:lineRule="auto" w:before="120" w:after="120"/>
        <w:ind w:firstLine="454"/>
        <w:jc w:val="both"/>
      </w:pPr>
      <w:r>
        <w:rPr>
          <w:rFonts w:ascii="Times New Roman" w:hAnsi="Times New Roman"/>
          <w:b w:val="0"/>
          <w:i w:val="0"/>
          <w:color w:val="000000"/>
          <w:sz w:val="24"/>
        </w:rPr>
        <w:t>\</w:t>
      </w:r>
    </w:p>
    <w:p>
      <w:pPr>
        <w:spacing w:line="276" w:lineRule="auto" w:before="200" w:after="80"/>
        <w:ind w:firstLine="0"/>
        <w:jc w:val="center"/>
      </w:pPr>
      <w:r>
        <w:rPr>
          <w:rFonts w:ascii="Times New Roman" w:hAnsi="Times New Roman"/>
          <w:b/>
          <w:i w:val="0"/>
          <w:color w:val="1E3A8A"/>
          <w:sz w:val="22"/>
        </w:rPr>
        <w:t>Tableau 4 : Description du cas d'utilisation « Génération et Téléchargement de Facture PDF »</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154"/>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20"/>
              </w:rPr>
              <w:t>Rubrique</w:t>
            </w:r>
          </w:p>
        </w:tc>
        <w:tc>
          <w:tcPr>
            <w:tcW w:type="dxa" w:w="6917"/>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20"/>
              </w:rPr>
              <w:t>Description</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Cas n°</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CU-04</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Acteur(s)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Responsable Comptable / Courtier</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Objectif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Émettre une facture officielle (Standard, Proforma ou Avoir) et télécharger le document PDF certifié.</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Pré-condition(s)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L'utilisateur est authentifié et l'opération associée est enregistrée.</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Post-condition(s)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La facture est numérotée de façon unique et le document PDF conforme est streamé vers le navigateur.</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nominal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1. L'utilisateur accède au module de facturation.2. L'utilisateur sélectionne l'opération concernée ou clique sur « Nouveau Devis Proforma ».3. Le système calcule les montants HT, TVA et TTC.4. L'utilisateur confirme la génération de la facture.5. L'utilisateur clique sur le bouton « Télécharger PDF ».6. Le backend génère le flux binaire PDF via OpenPDF et l'envoie au navigateur.</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alternatif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2.a. Génération d'une facture d'avoir : L'utilisateur clique sur « Avoir » sur une facture existante. Le système crée une facture négative de régularisation avec référence à la facture initiale.</w:t>
            </w:r>
          </w:p>
        </w:tc>
      </w:tr>
    </w:tbl>
    <w:p>
      <w:pPr>
        <w:spacing w:before="40" w:after="80"/>
      </w:pPr>
    </w:p>
    <w:p>
      <w:pPr>
        <w:spacing w:line="360" w:lineRule="auto" w:before="120" w:after="120"/>
        <w:ind w:firstLine="454"/>
        <w:jc w:val="both"/>
      </w:pPr>
      <w:r>
        <w:rPr>
          <w:rFonts w:ascii="Times New Roman" w:hAnsi="Times New Roman"/>
          <w:b w:val="0"/>
          <w:i w:val="0"/>
          <w:color w:val="000000"/>
          <w:sz w:val="24"/>
        </w:rPr>
        <w:t>\</w:t>
      </w:r>
    </w:p>
    <w:p>
      <w:pPr>
        <w:spacing w:line="276" w:lineRule="auto" w:before="200" w:after="80"/>
        <w:ind w:firstLine="0"/>
        <w:jc w:val="center"/>
      </w:pPr>
      <w:r>
        <w:rPr>
          <w:rFonts w:ascii="Times New Roman" w:hAnsi="Times New Roman"/>
          <w:b/>
          <w:i w:val="0"/>
          <w:color w:val="1E3A8A"/>
          <w:sz w:val="22"/>
        </w:rPr>
        <w:t>Tableau 5 : Description du cas d'utilisation « Analyse Intelligente d'une Déclaration de Sinistre »</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154"/>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20"/>
              </w:rPr>
              <w:t>Rubrique</w:t>
            </w:r>
          </w:p>
        </w:tc>
        <w:tc>
          <w:tcPr>
            <w:tcW w:type="dxa" w:w="6917"/>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20"/>
              </w:rPr>
              <w:t>Description</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Cas n°</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CU-05</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Acteur(s)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Courtier / Gestionnaire Sinistres, Moteur IA</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Objectif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Analyser sémantiquement un constat de sinistre pour qualifier la responsabilité, le décompte net et le risque de fraude.</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Pré-condition(s)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Le dossier client et la police sont identifiés.</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Post-condition(s)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Un rapport d'analyse structuré avec scoring de fraude et plan d'action est restitué au gestionnaire.</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nominal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1. L'utilisateur ouvre le modal « Claims AI Analyzer ».2. L'utilisateur renseigne le texte descriptif du sinistre, la date, les dommages estimés et la franchise.3. L'utilisateur lance l'analyse.4. Le moteur IA extrait les entités, applique les règles de la convention CISA/CID et de l'Article 20 de la Loi 17-99.5. Le moteur IA calcule le score de fraude (0-100) et le montant net d'indemnisation.6. Le système affiche la synthèse exécutive, les drapeaux d'alerte et les actions recommandées.</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alternatif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4.a. Description incomplète ou ambiguë : Le système attribue un score de risque intermédiaire et préconise l'intervention prioritaire d'un expert automobile agréé.</w:t>
            </w:r>
          </w:p>
        </w:tc>
      </w:tr>
    </w:tbl>
    <w:p>
      <w:pPr>
        <w:spacing w:before="40" w:after="80"/>
      </w:pPr>
    </w:p>
    <w:p>
      <w:pPr>
        <w:spacing w:line="360" w:lineRule="auto" w:before="120" w:after="120"/>
        <w:ind w:firstLine="454"/>
        <w:jc w:val="both"/>
      </w:pPr>
      <w:r>
        <w:rPr>
          <w:rFonts w:ascii="Times New Roman" w:hAnsi="Times New Roman"/>
          <w:b w:val="0"/>
          <w:i w:val="0"/>
          <w:color w:val="000000"/>
          <w:sz w:val="24"/>
        </w:rPr>
        <w:t>\</w:t>
      </w:r>
    </w:p>
    <w:p>
      <w:pPr>
        <w:spacing w:line="276" w:lineRule="auto" w:before="200" w:after="80"/>
        <w:ind w:firstLine="0"/>
        <w:jc w:val="center"/>
      </w:pPr>
      <w:r>
        <w:rPr>
          <w:rFonts w:ascii="Times New Roman" w:hAnsi="Times New Roman"/>
          <w:b/>
          <w:i w:val="0"/>
          <w:color w:val="1E3A8A"/>
          <w:sz w:val="22"/>
        </w:rPr>
        <w:t>Tableau 6 : Description du cas d'utilisation « Pilotage Analytics et Filtrage par Exercice Comptable »</w:t>
      </w:r>
    </w:p>
    <w:tbl>
      <w:tblPr>
        <w:tblW w:type="auto" w:w="0"/>
        <w:jc w:val="center"/>
        <w:tblLayout w:type="fixed"/>
        <w:tblLook w:firstColumn="1" w:firstRow="1" w:lastColumn="0" w:lastRow="0" w:noHBand="0" w:noVBand="1" w:val="04A0"/>
      </w:tblPr>
      <w:tblGrid>
        <w:gridCol w:w="4536"/>
        <w:gridCol w:w="4536"/>
      </w:tblGrid>
      <w:tr>
        <w:trPr>
          <w:cantSplit/>
          <w:tblHeader/>
        </w:trPr>
        <w:tc>
          <w:tcPr>
            <w:tcW w:type="dxa" w:w="2154"/>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20"/>
              </w:rPr>
              <w:t>Rubrique</w:t>
            </w:r>
          </w:p>
        </w:tc>
        <w:tc>
          <w:tcPr>
            <w:tcW w:type="dxa" w:w="6917"/>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20"/>
              </w:rPr>
              <w:t>Description</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Cas n°</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CU-06</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Acteur(s)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Administrateur, Décideur, Courtier</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Objectif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Consulter les indicateurs de performance financière et filtrer l'intégralité des données par année fiscale.</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Pré-condition(s)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L'utilisateur est connecté à la plateforme.</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Post-condition(s)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Les graphiques, KPIs et registres sont instantanément recalibrés sur l'exercice sélectionné.</w:t>
            </w:r>
          </w:p>
        </w:tc>
      </w:tr>
      <w:tr>
        <w:trPr>
          <w:cantSplit/>
        </w:trPr>
        <w:tc>
          <w:tcPr>
            <w:tcW w:type="dxa" w:w="2154"/>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nominal :</w:t>
            </w:r>
          </w:p>
        </w:tc>
        <w:tc>
          <w:tcPr>
            <w:tcW w:type="dxa" w:w="6917"/>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1. L'utilisateur accède au Tableau de Bord (</w:t>
            </w:r>
            <w:r>
              <w:rPr>
                <w:rFonts w:ascii="Consolas" w:hAnsi="Consolas"/>
                <w:b w:val="0"/>
                <w:i w:val="0"/>
                <w:color w:val="B41414"/>
                <w:sz w:val="18"/>
              </w:rPr>
              <w:t>/dashboard</w:t>
            </w:r>
            <w:r>
              <w:rPr>
                <w:rFonts w:ascii="Times New Roman" w:hAnsi="Times New Roman"/>
                <w:b w:val="0"/>
                <w:i w:val="0"/>
                <w:color w:val="0F172A"/>
                <w:sz w:val="20"/>
              </w:rPr>
              <w:t xml:space="preserve">).2. Le système affiche par défaut les métriques de l'exercice en cours (ex: 2026).3. L'utilisateur clique sur le composant </w:t>
            </w:r>
            <w:r>
              <w:rPr>
                <w:rFonts w:ascii="Consolas" w:hAnsi="Consolas"/>
                <w:b w:val="0"/>
                <w:i w:val="0"/>
                <w:color w:val="B41414"/>
                <w:sz w:val="18"/>
              </w:rPr>
              <w:t>ExerciceSelector</w:t>
            </w:r>
            <w:r>
              <w:rPr>
                <w:rFonts w:ascii="Times New Roman" w:hAnsi="Times New Roman"/>
                <w:b w:val="0"/>
                <w:i w:val="0"/>
                <w:color w:val="0F172A"/>
                <w:sz w:val="20"/>
              </w:rPr>
              <w:t xml:space="preserve"> et choisit un autre exercice (ex: 2025).4. Le système émet une requête </w:t>
            </w:r>
            <w:r>
              <w:rPr>
                <w:rFonts w:ascii="Consolas" w:hAnsi="Consolas"/>
                <w:b w:val="0"/>
                <w:i w:val="0"/>
                <w:color w:val="B41414"/>
                <w:sz w:val="18"/>
              </w:rPr>
              <w:t>GET /api/dashboard/stats?exercice=2025</w:t>
            </w:r>
            <w:r>
              <w:rPr>
                <w:rFonts w:ascii="Times New Roman" w:hAnsi="Times New Roman"/>
                <w:b w:val="0"/>
                <w:i w:val="0"/>
                <w:color w:val="0F172A"/>
                <w:sz w:val="20"/>
              </w:rPr>
              <w:t>.5. Le système actualise dynamiquement les KPIs, la courbe des 12 mois, le donut de catégories et le top compagnies.</w:t>
            </w:r>
          </w:p>
        </w:tc>
      </w:tr>
      <w:tr>
        <w:trPr>
          <w:cantSplit/>
        </w:trPr>
        <w:tc>
          <w:tcPr>
            <w:tcW w:type="dxa" w:w="2154"/>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20"/>
              </w:rPr>
              <w:t>Scénario alternatif :</w:t>
            </w:r>
          </w:p>
        </w:tc>
        <w:tc>
          <w:tcPr>
            <w:tcW w:type="dxa" w:w="6917"/>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20"/>
              </w:rPr>
              <w:t>3.a. Aucun enregistrement sur l'exercice sélectionné : Le système affiche des compteurs à zéro et un message informatif sans provoquer d'erreur applicative.</w:t>
            </w:r>
          </w:p>
        </w:tc>
      </w:tr>
    </w:tbl>
    <w:p>
      <w:pPr>
        <w:spacing w:before="40" w:after="80"/>
      </w:pPr>
    </w:p>
    <w:p>
      <w:pPr>
        <w:keepNext/>
        <w:spacing w:before="200" w:after="80"/>
        <w:ind w:firstLine="0"/>
        <w:jc w:val="left"/>
      </w:pPr>
      <w:r>
        <w:rPr>
          <w:rFonts w:ascii="Times New Roman" w:hAnsi="Times New Roman"/>
          <w:b/>
          <w:color w:val="334155"/>
          <w:sz w:val="24"/>
        </w:rPr>
        <w:t>4.3. Diagramme des cas d'utilisation global</w:t>
      </w:r>
    </w:p>
    <w:p>
      <w:pPr>
        <w:spacing w:line="360" w:lineRule="auto" w:before="120" w:after="120"/>
        <w:ind w:firstLine="454"/>
        <w:jc w:val="both"/>
      </w:pPr>
      <w:r>
        <w:rPr>
          <w:rFonts w:ascii="Times New Roman" w:hAnsi="Times New Roman"/>
          <w:b w:val="0"/>
          <w:i w:val="0"/>
          <w:color w:val="000000"/>
          <w:sz w:val="24"/>
        </w:rPr>
        <w:t>Le diagramme suivant modélise l'ensemble des interactions entre les différents acteurs et les fonctionnalités du système InsurFlow.</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graph TB</w:t>
              <w:br/>
              <w:t xml:space="preserve">    subgraph Acteurs</w:t>
              <w:br/>
              <w:t xml:space="preserve">        ADMIN(("Administrateur"))</w:t>
              <w:br/>
              <w:t xml:space="preserve">        COURTIER(("Courtier / Gestionnaire"))</w:t>
              <w:br/>
              <w:t xml:space="preserve">        COMPTABLE(("Comptable &amp; Financier"))</w:t>
              <w:br/>
              <w:t xml:space="preserve">        IA(("Moteur IA"))</w:t>
              <w:br/>
              <w:t xml:space="preserve">    end</w:t>
              <w:br/>
              <w:br/>
              <w:t xml:space="preserve">    subgraph "Plateforme InsurFlow ERP"</w:t>
              <w:br/>
              <w:t xml:space="preserve">        CU1["Authentification &amp; Gestion Profil"]</w:t>
              <w:br/>
              <w:t xml:space="preserve">        CU2["Gestion du Portefeuille Clients (KYC/GED)"]</w:t>
              <w:br/>
              <w:t xml:space="preserve">        CU3["Saisie &amp; Gestion des Polices (Production)"]</w:t>
              <w:br/>
              <w:t xml:space="preserve">        CU4["Gestion des Spécificités Maritimes"]</w:t>
              <w:br/>
              <w:t xml:space="preserve">        CU5["Ventilation Co-assurance Multi-Compagnies"]</w:t>
              <w:br/>
              <w:t xml:space="preserve">        CU6["Double Circuit de Règlements (Clients/CIE)"]</w:t>
              <w:br/>
              <w:t xml:space="preserve">        CU7["Gestion de la Facturation (FAC/PRF/AVR)"]</w:t>
              <w:br/>
              <w:t xml:space="preserve">        CU8["Analyse de Sinistres &amp; Scoring Fraude"]</w:t>
              <w:br/>
              <w:t xml:space="preserve">        CU9["Évaluation Prédictive du Risque de Souscription"]</w:t>
              <w:br/>
              <w:t xml:space="preserve">        CU10["Assistant Conversationnel Copilot"]</w:t>
              <w:br/>
              <w:t xml:space="preserve">        CU11["Pilotage Analytics &amp; Exercices Comptables"]</w:t>
              <w:br/>
              <w:t xml:space="preserve">        CU12["Gestion des Référentiels &amp; Utilisateurs"]</w:t>
              <w:br/>
              <w:t xml:space="preserve">        CU13["Exportation des Registres (PDF/Excel CSV)"]</w:t>
              <w:br/>
              <w:t xml:space="preserve">    end</w:t>
              <w:br/>
              <w:br/>
              <w:t xml:space="preserve">    ADMIN --&gt; CU1</w:t>
              <w:br/>
              <w:t xml:space="preserve">    ADMIN --&gt; CU12</w:t>
              <w:br/>
              <w:t xml:space="preserve">    ADMIN --&gt; CU11</w:t>
              <w:br/>
              <w:t xml:space="preserve">    ADMIN --&gt; CU2</w:t>
              <w:br/>
              <w:t xml:space="preserve">    ADMIN --&gt; CU3</w:t>
              <w:br/>
              <w:t xml:space="preserve">    ADMIN --&gt; CU6</w:t>
              <w:br/>
              <w:t xml:space="preserve">    ADMIN --&gt; CU7</w:t>
              <w:br/>
              <w:t xml:space="preserve">    ADMIN --&gt; CU13</w:t>
              <w:br/>
              <w:br/>
              <w:t xml:space="preserve">    COURTIER --&gt; CU1</w:t>
              <w:br/>
              <w:t xml:space="preserve">    COURTIER --&gt; CU2</w:t>
              <w:br/>
              <w:t xml:space="preserve">    COURTIER --&gt; CU3</w:t>
              <w:br/>
              <w:t xml:space="preserve">    COURTIER --&gt; CU4</w:t>
              <w:br/>
              <w:t xml:space="preserve">    COURTIER --&gt; CU5</w:t>
              <w:br/>
              <w:t xml:space="preserve">    COURTIER --&gt; CU8</w:t>
              <w:br/>
              <w:t xml:space="preserve">    COURTIER --&gt; CU9</w:t>
              <w:br/>
              <w:t xml:space="preserve">    COURTIER --&gt; CU10</w:t>
              <w:br/>
              <w:t xml:space="preserve">    COURTIER --&gt; CU11</w:t>
              <w:br/>
              <w:t xml:space="preserve">    COURTIER --&gt; CU13</w:t>
              <w:br/>
              <w:br/>
              <w:t xml:space="preserve">    COMPTABLE --&gt; CU1</w:t>
              <w:br/>
              <w:t xml:space="preserve">    COMPTABLE --&gt; CU2</w:t>
              <w:br/>
              <w:t xml:space="preserve">    COMPTABLE --&gt; CU6</w:t>
              <w:br/>
              <w:t xml:space="preserve">    COMPTABLE --&gt; CU7</w:t>
              <w:br/>
              <w:t xml:space="preserve">    COMPTABLE --&gt; CU11</w:t>
              <w:br/>
              <w:t xml:space="preserve">    COMPTABLE --&gt; CU13</w:t>
              <w:br/>
              <w:br/>
              <w:t xml:space="preserve">    CU8 -.-&gt; IA</w:t>
              <w:br/>
              <w:t xml:space="preserve">    CU9 -.-&gt; IA</w:t>
              <w:br/>
              <w:t xml:space="preserve">    CU10 -.-&gt; IA</w:t>
              <w:br/>
              <w:br/>
              <w:t xml:space="preserve">    CU3 -.-&gt;|&lt;&lt;include&gt;&gt;| CU4</w:t>
              <w:br/>
              <w:t xml:space="preserve">    CU3 -.-&gt;|&lt;&lt;include&gt;&gt;| CU5</w:t>
              <w:br/>
              <w:t xml:space="preserve">    CU6 -.-&gt;|&lt;&lt;extend&gt;&gt;| CU7</w:t>
            </w:r>
          </w:p>
        </w:tc>
      </w:tr>
    </w:tbl>
    <w:p>
      <w:pPr>
        <w:spacing w:line="276" w:lineRule="auto" w:before="80" w:after="200"/>
        <w:ind w:firstLine="0"/>
        <w:jc w:val="center"/>
      </w:pPr>
      <w:r>
        <w:rPr>
          <w:rFonts w:ascii="Times New Roman" w:hAnsi="Times New Roman"/>
          <w:b/>
          <w:i w:val="0"/>
          <w:color w:val="1E3A8A"/>
          <w:sz w:val="22"/>
        </w:rPr>
        <w:t>Figure 5 : Diagramme des cas d'utilisation global du système InsurFlow</w:t>
      </w:r>
    </w:p>
    <w:p>
      <w:pPr>
        <w:keepNext/>
        <w:spacing w:before="280" w:after="120"/>
        <w:ind w:firstLine="0"/>
        <w:jc w:val="left"/>
      </w:pPr>
      <w:r>
        <w:rPr>
          <w:rFonts w:ascii="Times New Roman" w:hAnsi="Times New Roman"/>
          <w:b/>
          <w:color w:val="1E293B"/>
          <w:sz w:val="28"/>
        </w:rPr>
        <w:t>5. Conclusion</w:t>
      </w:r>
    </w:p>
    <w:p>
      <w:pPr>
        <w:spacing w:line="360" w:lineRule="auto" w:before="120" w:after="120"/>
        <w:ind w:firstLine="454"/>
        <w:jc w:val="both"/>
      </w:pPr>
      <w:r>
        <w:rPr>
          <w:rFonts w:ascii="Times New Roman" w:hAnsi="Times New Roman"/>
          <w:b w:val="0"/>
          <w:i w:val="0"/>
          <w:color w:val="000000"/>
          <w:sz w:val="24"/>
        </w:rPr>
        <w:t>Dans ce chapitre, nous avons établi une analyse rigoureuse et détaillée des besoins fonctionnels et non fonctionnels du système InsurFlow. Nous avons identifié les différents profils d'utilisateurs et décrit de manière normalisée les cas d'utilisation majeurs. Cette spécification précise constitue le socle fondamental sur lequel repose la phase de conception présentée dans le chapitre suivant.</w:t>
      </w:r>
    </w:p>
    <w:p>
      <w:r>
        <w:br w:type="page"/>
      </w:r>
    </w:p>
    <w:p>
      <w:r>
        <w:br w:type="page"/>
      </w:r>
    </w:p>
    <w:p>
      <w:pPr>
        <w:keepNext/>
        <w:spacing w:before="360" w:after="160"/>
        <w:ind w:firstLine="0"/>
        <w:jc w:val="left"/>
      </w:pPr>
      <w:r>
        <w:rPr>
          <w:rFonts w:ascii="Times New Roman" w:hAnsi="Times New Roman"/>
          <w:b/>
          <w:color w:val="B40000"/>
          <w:sz w:val="32"/>
        </w:rPr>
        <w:t>Chapitre 3 : Conception du système</w:t>
      </w:r>
    </w:p>
    <w:p>
      <w:pPr>
        <w:keepNext/>
        <w:spacing w:before="280" w:after="120"/>
        <w:ind w:firstLine="0"/>
        <w:jc w:val="left"/>
      </w:pPr>
      <w:r>
        <w:rPr>
          <w:rFonts w:ascii="Times New Roman" w:hAnsi="Times New Roman"/>
          <w:b/>
          <w:color w:val="1E293B"/>
          <w:sz w:val="28"/>
        </w:rPr>
        <w:t>1. Introduction</w:t>
      </w:r>
    </w:p>
    <w:p>
      <w:pPr>
        <w:spacing w:line="360" w:lineRule="auto" w:before="120" w:after="120"/>
        <w:ind w:firstLine="454"/>
        <w:jc w:val="both"/>
      </w:pPr>
      <w:r>
        <w:rPr>
          <w:rFonts w:ascii="Times New Roman" w:hAnsi="Times New Roman"/>
          <w:b w:val="0"/>
          <w:i w:val="0"/>
          <w:color w:val="000000"/>
          <w:sz w:val="24"/>
        </w:rPr>
        <w:t xml:space="preserve">Ce chapitre est dédié à la conception détaillée de la solution technique en répondant précisément à la question : </w:t>
      </w:r>
      <w:r>
        <w:rPr>
          <w:rFonts w:ascii="Times New Roman" w:hAnsi="Times New Roman"/>
          <w:b/>
          <w:i w:val="0"/>
          <w:color w:val="000000"/>
          <w:sz w:val="24"/>
        </w:rPr>
        <w:t>COMMENT FAIRE</w:t>
      </w:r>
      <w:r>
        <w:rPr>
          <w:rFonts w:ascii="Times New Roman" w:hAnsi="Times New Roman"/>
          <w:b w:val="0"/>
          <w:i w:val="0"/>
          <w:color w:val="000000"/>
          <w:sz w:val="24"/>
        </w:rPr>
        <w:t xml:space="preserve">. Nous adoptons les standards du langage de modélisation unifié </w:t>
      </w:r>
      <w:r>
        <w:rPr>
          <w:rFonts w:ascii="Times New Roman" w:hAnsi="Times New Roman"/>
          <w:b/>
          <w:i w:val="0"/>
          <w:color w:val="000000"/>
          <w:sz w:val="24"/>
        </w:rPr>
        <w:t>UML 2</w:t>
      </w:r>
      <w:r>
        <w:rPr>
          <w:rFonts w:ascii="Times New Roman" w:hAnsi="Times New Roman"/>
          <w:b w:val="0"/>
          <w:i w:val="0"/>
          <w:color w:val="000000"/>
          <w:sz w:val="24"/>
        </w:rPr>
        <w:t xml:space="preserve"> en privilégiant une approche « boîte blanche » afin de rendre compte des interactions internes entre les objets, les composants logiciels et la couche de persistance. Nous présentons dans un premier temps la modélisation dynamique (diagrammes de séquences, collaboration, états-transitions et activités), puis la modélisation statique (diagramme de classes métier, modèle relationnel/document, dictionnaire de données exhaustif) pour conclure sur l'architecture logicielle 3-tiers et l'architecture matérielle de déploiement Cloud.</w:t>
      </w:r>
    </w:p>
    <w:p>
      <w:pPr>
        <w:keepNext/>
        <w:spacing w:before="280" w:after="120"/>
        <w:ind w:firstLine="0"/>
        <w:jc w:val="left"/>
      </w:pPr>
      <w:r>
        <w:rPr>
          <w:rFonts w:ascii="Times New Roman" w:hAnsi="Times New Roman"/>
          <w:b/>
          <w:color w:val="1E293B"/>
          <w:sz w:val="28"/>
        </w:rPr>
        <w:t>2. Modélisation dynamique</w:t>
      </w:r>
    </w:p>
    <w:p>
      <w:pPr>
        <w:keepNext/>
        <w:spacing w:before="200" w:after="80"/>
        <w:ind w:firstLine="0"/>
        <w:jc w:val="left"/>
      </w:pPr>
      <w:r>
        <w:rPr>
          <w:rFonts w:ascii="Times New Roman" w:hAnsi="Times New Roman"/>
          <w:b/>
          <w:color w:val="334155"/>
          <w:sz w:val="24"/>
        </w:rPr>
        <w:t>2.1. Diagrammes de séquences</w:t>
      </w:r>
    </w:p>
    <w:p>
      <w:pPr>
        <w:spacing w:line="360" w:lineRule="auto" w:before="120" w:after="120"/>
        <w:ind w:firstLine="454"/>
        <w:jc w:val="both"/>
      </w:pPr>
      <w:r>
        <w:rPr>
          <w:rFonts w:ascii="Times New Roman" w:hAnsi="Times New Roman"/>
          <w:b w:val="0"/>
          <w:i w:val="0"/>
          <w:color w:val="000000"/>
          <w:sz w:val="24"/>
        </w:rPr>
        <w:t>Les diagrammes de séquences ci-après illustrent le comportement dynamique du système lors de l'exécution des processus clés.</w:t>
      </w:r>
    </w:p>
    <w:p>
      <w:pPr>
        <w:keepNext/>
        <w:spacing w:before="160" w:after="60"/>
        <w:ind w:firstLine="0"/>
        <w:jc w:val="left"/>
      </w:pPr>
      <w:r>
        <w:rPr>
          <w:rFonts w:ascii="Times New Roman" w:hAnsi="Times New Roman"/>
          <w:b/>
          <w:i/>
          <w:color w:val="475569"/>
          <w:sz w:val="24"/>
        </w:rPr>
        <w:t>2.1.1. Authentification utilisateur et génération de jeton JWT</w:t>
      </w:r>
    </w:p>
    <w:p>
      <w:pPr>
        <w:spacing w:line="360" w:lineRule="auto" w:before="120" w:after="120"/>
        <w:ind w:firstLine="454"/>
        <w:jc w:val="both"/>
      </w:pPr>
      <w:r>
        <w:rPr>
          <w:rFonts w:ascii="Times New Roman" w:hAnsi="Times New Roman"/>
          <w:b w:val="0"/>
          <w:i w:val="0"/>
          <w:color w:val="000000"/>
          <w:sz w:val="24"/>
        </w:rPr>
        <w:t>Le diagramme modélise les échanges lors de la connexion avec vérification du mot de passe haché par BCrypt et émission du jeton JWT.</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sequenceDiagram</w:t>
              <w:br/>
              <w:t xml:space="preserve">    autonumber</w:t>
              <w:br/>
              <w:t xml:space="preserve">    actor User as Utilisateur</w:t>
              <w:br/>
              <w:t xml:space="preserve">    participant View as LoginForm (Next.js)</w:t>
              <w:br/>
              <w:t xml:space="preserve">    participant AuthCtrl as AuthController</w:t>
              <w:br/>
              <w:t xml:space="preserve">    participant UserSvc as UserService</w:t>
              <w:br/>
              <w:t xml:space="preserve">    participant UserRepo as UserRepository</w:t>
              <w:br/>
              <w:t xml:space="preserve">    participant JwtUtil as JwtUtil</w:t>
              <w:br/>
              <w:t xml:space="preserve">    participant DB as MongoDB (users)</w:t>
              <w:br/>
              <w:br/>
              <w:t xml:space="preserve">    User-&gt;&gt;View: Saisie email/username + mot de passe</w:t>
              <w:br/>
              <w:t xml:space="preserve">    View-&gt;&gt;AuthCtrl: POST /api/auth/login (LoginRequest)</w:t>
              <w:br/>
              <w:t xml:space="preserve">    AuthCtrl-&gt;&gt;UserSvc: authenticate(username, rawPassword)</w:t>
              <w:br/>
              <w:t xml:space="preserve">    UserSvc-&gt;&gt;UserRepo: findByUsernameOrEmail(identifier)</w:t>
              <w:br/>
              <w:t xml:space="preserve">    UserRepo-&gt;&gt;DB: Query { $or: [{username}, {email}] }</w:t>
              <w:br/>
              <w:t xml:space="preserve">    DB--&gt;&gt;UserRepo: Document User</w:t>
              <w:br/>
              <w:t xml:space="preserve">    UserRepo--&gt;&gt;UserSvc: Optional&lt;User&gt;</w:t>
              <w:br/>
              <w:t xml:space="preserve">  </w:t>
              <w:br/>
              <w:t xml:space="preserve">    alt Utilisateur introuvable ou mot de passe invalide</w:t>
              <w:br/>
              <w:t xml:space="preserve">        UserSvc--&gt;&gt;AuthCtrl: BadCredentialsException</w:t>
              <w:br/>
              <w:t xml:space="preserve">        AuthCtrl--&gt;&gt;View: HTTP 401 Unauthorized</w:t>
              <w:br/>
              <w:t xml:space="preserve">        View--&gt;&gt;User: Affichage "Identifiants invalides"</w:t>
              <w:br/>
              <w:t xml:space="preserve">    else Authentification réussie</w:t>
              <w:br/>
              <w:t xml:space="preserve">        UserSvc-&gt;&gt;JwtUtil: generateToken(UserPrincipal)</w:t>
              <w:br/>
              <w:t xml:space="preserve">        JwtUtil--&gt;&gt;UserSvc: tokenJWT (HMAC-SHA256)</w:t>
              <w:br/>
              <w:t xml:space="preserve">        UserSvc--&gt;&gt;AuthCtrl: AuthResponse(token, role, email)</w:t>
              <w:br/>
              <w:t xml:space="preserve">        AuthCtrl--&gt;&gt;View: HTTP 200 OK + JSON AuthResponse</w:t>
              <w:br/>
              <w:t xml:space="preserve">        View-&gt;&gt;View: Stockage token (js-cookie / State)</w:t>
              <w:br/>
              <w:t xml:space="preserve">        View--&gt;&gt;User: Redirection vers /dashboard</w:t>
              <w:br/>
              <w:t xml:space="preserve">    end</w:t>
            </w:r>
          </w:p>
        </w:tc>
      </w:tr>
    </w:tbl>
    <w:p>
      <w:pPr>
        <w:spacing w:line="276" w:lineRule="auto" w:before="80" w:after="200"/>
        <w:ind w:firstLine="0"/>
        <w:jc w:val="center"/>
      </w:pPr>
      <w:r>
        <w:rPr>
          <w:rFonts w:ascii="Times New Roman" w:hAnsi="Times New Roman"/>
          <w:b/>
          <w:i w:val="0"/>
          <w:color w:val="1E3A8A"/>
          <w:sz w:val="22"/>
        </w:rPr>
        <w:t>Figure 6 : Diagramme de séquences « Authentification utilisateur et génération de jeton JWT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illustre pas à pas comment le système contrôle l'identité d'un utilisateur et lui délivre un passeport numérique sécurisé (jeton JWT). Pour l'utilisateur et le cabinet, cela garantit une protection absolue des données et une gestion stricte des privilèges (Admin / Opérateur) sans jamais faire transiter le mot de passe en clair.</w:t>
            </w:r>
          </w:p>
        </w:tc>
      </w:tr>
    </w:tbl>
    <w:p>
      <w:pPr>
        <w:spacing w:before="40" w:after="80"/>
      </w:pPr>
    </w:p>
    <w:p>
      <w:pPr>
        <w:keepNext/>
        <w:spacing w:before="160" w:after="60"/>
        <w:ind w:firstLine="0"/>
        <w:jc w:val="left"/>
      </w:pPr>
      <w:r>
        <w:rPr>
          <w:rFonts w:ascii="Times New Roman" w:hAnsi="Times New Roman"/>
          <w:b/>
          <w:i/>
          <w:color w:val="475569"/>
          <w:sz w:val="24"/>
        </w:rPr>
        <w:t>2.1.2. Saisie d'une police d'assurance maritime et répartition co-assurance</w:t>
      </w:r>
    </w:p>
    <w:p>
      <w:pPr>
        <w:spacing w:line="360" w:lineRule="auto" w:before="120" w:after="120"/>
        <w:ind w:firstLine="454"/>
        <w:jc w:val="both"/>
      </w:pPr>
      <w:r>
        <w:rPr>
          <w:rFonts w:ascii="Times New Roman" w:hAnsi="Times New Roman"/>
          <w:b w:val="0"/>
          <w:i w:val="0"/>
          <w:color w:val="000000"/>
          <w:sz w:val="24"/>
        </w:rPr>
        <w:t>Ce diagramme détaille la validation et la persistance d'une police maritime complexe avec création conjointe de la fiche de règlement et rattachement à l'exercice comptable.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sequenceDiagram</w:t>
              <w:br/>
              <w:t xml:space="preserve">    autonumber</w:t>
              <w:br/>
              <w:t xml:space="preserve">    actor Courtier as Courtier / Gestionnaire</w:t>
              <w:br/>
              <w:t xml:space="preserve">    participant UI as ProductionForm (Next.js)</w:t>
              <w:br/>
              <w:t xml:space="preserve">    participant ProdCtrl as ProductionController</w:t>
              <w:br/>
              <w:t xml:space="preserve">    participant ProdSvc as ProductionService</w:t>
              <w:br/>
              <w:t xml:space="preserve">    participant RegSvc as ReglementService</w:t>
              <w:br/>
              <w:t xml:space="preserve">    participant ProdRepo as ProductionRepository</w:t>
              <w:br/>
              <w:t xml:space="preserve">    participant RegRepo as ReglementRepository</w:t>
              <w:br/>
              <w:t xml:space="preserve">    participant DB as MongoDB</w:t>
              <w:br/>
              <w:br/>
              <w:t xml:space="preserve">    Courtier-&gt;&gt;UI: Saisie Police Maritime (Client, Navire, Ordre, Répartitions, Primes)</w:t>
              <w:br/>
              <w:t xml:space="preserve">    UI-&gt;&gt;UI: Contrôle local (Somme répartitions == 100%)</w:t>
              <w:br/>
              <w:t xml:space="preserve">    UI-&gt;&gt;ProdCtrl: POST /api/productions (ProductionRequest)</w:t>
              <w:br/>
              <w:t xml:space="preserve">    ProdCtrl-&gt;&gt;ProdSvc: createProduction(ProductionRequest)</w:t>
              <w:br/>
              <w:t xml:space="preserve">    ProdSvc-&gt;&gt;ProdSvc: Calcul MontantTotal &amp; Exercice (moisDem)</w:t>
              <w:br/>
              <w:t xml:space="preserve">    ProdSvc-&gt;&gt;ProdRepo: save(ProductionEntity)</w:t>
              <w:br/>
              <w:t xml:space="preserve">    ProdRepo-&gt;&gt;DB: Insert into 'productions'</w:t>
              <w:br/>
              <w:t xml:space="preserve">    DB--&gt;&gt;ProdRepo: Saved Production</w:t>
              <w:br/>
              <w:t xml:space="preserve">    ProdRepo--&gt;&gt;ProdSvc: Production (avec ID généré)</w:t>
              <w:br/>
              <w:t xml:space="preserve">  </w:t>
              <w:br/>
              <w:t xml:space="preserve">    ProdSvc-&gt;&gt;RegSvc: initReglementForProduction(savedProduction)</w:t>
              <w:br/>
              <w:t xml:space="preserve">    RegSvc-&gt;&gt;RegSvc: Création Reglement (Status: EN_ATTENTE)</w:t>
              <w:br/>
              <w:t xml:space="preserve">    RegSvc-&gt;&gt;RegRepo: save(ReglementEntity)</w:t>
              <w:br/>
              <w:t xml:space="preserve">    RegRepo-&gt;&gt;DB: Insert into 'regelements'</w:t>
              <w:br/>
              <w:t xml:space="preserve">    DB--&gt;&gt;RegRepo: Saved Reglement</w:t>
              <w:br/>
              <w:t xml:space="preserve">    RegRepo--&gt;&gt;RegSvc: Reglement</w:t>
              <w:br/>
              <w:t xml:space="preserve">  </w:t>
              <w:br/>
              <w:t xml:space="preserve">    ProdSvc--&gt;&gt;ProdCtrl: ProductionDTO</w:t>
              <w:br/>
              <w:t xml:space="preserve">    ProdCtrl--&gt;&gt;UI: HTTP 201 Created + JSON</w:t>
              <w:br/>
              <w:t xml:space="preserve">    UI--&gt;&gt;Courtier: Notification succès &amp; rafraîchissement registre</w:t>
            </w:r>
          </w:p>
        </w:tc>
      </w:tr>
    </w:tbl>
    <w:p>
      <w:pPr>
        <w:spacing w:line="276" w:lineRule="auto" w:before="80" w:after="200"/>
        <w:ind w:firstLine="0"/>
        <w:jc w:val="center"/>
      </w:pPr>
      <w:r>
        <w:rPr>
          <w:rFonts w:ascii="Times New Roman" w:hAnsi="Times New Roman"/>
          <w:b/>
          <w:i w:val="0"/>
          <w:color w:val="1E3A8A"/>
          <w:sz w:val="22"/>
        </w:rPr>
        <w:t>Figure 7 : Diagramme de séquences « Saisie d'une police d'assurance maritime et répartition co-assurance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retrace le parcours de création d'une police maritime avec calcul automatique des taxes et ventilation dynamique des primes entre co-assureurs. Pour le courtier, ce mécanisme élimine tout risque d'erreur mathématique et initialise immédiatement le dossier financier de règlement associé.</w:t>
            </w:r>
          </w:p>
        </w:tc>
      </w:tr>
    </w:tbl>
    <w:p>
      <w:pPr>
        <w:spacing w:before="40" w:after="80"/>
      </w:pPr>
    </w:p>
    <w:p>
      <w:pPr>
        <w:keepNext/>
        <w:spacing w:before="160" w:after="60"/>
        <w:ind w:firstLine="0"/>
        <w:jc w:val="left"/>
      </w:pPr>
      <w:r>
        <w:rPr>
          <w:rFonts w:ascii="Times New Roman" w:hAnsi="Times New Roman"/>
          <w:b/>
          <w:i/>
          <w:color w:val="475569"/>
          <w:sz w:val="24"/>
        </w:rPr>
        <w:t>2.1.3. Enregistrement d'un encaissement client et recalcul du solde</w:t>
      </w:r>
    </w:p>
    <w:p>
      <w:pPr>
        <w:spacing w:line="360" w:lineRule="auto" w:before="120" w:after="120"/>
        <w:ind w:firstLine="454"/>
        <w:jc w:val="both"/>
      </w:pPr>
      <w:r>
        <w:rPr>
          <w:rFonts w:ascii="Times New Roman" w:hAnsi="Times New Roman"/>
          <w:b w:val="0"/>
          <w:i w:val="0"/>
          <w:color w:val="000000"/>
          <w:sz w:val="24"/>
        </w:rPr>
        <w:t xml:space="preserve">Ce diagramme illustre le double circuit de règlement : l'encaissement client ajuste le crédit de l'assuré et fait transiter le statut de l'opération vers </w:t>
      </w:r>
      <w:r>
        <w:rPr>
          <w:rFonts w:ascii="Consolas" w:hAnsi="Consolas"/>
          <w:b w:val="0"/>
          <w:i w:val="0"/>
          <w:color w:val="B41414"/>
          <w:sz w:val="22"/>
        </w:rPr>
        <w:t>PARTIEL</w:t>
      </w:r>
      <w:r>
        <w:rPr>
          <w:rFonts w:ascii="Times New Roman" w:hAnsi="Times New Roman"/>
          <w:b w:val="0"/>
          <w:i w:val="0"/>
          <w:color w:val="000000"/>
          <w:sz w:val="24"/>
        </w:rPr>
        <w:t xml:space="preserve"> ou </w:t>
      </w:r>
      <w:r>
        <w:rPr>
          <w:rFonts w:ascii="Consolas" w:hAnsi="Consolas"/>
          <w:b w:val="0"/>
          <w:i w:val="0"/>
          <w:color w:val="B41414"/>
          <w:sz w:val="22"/>
        </w:rPr>
        <w:t>PAYE</w:t>
      </w:r>
      <w:r>
        <w:rPr>
          <w:rFonts w:ascii="Times New Roman" w:hAnsi="Times New Roman"/>
          <w:b w:val="0"/>
          <w:i w:val="0"/>
          <w:color w:val="000000"/>
          <w:sz w:val="24"/>
        </w:rPr>
        <w:t>.</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sequenceDiagram</w:t>
              <w:br/>
              <w:t xml:space="preserve">    autonumber</w:t>
              <w:br/>
              <w:t xml:space="preserve">    actor Comptable as Responsable Comptable</w:t>
              <w:br/>
              <w:t xml:space="preserve">    participant UI as ReglementDetailView</w:t>
              <w:br/>
              <w:t xml:space="preserve">    participant RegCtrl as ReglementController</w:t>
              <w:br/>
              <w:t xml:space="preserve">    participant RegSvc as ReglementService</w:t>
              <w:br/>
              <w:t xml:space="preserve">    participant ClientSvc as ClientService</w:t>
              <w:br/>
              <w:t xml:space="preserve">    participant RegRepo as ReglementRepository</w:t>
              <w:br/>
              <w:t xml:space="preserve">    participant ClientRepo as ClientRepository</w:t>
              <w:br/>
              <w:t xml:space="preserve">    participant DB as MongoDB</w:t>
              <w:br/>
              <w:br/>
              <w:t xml:space="preserve">    Comptable-&gt;&gt;UI: Saisie Paiement Client (Montant, Mode, N° Chèque)</w:t>
              <w:br/>
              <w:t xml:space="preserve">    UI-&gt;&gt;RegCtrl: POST /api/regelements/{id}/payments (PaymentRequest)</w:t>
              <w:br/>
              <w:t xml:space="preserve">    RegCtrl-&gt;&gt;RegSvc: addPayment(id, PaymentRequest)</w:t>
              <w:br/>
              <w:t xml:space="preserve">    RegSvc-&gt;&gt;RegRepo: findById(id)</w:t>
              <w:br/>
              <w:t xml:space="preserve">    RegRepo-&gt;&gt;DB: Query 'regelements'</w:t>
              <w:br/>
              <w:t xml:space="preserve">    DB--&gt;&gt;RegRepo: ReglementEntity</w:t>
              <w:br/>
              <w:t xml:space="preserve">  </w:t>
              <w:br/>
              <w:t xml:space="preserve">    RegSvc-&gt;&gt;RegSvc: payments.add(new Payment)</w:t>
              <w:br/>
              <w:t xml:space="preserve">    RegSvc-&gt;&gt;RegSvc: recalculateStatus() -&gt; PARTIEL / PAYE</w:t>
              <w:br/>
              <w:t xml:space="preserve">    RegSvc-&gt;&gt;RegRepo: save(ReglementEntity)</w:t>
              <w:br/>
              <w:t xml:space="preserve">    RegRepo-&gt;&gt;DB: Update 'regelements'</w:t>
              <w:br/>
              <w:t xml:space="preserve">  </w:t>
              <w:br/>
              <w:t xml:space="preserve">    RegSvc-&gt;&gt;ClientSvc: adjustClientCredit(clientId, -montant)</w:t>
              <w:br/>
              <w:t xml:space="preserve">    ClientSvc-&gt;&gt;ClientRepo: updateCredit(clientId, delta)</w:t>
              <w:br/>
              <w:t xml:space="preserve">    ClientRepo-&gt;&gt;DB: Update 'clients' set credit = credit - montant</w:t>
              <w:br/>
              <w:t xml:space="preserve">  </w:t>
              <w:br/>
              <w:t xml:space="preserve">    RegSvc--&gt;&gt;RegCtrl: ReglementUpdatedDTO</w:t>
              <w:br/>
              <w:t xml:space="preserve">    RegCtrl--&gt;&gt;UI: HTTP 200 OK + JSON</w:t>
              <w:br/>
              <w:t xml:space="preserve">    UI--&gt;&gt;Comptable: Mise à jour visuelle des jauges et statuts</w:t>
            </w:r>
          </w:p>
        </w:tc>
      </w:tr>
    </w:tbl>
    <w:p>
      <w:pPr>
        <w:spacing w:line="276" w:lineRule="auto" w:before="80" w:after="200"/>
        <w:ind w:firstLine="0"/>
        <w:jc w:val="center"/>
      </w:pPr>
      <w:r>
        <w:rPr>
          <w:rFonts w:ascii="Times New Roman" w:hAnsi="Times New Roman"/>
          <w:b/>
          <w:i w:val="0"/>
          <w:color w:val="1E3A8A"/>
          <w:sz w:val="22"/>
        </w:rPr>
        <w:t>Figure 8 : Diagramme de séquences « Enregistrement d'un encaissement client et recalcul du solde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illustre le traitement instantané d'un paiement client (chèque, virement ou espèces) et la mise à jour en direct de son solde débiteur. Pour le responsable financier, cette synchronisation offre une visibilité immédiate sur les créances recouvrées et le reste à payer sans aucun recalcul manuel.</w:t>
            </w:r>
          </w:p>
        </w:tc>
      </w:tr>
    </w:tbl>
    <w:p>
      <w:pPr>
        <w:spacing w:before="40" w:after="80"/>
      </w:pPr>
    </w:p>
    <w:p>
      <w:pPr>
        <w:keepNext/>
        <w:spacing w:before="160" w:after="60"/>
        <w:ind w:firstLine="0"/>
        <w:jc w:val="left"/>
      </w:pPr>
      <w:r>
        <w:rPr>
          <w:rFonts w:ascii="Times New Roman" w:hAnsi="Times New Roman"/>
          <w:b/>
          <w:i/>
          <w:color w:val="475569"/>
          <w:sz w:val="24"/>
        </w:rPr>
        <w:t>2.1.4. Émission de facture et génération de document PDF certifié</w:t>
      </w:r>
    </w:p>
    <w:p>
      <w:pPr>
        <w:spacing w:line="360" w:lineRule="auto" w:before="120" w:after="120"/>
        <w:ind w:firstLine="454"/>
        <w:jc w:val="both"/>
      </w:pPr>
      <w:r>
        <w:rPr>
          <w:rFonts w:ascii="Times New Roman" w:hAnsi="Times New Roman"/>
          <w:b w:val="0"/>
          <w:i w:val="0"/>
          <w:color w:val="000000"/>
          <w:sz w:val="24"/>
        </w:rPr>
        <w:t>Ce diagramme montre le traitement d'émission d'une facture et sa compilation binaire en document PDF officiel via OpenPDF côté serveur.</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sequenceDiagram</w:t>
              <w:br/>
              <w:t xml:space="preserve">    autonumber</w:t>
              <w:br/>
              <w:t xml:space="preserve">    actor User as Gestionnaire / Comptable</w:t>
              <w:br/>
              <w:t xml:space="preserve">    participant UI as InvoicesPage</w:t>
              <w:br/>
              <w:t xml:space="preserve">    participant InvCtrl as InvoiceController</w:t>
              <w:br/>
              <w:t xml:space="preserve">    participant InvSvc as InvoiceService</w:t>
              <w:br/>
              <w:t xml:space="preserve">    participant PdfSvc as InvoicePdfService</w:t>
              <w:br/>
              <w:t xml:space="preserve">    participant InvRepo as InvoiceRepository</w:t>
              <w:br/>
              <w:t xml:space="preserve">    participant DB as MongoDB</w:t>
              <w:br/>
              <w:br/>
              <w:t xml:space="preserve">    User-&gt;&gt;UI: Clic sur "Générer Facture" ou "Télécharger PDF"</w:t>
              <w:br/>
              <w:t xml:space="preserve">    UI-&gt;&gt;InvCtrl: GET /api/invoices/{id}/pdf</w:t>
              <w:br/>
              <w:t xml:space="preserve">    InvCtrl-&gt;&gt;InvSvc: getInvoiceById(id)</w:t>
              <w:br/>
              <w:t xml:space="preserve">    InvSvc-&gt;&gt;InvRepo: findById(id)</w:t>
              <w:br/>
              <w:t xml:space="preserve">    InvRepo-&gt;&gt;DB: Query 'invoices'</w:t>
              <w:br/>
              <w:t xml:space="preserve">    DB--&gt;&gt;InvRepo: InvoiceEntity</w:t>
              <w:br/>
              <w:t xml:space="preserve">    InvRepo--&gt;&gt;InvSvc: Invoice</w:t>
              <w:br/>
              <w:t xml:space="preserve">  </w:t>
              <w:br/>
              <w:t xml:space="preserve">    InvCtrl-&gt;&gt;PdfSvc: generateInvoicePdf(Invoice)</w:t>
              <w:br/>
              <w:t xml:space="preserve">    PdfSvc-&gt;&gt;PdfSvc: Compilation layout OpenPDF (En-têtes, Tableaux HT/TVA/TTC, Signature)</w:t>
              <w:br/>
              <w:t xml:space="preserve">    PdfSvc--&gt;&gt;InvCtrl: byte[] (PDF Stream)</w:t>
              <w:br/>
              <w:t xml:space="preserve">    InvCtrl--&gt;&gt;UI: HTTP 200 OK (Content-Type: application/pdf)</w:t>
              <w:br/>
              <w:t xml:space="preserve">    UI--&gt;&gt;User: Ouverture/Téléchargement du document PDF certifié</w:t>
            </w:r>
          </w:p>
        </w:tc>
      </w:tr>
    </w:tbl>
    <w:p>
      <w:pPr>
        <w:spacing w:line="276" w:lineRule="auto" w:before="80" w:after="200"/>
        <w:ind w:firstLine="0"/>
        <w:jc w:val="center"/>
      </w:pPr>
      <w:r>
        <w:rPr>
          <w:rFonts w:ascii="Times New Roman" w:hAnsi="Times New Roman"/>
          <w:b/>
          <w:i w:val="0"/>
          <w:color w:val="1E3A8A"/>
          <w:sz w:val="22"/>
        </w:rPr>
        <w:t>Figure 9 : Diagramme de séquences « Émission de facture et génération de document PDF certifié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détaille la transformation d'une facture enregistrée en document PDF officiel haute résolution grâce au moteur OpenPDF. Pour le cabinet et ses clients, cela assure la délivrance instantanée d'un justificatif comptable infalsifiable, conforme aux obligations fiscales marocaines.</w:t>
            </w:r>
          </w:p>
        </w:tc>
      </w:tr>
    </w:tbl>
    <w:p>
      <w:pPr>
        <w:spacing w:before="40" w:after="80"/>
      </w:pPr>
    </w:p>
    <w:p>
      <w:pPr>
        <w:keepNext/>
        <w:spacing w:before="160" w:after="60"/>
        <w:ind w:firstLine="0"/>
        <w:jc w:val="left"/>
      </w:pPr>
      <w:r>
        <w:rPr>
          <w:rFonts w:ascii="Times New Roman" w:hAnsi="Times New Roman"/>
          <w:b/>
          <w:i/>
          <w:color w:val="475569"/>
          <w:sz w:val="24"/>
        </w:rPr>
        <w:t>2.1.5. Analyse automatisée d'un sinistre par le moteur IA</w:t>
      </w:r>
    </w:p>
    <w:p>
      <w:pPr>
        <w:spacing w:line="360" w:lineRule="auto" w:before="120" w:after="120"/>
        <w:ind w:firstLine="454"/>
        <w:jc w:val="both"/>
      </w:pPr>
      <w:r>
        <w:rPr>
          <w:rFonts w:ascii="Times New Roman" w:hAnsi="Times New Roman"/>
          <w:b w:val="0"/>
          <w:i w:val="0"/>
          <w:color w:val="000000"/>
          <w:sz w:val="24"/>
        </w:rPr>
        <w:t>Ce diagramme modélise l'évaluation sémantique, le chiffrage financier net, la vérification des règles ACAPS / Loi 17-99 et le calcul du score de fraude.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sequenceDiagram</w:t>
              <w:br/>
              <w:t xml:space="preserve">    autonumber</w:t>
              <w:br/>
              <w:t xml:space="preserve">    actor Gestionnaire as Gestionnaire Sinistres</w:t>
              <w:br/>
              <w:t xml:space="preserve">    participant Modal as ClaimsAnalyzerModal</w:t>
              <w:br/>
              <w:t xml:space="preserve">    participant AiCtrl as AiController</w:t>
              <w:br/>
              <w:t xml:space="preserve">    participant AiSvc as AiClaimAnalysisService</w:t>
              <w:br/>
              <w:t xml:space="preserve">    participant RulesEngine as InsuranceRules &amp; FraudEngine</w:t>
              <w:br/>
              <w:br/>
              <w:t xml:space="preserve">    Gestionnaire-&gt;&gt;Modal: Saisie Déclaration Sinistre + Dommages + Franchise</w:t>
              <w:br/>
              <w:t xml:space="preserve">    Modal-&gt;&gt;AiCtrl: POST /api/ai/claims-analyzer (ClaimAnalysisRequest)</w:t>
              <w:br/>
              <w:t xml:space="preserve">    AiCtrl-&gt;&gt;AiSvc: analyzeClaim(request)</w:t>
              <w:br/>
              <w:t xml:space="preserve">    AiSvc-&gt;&gt;RulesEngine: evaluateRuleEngine(request)</w:t>
              <w:br/>
              <w:t xml:space="preserve">  </w:t>
              <w:br/>
              <w:t xml:space="preserve">    RulesEngine-&gt;&gt;RulesEngine: Détection motifs (Choc isolé, Délit fuite, Déclaration tardive Art. 20)</w:t>
              <w:br/>
              <w:t xml:space="preserve">    RulesEngine-&gt;&gt;RulesEngine: Calcul Score Fraude (0-100) &amp; Niveau (FAIBLE, MOYEN, ÉLEVÉ)</w:t>
              <w:br/>
              <w:t xml:space="preserve">    RulesEngine-&gt;&gt;RulesEngine: Détermination Responsabilité (Barème ACAPS / CISA)</w:t>
              <w:br/>
              <w:t xml:space="preserve">    RulesEngine-&gt;&gt;RulesEngine: Calcul Net Payout = Max(0, Dommages - Franchise)</w:t>
              <w:br/>
              <w:t xml:space="preserve">    RulesEngine-&gt;&gt;RulesEngine: Génération Recommandations d'actions</w:t>
              <w:br/>
              <w:t xml:space="preserve">  </w:t>
              <w:br/>
              <w:t xml:space="preserve">    RulesEngine--&gt;&gt;AiSvc: ClaimAnalysisResponse</w:t>
              <w:br/>
              <w:t xml:space="preserve">    AiSvc--&gt;&gt;AiCtrl: ClaimAnalysisResponse</w:t>
              <w:br/>
              <w:t xml:space="preserve">    AiCtrl--&gt;&gt;Modal: HTTP 200 OK + JSON</w:t>
              <w:br/>
              <w:t xml:space="preserve">    Modal--&gt;&gt;Gestionnaire: Restitution du rapport d'expertise IA interactif</w:t>
            </w:r>
          </w:p>
        </w:tc>
      </w:tr>
    </w:tbl>
    <w:p>
      <w:pPr>
        <w:spacing w:line="276" w:lineRule="auto" w:before="80" w:after="200"/>
        <w:ind w:firstLine="0"/>
        <w:jc w:val="center"/>
      </w:pPr>
      <w:r>
        <w:rPr>
          <w:rFonts w:ascii="Times New Roman" w:hAnsi="Times New Roman"/>
          <w:b/>
          <w:i w:val="0"/>
          <w:color w:val="1E3A8A"/>
          <w:sz w:val="22"/>
        </w:rPr>
        <w:t>Figure 10 : Diagramme de séquences « Analyse automatisée d'un sinistre par le moteur IA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montre l'évaluation experte d'une déclaration d'accident par intelligence artificielle, combinant analyse textuelle, barème conventionnel ACAPS et détection d'anomalies de fraude. Pour le gestionnaire, cet assistant accélère le règlement des assurés de bonne foi tout en bloquant les dossiers suspects.</w:t>
            </w:r>
          </w:p>
        </w:tc>
      </w:tr>
    </w:tbl>
    <w:p>
      <w:pPr>
        <w:spacing w:before="40" w:after="80"/>
      </w:pPr>
    </w:p>
    <w:p>
      <w:pPr>
        <w:keepNext/>
        <w:spacing w:before="200" w:after="80"/>
        <w:ind w:firstLine="0"/>
        <w:jc w:val="left"/>
      </w:pPr>
      <w:r>
        <w:rPr>
          <w:rFonts w:ascii="Times New Roman" w:hAnsi="Times New Roman"/>
          <w:b/>
          <w:color w:val="334155"/>
          <w:sz w:val="24"/>
        </w:rPr>
        <w:t>2.2. Diagrammes de collaboration</w:t>
      </w:r>
    </w:p>
    <w:p>
      <w:pPr>
        <w:spacing w:line="360" w:lineRule="auto" w:before="120" w:after="120"/>
        <w:ind w:firstLine="454"/>
        <w:jc w:val="both"/>
      </w:pPr>
      <w:r>
        <w:rPr>
          <w:rFonts w:ascii="Times New Roman" w:hAnsi="Times New Roman"/>
          <w:b w:val="0"/>
          <w:i w:val="0"/>
          <w:color w:val="000000"/>
          <w:sz w:val="24"/>
        </w:rPr>
        <w:t>Le diagramme de collaboration met l'accent sur l'organisation spatiale des objets lors de la gestion d'un encaissement et de l'ajustement du solde client.</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graph TD</w:t>
              <w:br/>
              <w:t xml:space="preserve">    UI["1: SaisirPaiement(req) / ReglementDetailView"]</w:t>
              <w:br/>
              <w:t xml:space="preserve">    CTRL["2: addPayment(id, req) / ReglementController"]</w:t>
              <w:br/>
              <w:t xml:space="preserve">    SVC["3: processPayment() / ReglementService"]</w:t>
              <w:br/>
              <w:t xml:space="preserve">    REPO_R["4: save() / ReglementRepository"]</w:t>
              <w:br/>
              <w:t xml:space="preserve">    SVC_C["5: adjustCredit() / ClientService"]</w:t>
              <w:br/>
              <w:t xml:space="preserve">    REPO_C["6: updateCredit() / ClientRepository"]</w:t>
              <w:br/>
              <w:t xml:space="preserve">    DB[("7: Persister / MongoDB")]</w:t>
              <w:br/>
              <w:br/>
              <w:t xml:space="preserve">    UI --&gt;|1. Envoi requête| CTRL</w:t>
              <w:br/>
              <w:t xml:space="preserve">    CTRL --&gt;|2. Invoquer métier| SVC</w:t>
              <w:br/>
              <w:t xml:space="preserve">    SVC --&gt;|3. Recalculer statut &amp; persister| REPO_R</w:t>
              <w:br/>
              <w:t xml:space="preserve">    REPO_R --&gt;|4. Écriture document| DB</w:t>
              <w:br/>
              <w:t xml:space="preserve">    SVC --&gt;|5. Déduire créance client| SVC_C</w:t>
              <w:br/>
              <w:t xml:space="preserve">    SVC_C --&gt;|6. Mettre à jour solde| REPO_C</w:t>
              <w:br/>
              <w:t xml:space="preserve">    REPO_C --&gt;|7. Écriture client| DB</w:t>
            </w:r>
          </w:p>
        </w:tc>
      </w:tr>
    </w:tbl>
    <w:p>
      <w:pPr>
        <w:spacing w:line="276" w:lineRule="auto" w:before="80" w:after="200"/>
        <w:ind w:firstLine="0"/>
        <w:jc w:val="center"/>
      </w:pPr>
      <w:r>
        <w:rPr>
          <w:rFonts w:ascii="Times New Roman" w:hAnsi="Times New Roman"/>
          <w:b/>
          <w:i w:val="0"/>
          <w:color w:val="1E3A8A"/>
          <w:sz w:val="22"/>
        </w:rPr>
        <w:t>Figure 11 : Diagramme de collaboration « Gestion des encaissements et mise à jour financière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met en relief l'organisation spatiale et les interactions coordonnées entre les modules lors d'un encaissement. Il assure aux décideurs une parfaite traçabilité des flux financiers, reliant chaque centime perçu au contrat et au compte client correspondant.</w:t>
            </w:r>
          </w:p>
        </w:tc>
      </w:tr>
    </w:tbl>
    <w:p>
      <w:pPr>
        <w:spacing w:before="40" w:after="80"/>
      </w:pPr>
    </w:p>
    <w:p>
      <w:pPr>
        <w:keepNext/>
        <w:spacing w:before="200" w:after="80"/>
        <w:ind w:firstLine="0"/>
        <w:jc w:val="left"/>
      </w:pPr>
      <w:r>
        <w:rPr>
          <w:rFonts w:ascii="Times New Roman" w:hAnsi="Times New Roman"/>
          <w:b/>
          <w:color w:val="334155"/>
          <w:sz w:val="24"/>
        </w:rPr>
        <w:t>2.3. Diagrammes d'états-transitions</w:t>
      </w:r>
    </w:p>
    <w:p>
      <w:pPr>
        <w:spacing w:line="360" w:lineRule="auto" w:before="120" w:after="120"/>
        <w:ind w:firstLine="454"/>
        <w:jc w:val="both"/>
      </w:pPr>
      <w:r>
        <w:rPr>
          <w:rFonts w:ascii="Times New Roman" w:hAnsi="Times New Roman"/>
          <w:b w:val="0"/>
          <w:i w:val="0"/>
          <w:color w:val="000000"/>
          <w:sz w:val="24"/>
        </w:rPr>
        <w:t>Ces diagrammes décrivent le cycle de vie des entités fondamentales du système.</w:t>
      </w:r>
    </w:p>
    <w:p>
      <w:pPr>
        <w:keepNext/>
        <w:spacing w:before="160" w:after="60"/>
        <w:ind w:firstLine="0"/>
        <w:jc w:val="left"/>
      </w:pPr>
      <w:r>
        <w:rPr>
          <w:rFonts w:ascii="Times New Roman" w:hAnsi="Times New Roman"/>
          <w:b/>
          <w:i/>
          <w:color w:val="475569"/>
          <w:sz w:val="24"/>
        </w:rPr>
        <w:t>2.3.1. Cycle de vie du statut de règlement d'une police</w:t>
      </w:r>
    </w:p>
    <w:p>
      <w:pPr>
        <w:spacing w:line="360" w:lineRule="auto" w:before="120" w:after="120"/>
        <w:ind w:firstLine="454"/>
        <w:jc w:val="both"/>
      </w:pPr>
      <w:r>
        <w:rPr>
          <w:rFonts w:ascii="Times New Roman" w:hAnsi="Times New Roman"/>
          <w:b w:val="0"/>
          <w:i w:val="0"/>
          <w:color w:val="000000"/>
          <w:sz w:val="24"/>
        </w:rPr>
        <w:t xml:space="preserve">Une opération d'assurance naît à l'état </w:t>
      </w:r>
      <w:r>
        <w:rPr>
          <w:rFonts w:ascii="Consolas" w:hAnsi="Consolas"/>
          <w:b w:val="0"/>
          <w:i w:val="0"/>
          <w:color w:val="B41414"/>
          <w:sz w:val="22"/>
        </w:rPr>
        <w:t>EN_ATTENTE</w:t>
      </w:r>
      <w:r>
        <w:rPr>
          <w:rFonts w:ascii="Times New Roman" w:hAnsi="Times New Roman"/>
          <w:b w:val="0"/>
          <w:i w:val="0"/>
          <w:color w:val="000000"/>
          <w:sz w:val="24"/>
        </w:rPr>
        <w:t xml:space="preserve">. L'enregistrement d'acomptes la fait transiter à l'état </w:t>
      </w:r>
      <w:r>
        <w:rPr>
          <w:rFonts w:ascii="Consolas" w:hAnsi="Consolas"/>
          <w:b w:val="0"/>
          <w:i w:val="0"/>
          <w:color w:val="B41414"/>
          <w:sz w:val="22"/>
        </w:rPr>
        <w:t>PARTIEL</w:t>
      </w:r>
      <w:r>
        <w:rPr>
          <w:rFonts w:ascii="Times New Roman" w:hAnsi="Times New Roman"/>
          <w:b w:val="0"/>
          <w:i w:val="0"/>
          <w:color w:val="000000"/>
          <w:sz w:val="24"/>
        </w:rPr>
        <w:t xml:space="preserve">, tandis que le versement intégral de la prime déclenche le passage automatique à l'état </w:t>
      </w:r>
      <w:r>
        <w:rPr>
          <w:rFonts w:ascii="Consolas" w:hAnsi="Consolas"/>
          <w:b w:val="0"/>
          <w:i w:val="0"/>
          <w:color w:val="B41414"/>
          <w:sz w:val="22"/>
        </w:rPr>
        <w:t>PAYE</w:t>
      </w:r>
      <w:r>
        <w:rPr>
          <w:rFonts w:ascii="Times New Roman" w:hAnsi="Times New Roman"/>
          <w:b w:val="0"/>
          <w:i w:val="0"/>
          <w:color w:val="000000"/>
          <w:sz w:val="24"/>
        </w:rPr>
        <w:t>.</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stateDiagram-v2</w:t>
              <w:br/>
              <w:t xml:space="preserve">    [*] --&gt; EN_ATTENTE : Création de la police d'assurance</w:t>
              <w:br/>
              <w:t xml:space="preserve">  </w:t>
              <w:br/>
              <w:t xml:space="preserve">    EN_ATTENTE --&gt; PARTIEL : Versement partiel (0 &lt; TotalPaiements &lt; MontantTotal)</w:t>
              <w:br/>
              <w:t xml:space="preserve">    EN_ATTENTE --&gt; PAYE : Paiement intégral direct (TotalPaiements &gt;= MontantTotal)</w:t>
              <w:br/>
              <w:t xml:space="preserve">  </w:t>
              <w:br/>
              <w:t xml:space="preserve">    PARTIEL --&gt; PARTIEL : Nouveaux versements partiels cumulés</w:t>
              <w:br/>
              <w:t xml:space="preserve">    PARTIEL --&gt; PAYE : Solde total réglé (TotalPaiements &gt;= MontantTotal)</w:t>
              <w:br/>
              <w:t xml:space="preserve">  </w:t>
              <w:br/>
              <w:t xml:space="preserve">    PAYE --&gt; PARTIEL : Annulation/Rejet d'un chèque ou réajustement de prime</w:t>
              <w:br/>
              <w:t xml:space="preserve">    PAYE --&gt; [*] : Clôture de l'exercice comptable</w:t>
            </w:r>
          </w:p>
        </w:tc>
      </w:tr>
    </w:tbl>
    <w:p>
      <w:pPr>
        <w:spacing w:line="276" w:lineRule="auto" w:before="80" w:after="200"/>
        <w:ind w:firstLine="0"/>
        <w:jc w:val="center"/>
      </w:pPr>
      <w:r>
        <w:rPr>
          <w:rFonts w:ascii="Times New Roman" w:hAnsi="Times New Roman"/>
          <w:b/>
          <w:i w:val="0"/>
          <w:color w:val="1E3A8A"/>
          <w:sz w:val="22"/>
        </w:rPr>
        <w:t>Figure 12 : Diagramme d'états-transitions du statut de règlement d'une police d'assurance</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schéma résume les étapes de la vie financière d'un contrat d'assurance, depuis son émission en attente jusqu'à son solde complet. Il permet aux équipes opérationnelles d'identifier en un coup d'œil l'état exact des recouvrements sans ambiguïté.</w:t>
            </w:r>
          </w:p>
        </w:tc>
      </w:tr>
    </w:tbl>
    <w:p>
      <w:pPr>
        <w:spacing w:before="40" w:after="80"/>
      </w:pPr>
    </w:p>
    <w:p>
      <w:pPr>
        <w:keepNext/>
        <w:spacing w:before="160" w:after="60"/>
        <w:ind w:firstLine="0"/>
        <w:jc w:val="left"/>
      </w:pPr>
      <w:r>
        <w:rPr>
          <w:rFonts w:ascii="Times New Roman" w:hAnsi="Times New Roman"/>
          <w:b/>
          <w:i/>
          <w:color w:val="475569"/>
          <w:sz w:val="24"/>
        </w:rPr>
        <w:t>2.3.2. Cycle de vie d'une facture</w:t>
      </w:r>
    </w:p>
    <w:p>
      <w:pPr>
        <w:spacing w:line="360" w:lineRule="auto" w:before="120" w:after="120"/>
        <w:ind w:firstLine="454"/>
        <w:jc w:val="both"/>
      </w:pPr>
      <w:r>
        <w:rPr>
          <w:rFonts w:ascii="Times New Roman" w:hAnsi="Times New Roman"/>
          <w:b w:val="0"/>
          <w:i w:val="0"/>
          <w:color w:val="000000"/>
          <w:sz w:val="24"/>
        </w:rPr>
        <w:t xml:space="preserve">Une facture standard ou proforma est créée à l'état </w:t>
      </w:r>
      <w:r>
        <w:rPr>
          <w:rFonts w:ascii="Consolas" w:hAnsi="Consolas"/>
          <w:b w:val="0"/>
          <w:i w:val="0"/>
          <w:color w:val="B41414"/>
          <w:sz w:val="22"/>
        </w:rPr>
        <w:t>UNPAID</w:t>
      </w:r>
      <w:r>
        <w:rPr>
          <w:rFonts w:ascii="Times New Roman" w:hAnsi="Times New Roman"/>
          <w:b w:val="0"/>
          <w:i w:val="0"/>
          <w:color w:val="000000"/>
          <w:sz w:val="24"/>
        </w:rPr>
        <w:t>. Elle évolue selon les encaissements ou peut faire l'objet d'une facture d'avoir rectificative.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stateDiagram-v2</w:t>
              <w:br/>
              <w:t xml:space="preserve">    [*] --&gt; UNPAID : Émission de la Facture</w:t>
              <w:br/>
              <w:t xml:space="preserve">  </w:t>
              <w:br/>
              <w:t xml:space="preserve">    UNPAID --&gt; PARTIAL : Encaissement d'un acompte</w:t>
              <w:br/>
              <w:t xml:space="preserve">    UNPAID --&gt; PAID : Règlement intégral</w:t>
              <w:br/>
              <w:t xml:space="preserve">  </w:t>
              <w:br/>
              <w:t xml:space="preserve">    PARTIAL --&gt; PAID : Règlement du reliquat</w:t>
              <w:br/>
              <w:t xml:space="preserve">  </w:t>
              <w:br/>
              <w:t xml:space="preserve">    UNPAID --&gt; CANCELLED_AVOIR : Annulation par Facture d'Avoir</w:t>
              <w:br/>
              <w:t xml:space="preserve">    PARTIAL --&gt; CANCELLED_AVOIR : Annulation/Régularisation par Avoir</w:t>
              <w:br/>
              <w:t xml:space="preserve">    PAID --&gt; CANCELLED_AVOIR : Remboursement / Avoir émis</w:t>
              <w:br/>
              <w:t xml:space="preserve">  </w:t>
              <w:br/>
              <w:t xml:space="preserve">    PAID --&gt; [*]</w:t>
              <w:br/>
              <w:t xml:space="preserve">    CANCELLED_AVOIR --&gt; [*]</w:t>
            </w:r>
          </w:p>
        </w:tc>
      </w:tr>
    </w:tbl>
    <w:p>
      <w:pPr>
        <w:spacing w:line="276" w:lineRule="auto" w:before="80" w:after="200"/>
        <w:ind w:firstLine="0"/>
        <w:jc w:val="center"/>
      </w:pPr>
      <w:r>
        <w:rPr>
          <w:rFonts w:ascii="Times New Roman" w:hAnsi="Times New Roman"/>
          <w:b/>
          <w:i w:val="0"/>
          <w:color w:val="1E3A8A"/>
          <w:sz w:val="22"/>
        </w:rPr>
        <w:t>Figure 13 : Diagramme d'états-transitions d'une facture</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retrace les statuts possibles d'une facture, garantissant une gestion comptable saine et interdisant toute altération non autorisée d'une pièce émise autrement que par une facture d'avoir.</w:t>
            </w:r>
          </w:p>
        </w:tc>
      </w:tr>
    </w:tbl>
    <w:p>
      <w:pPr>
        <w:spacing w:before="40" w:after="80"/>
      </w:pPr>
    </w:p>
    <w:p>
      <w:pPr>
        <w:keepNext/>
        <w:spacing w:before="200" w:after="80"/>
        <w:ind w:firstLine="0"/>
        <w:jc w:val="left"/>
      </w:pPr>
      <w:r>
        <w:rPr>
          <w:rFonts w:ascii="Times New Roman" w:hAnsi="Times New Roman"/>
          <w:b/>
          <w:color w:val="334155"/>
          <w:sz w:val="24"/>
        </w:rPr>
        <w:t>2.4. Diagrammes d'activité</w:t>
      </w:r>
    </w:p>
    <w:p>
      <w:pPr>
        <w:spacing w:line="360" w:lineRule="auto" w:before="120" w:after="120"/>
        <w:ind w:firstLine="454"/>
        <w:jc w:val="both"/>
      </w:pPr>
      <w:r>
        <w:rPr>
          <w:rFonts w:ascii="Times New Roman" w:hAnsi="Times New Roman"/>
          <w:b w:val="0"/>
          <w:i w:val="0"/>
          <w:color w:val="000000"/>
          <w:sz w:val="24"/>
        </w:rPr>
        <w:t>Les diagrammes d'activité modélisent le cheminement des flux de contrôle et des flux de données à travers les différentes étapes de traitement.</w:t>
      </w:r>
    </w:p>
    <w:p>
      <w:pPr>
        <w:keepNext/>
        <w:spacing w:before="160" w:after="60"/>
        <w:ind w:firstLine="0"/>
        <w:jc w:val="left"/>
      </w:pPr>
      <w:r>
        <w:rPr>
          <w:rFonts w:ascii="Times New Roman" w:hAnsi="Times New Roman"/>
          <w:b/>
          <w:i/>
          <w:color w:val="475569"/>
          <w:sz w:val="24"/>
        </w:rPr>
        <w:t>2.4.1. Processus complet d'émission de police et de facturation</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graph TD</w:t>
              <w:br/>
              <w:t xml:space="preserve">    Start((Début)) --&gt; SaisieClient["Sélection ou création du client (Contrôle ICE/CIN)"]</w:t>
              <w:br/>
              <w:t xml:space="preserve">    SaisieClient --&gt; ChoixBranche{"Catégorie = MARITIME ?"}</w:t>
              <w:br/>
              <w:t xml:space="preserve">  </w:t>
              <w:br/>
              <w:t xml:space="preserve">    ChoixBranche -- Oui --&gt; SaisieMaritime["Saisie N° Ordre, Navire, Certificat &amp; Ventilation Co-assurance"]</w:t>
              <w:br/>
              <w:t xml:space="preserve">    ChoixBranche -- Non --&gt; SaisieStandard["Saisie Police Standard (N° Police, Catégorie, Cie)"]</w:t>
              <w:br/>
              <w:t xml:space="preserve">  </w:t>
              <w:br/>
              <w:t xml:space="preserve">    SaisieMaritime --&gt; SaisiePrimes["Saisie des composantes de prime (Nette, Taxes, Accessoires)"]</w:t>
              <w:br/>
              <w:t xml:space="preserve">    SaisieStandard --&gt; SaisiePrimes</w:t>
              <w:br/>
              <w:t xml:space="preserve">  </w:t>
              <w:br/>
              <w:t xml:space="preserve">    SaisiePrimes --&gt; CalculAuto["Calcul automatique Montant Total &amp; Détermination Exercice"]</w:t>
              <w:br/>
              <w:t xml:space="preserve">    CalculAuto --&gt; PersistProd["Persistance de la Police en Base de Données"]</w:t>
              <w:br/>
              <w:t xml:space="preserve">    PersistProd --&gt; InitReg["Initialisation de la Fiche de Règlement (Statut: EN_ATTENTE)"]</w:t>
              <w:br/>
              <w:t xml:space="preserve">    InitReg --&gt; GenDoc{"Générer Facture ou Devis Proforma ?"}</w:t>
              <w:br/>
              <w:t xml:space="preserve">  </w:t>
              <w:br/>
              <w:t xml:space="preserve">    GenDoc -- Facture Standard --&gt; GenFacture["Création Facture &amp; Numérotation Unique"]</w:t>
              <w:br/>
              <w:t xml:space="preserve">    GenDoc -- Devis Proforma --&gt; GenProforma["Création Devis Proforma"]</w:t>
              <w:br/>
              <w:t xml:space="preserve">    GenDoc -- Plus tard --&gt; Fin((Fin))</w:t>
              <w:br/>
              <w:t xml:space="preserve">  </w:t>
              <w:br/>
              <w:t xml:space="preserve">    GenFacture --&gt; ExportPDF["Compilation &amp; Téléchargement du PDF officiel"]</w:t>
              <w:br/>
              <w:t xml:space="preserve">    GenProforma --&gt; ExportPDF</w:t>
              <w:br/>
              <w:t xml:space="preserve">    ExportPDF --&gt; Fin</w:t>
            </w:r>
          </w:p>
        </w:tc>
      </w:tr>
    </w:tbl>
    <w:p>
      <w:pPr>
        <w:spacing w:line="276" w:lineRule="auto" w:before="80" w:after="200"/>
        <w:ind w:firstLine="0"/>
        <w:jc w:val="center"/>
      </w:pPr>
      <w:r>
        <w:rPr>
          <w:rFonts w:ascii="Times New Roman" w:hAnsi="Times New Roman"/>
          <w:b/>
          <w:i w:val="0"/>
          <w:color w:val="1E3A8A"/>
          <w:sz w:val="22"/>
        </w:rPr>
        <w:t>Figure 14 : Diagramme d'activité « Processus complet d'émission de police et de facturation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cartographie la suite logique d'actions exécutées par le conseiller pour émettre une police et éditer les documents associés. Il simplifie la formation des collaborateurs en offrant un guide métier fluide et sans risque d'omission d'étape.</w:t>
            </w:r>
          </w:p>
        </w:tc>
      </w:tr>
    </w:tbl>
    <w:p>
      <w:pPr>
        <w:spacing w:before="40" w:after="80"/>
      </w:pPr>
    </w:p>
    <w:p>
      <w:pPr>
        <w:keepNext/>
        <w:spacing w:before="160" w:after="60"/>
        <w:ind w:firstLine="0"/>
        <w:jc w:val="left"/>
      </w:pPr>
      <w:r>
        <w:rPr>
          <w:rFonts w:ascii="Times New Roman" w:hAnsi="Times New Roman"/>
          <w:b/>
          <w:i/>
          <w:color w:val="475569"/>
          <w:sz w:val="24"/>
        </w:rPr>
        <w:t>2.4.2. Traitement du double circuit de règlement financier</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graph TD</w:t>
              <w:br/>
              <w:t xml:space="preserve">    A((Début)) --&gt; B["Sélection de l'opération d'assurance"]</w:t>
              <w:br/>
              <w:t xml:space="preserve">    B --&gt; C{"Type de règlement ?"}</w:t>
              <w:br/>
              <w:t xml:space="preserve">  </w:t>
              <w:br/>
              <w:t xml:space="preserve">    C -- Encaissement Client --&gt; D["Saisie date, montant, mode (Chèque, Espèces, Virement)"]</w:t>
              <w:br/>
              <w:t xml:space="preserve">    D --&gt; E["Ajout du paiement à la liste 'payments'"]</w:t>
              <w:br/>
              <w:t xml:space="preserve">    E --&gt; F["Mise à jour créance client : Crédit = Crédit - Montant"]</w:t>
              <w:br/>
              <w:t xml:space="preserve">    F --&gt; G["Recalcul du Statut : Cumul Paiements vs Montant Total"]</w:t>
              <w:br/>
              <w:t xml:space="preserve">    G --&gt; H{"Cumul &gt;= Total ?"}</w:t>
              <w:br/>
              <w:t xml:space="preserve">    H -- Oui --&gt; I["Statut = PAYE"]</w:t>
              <w:br/>
              <w:t xml:space="preserve">    H -- Non --&gt; J{"Cumul &gt; 0 ?"}</w:t>
              <w:br/>
              <w:t xml:space="preserve">    J -- Oui --&gt; K["Statut = PARTIEL"]</w:t>
              <w:br/>
              <w:t xml:space="preserve">    J -- Non --&gt; L["Statut = EN_ATTENTE"]</w:t>
              <w:br/>
              <w:t xml:space="preserve">  </w:t>
              <w:br/>
              <w:t xml:space="preserve">    C -- Décaissement Compagnie CIE --&gt; M["Saisie date, montant reversement, réf bordereau"]</w:t>
              <w:br/>
              <w:t xml:space="preserve">    M --&gt; N["Ajout du paiement à la liste 'paymentscie'"]</w:t>
              <w:br/>
              <w:t xml:space="preserve">    N --&gt; O["Isolement comptable : Aucun impact sur le crédit client"]</w:t>
              <w:br/>
              <w:t xml:space="preserve">  </w:t>
              <w:br/>
              <w:t xml:space="preserve">    I --&gt; P["Sauvegarde en base &amp; Actualisation Dashboard"]</w:t>
              <w:br/>
              <w:t xml:space="preserve">    K --&gt; P</w:t>
              <w:br/>
              <w:t xml:space="preserve">    L --&gt; P</w:t>
              <w:br/>
              <w:t xml:space="preserve">    O --&gt; P</w:t>
              <w:br/>
              <w:t xml:space="preserve">    P --&gt; Q((Fin))</w:t>
            </w:r>
          </w:p>
        </w:tc>
      </w:tr>
    </w:tbl>
    <w:p>
      <w:pPr>
        <w:spacing w:line="276" w:lineRule="auto" w:before="80" w:after="200"/>
        <w:ind w:firstLine="0"/>
        <w:jc w:val="center"/>
      </w:pPr>
      <w:r>
        <w:rPr>
          <w:rFonts w:ascii="Times New Roman" w:hAnsi="Times New Roman"/>
          <w:b/>
          <w:i w:val="0"/>
          <w:color w:val="1E3A8A"/>
          <w:sz w:val="22"/>
        </w:rPr>
        <w:t>Figure 15 : Diagramme d'activité « Traitement du double circuit de règlement financier »</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schématise l'aiguillage étanche entre l'argent encaissé auprès des assurés et les fonds reversés aux compagnies partenaires. Pour le cabinet, cette séparation rigoureuse prévient toute confusion de trésorerie et garantit des bilans comptables irréprochables.</w:t>
            </w:r>
          </w:p>
        </w:tc>
      </w:tr>
    </w:tbl>
    <w:p>
      <w:pPr>
        <w:spacing w:before="40" w:after="80"/>
      </w:pPr>
    </w:p>
    <w:p>
      <w:pPr>
        <w:keepNext/>
        <w:spacing w:before="280" w:after="120"/>
        <w:ind w:firstLine="0"/>
        <w:jc w:val="left"/>
      </w:pPr>
      <w:r>
        <w:rPr>
          <w:rFonts w:ascii="Times New Roman" w:hAnsi="Times New Roman"/>
          <w:b/>
          <w:color w:val="1E293B"/>
          <w:sz w:val="28"/>
        </w:rPr>
        <w:t>3. Modélisation statique</w:t>
      </w:r>
    </w:p>
    <w:p>
      <w:pPr>
        <w:keepNext/>
        <w:spacing w:before="200" w:after="80"/>
        <w:ind w:firstLine="0"/>
        <w:jc w:val="left"/>
      </w:pPr>
      <w:r>
        <w:rPr>
          <w:rFonts w:ascii="Times New Roman" w:hAnsi="Times New Roman"/>
          <w:b/>
          <w:color w:val="334155"/>
          <w:sz w:val="24"/>
        </w:rPr>
        <w:t>3.1. Diagramme de classes</w:t>
      </w:r>
    </w:p>
    <w:p>
      <w:pPr>
        <w:spacing w:line="360" w:lineRule="auto" w:before="120" w:after="120"/>
        <w:ind w:firstLine="454"/>
        <w:jc w:val="both"/>
      </w:pPr>
      <w:r>
        <w:rPr>
          <w:rFonts w:ascii="Times New Roman" w:hAnsi="Times New Roman"/>
          <w:b w:val="0"/>
          <w:i w:val="0"/>
          <w:color w:val="000000"/>
          <w:sz w:val="24"/>
        </w:rPr>
        <w:t>Le diagramme de classes métier modélise la structure statique du système InsurFlow en précisant pour chaque classe ses attributs typés et ses méthodes métier.</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classDiagram</w:t>
              <w:br/>
              <w:t xml:space="preserve">    class User {</w:t>
              <w:br/>
              <w:t xml:space="preserve">        -String id</w:t>
              <w:br/>
              <w:t xml:space="preserve">        -String username</w:t>
              <w:br/>
              <w:t xml:space="preserve">        -String email</w:t>
              <w:br/>
              <w:t xml:space="preserve">        -String password</w:t>
              <w:br/>
              <w:t xml:space="preserve">        -UserRole role</w:t>
              <w:br/>
              <w:t xml:space="preserve">        -boolean enabled</w:t>
              <w:br/>
              <w:t xml:space="preserve">        -LocalDateTime createdAt</w:t>
              <w:br/>
              <w:t xml:space="preserve">        -LocalDateTime updatedAt</w:t>
              <w:br/>
              <w:t xml:space="preserve">        +getAuthorities() Collection</w:t>
              <w:br/>
              <w:t xml:space="preserve">        +isEnabled() boolean</w:t>
              <w:br/>
              <w:t xml:space="preserve">    }</w:t>
              <w:br/>
              <w:br/>
              <w:t xml:space="preserve">    class Client {</w:t>
              <w:br/>
              <w:t xml:space="preserve">        -String id</w:t>
              <w:br/>
              <w:t xml:space="preserve">        -ClientType type</w:t>
              <w:br/>
              <w:t xml:space="preserve">        -String cin</w:t>
              <w:br/>
              <w:t xml:space="preserve">        -String nom</w:t>
              <w:br/>
              <w:t xml:space="preserve">        -String prenom</w:t>
              <w:br/>
              <w:t xml:space="preserve">        -String tel</w:t>
              <w:br/>
              <w:t xml:space="preserve">        -String adresse</w:t>
              <w:br/>
              <w:t xml:space="preserve">        -String doc</w:t>
              <w:br/>
              <w:t xml:space="preserve">        -String ice</w:t>
              <w:br/>
              <w:t xml:space="preserve">        -String identifiantFiscal</w:t>
              <w:br/>
              <w:t xml:space="preserve">        -String rc</w:t>
              <w:br/>
              <w:t xml:space="preserve">        -LocalDateTime dateDebut</w:t>
              <w:br/>
              <w:t xml:space="preserve">        -double budget</w:t>
              <w:br/>
              <w:t xml:space="preserve">        -double credit</w:t>
              <w:br/>
              <w:t xml:space="preserve">        -LocalDateTime createdAt</w:t>
              <w:br/>
              <w:t xml:space="preserve">        -LocalDateTime updatedAt</w:t>
              <w:br/>
              <w:t xml:space="preserve">        +isSociete() boolean</w:t>
              <w:br/>
              <w:t xml:space="preserve">        +validateIce() boolean</w:t>
              <w:br/>
              <w:t xml:space="preserve">        +adjustCredit(double amount) void</w:t>
              <w:br/>
              <w:t xml:space="preserve">    }</w:t>
              <w:br/>
              <w:br/>
              <w:t xml:space="preserve">    class Production {</w:t>
              <w:br/>
              <w:t xml:space="preserve">        -String id</w:t>
              <w:br/>
              <w:t xml:space="preserve">        -String natureOperation</w:t>
              <w:br/>
              <w:t xml:space="preserve">        -String client</w:t>
              <w:br/>
              <w:t xml:space="preserve">        -LocalDate dateEff</w:t>
              <w:br/>
              <w:t xml:space="preserve">        -String moisDem</w:t>
              <w:br/>
              <w:t xml:space="preserve">        -String compagne</w:t>
              <w:br/>
              <w:t xml:space="preserve">        -double tvaRate</w:t>
              <w:br/>
              <w:t xml:space="preserve">        -String category</w:t>
              <w:br/>
              <w:t xml:space="preserve">        -String numpolice</w:t>
              <w:br/>
              <w:t xml:space="preserve">        -String refCie</w:t>
              <w:br/>
              <w:t xml:space="preserve">        -String certificat</w:t>
              <w:br/>
              <w:t xml:space="preserve">        -String navire</w:t>
              <w:br/>
              <w:t xml:space="preserve">        -String ordre</w:t>
              <w:br/>
              <w:t xml:space="preserve">        -List~CompagneRepartition~ repartitions</w:t>
              <w:br/>
              <w:t xml:space="preserve">        -List~ProductionParameter~ parameters</w:t>
              <w:br/>
              <w:t xml:space="preserve">        -LocalDateTime createdAt</w:t>
              <w:br/>
              <w:t xml:space="preserve">        -LocalDateTime updatedAt</w:t>
              <w:br/>
              <w:t xml:space="preserve">        +getMontantTotal() double</w:t>
              <w:br/>
              <w:t xml:space="preserve">        +getExercice() Integer</w:t>
              <w:br/>
              <w:t xml:space="preserve">    }</w:t>
              <w:br/>
              <w:br/>
              <w:t xml:space="preserve">    class ProductionParameter {</w:t>
              <w:br/>
              <w:t xml:space="preserve">        -String name</w:t>
              <w:br/>
              <w:t xml:space="preserve">        -double primes</w:t>
              <w:br/>
              <w:t xml:space="preserve">        -double taxe</w:t>
              <w:br/>
              <w:t xml:space="preserve">        -double taxepara</w:t>
              <w:br/>
              <w:t xml:space="preserve">        -double accessoire</w:t>
              <w:br/>
              <w:t xml:space="preserve">        -double cnpc</w:t>
              <w:br/>
              <w:t xml:space="preserve">        -double commission</w:t>
              <w:br/>
              <w:t xml:space="preserve">        +getTotalLigne() double</w:t>
              <w:br/>
              <w:t xml:space="preserve">    }</w:t>
              <w:br/>
              <w:br/>
              <w:t xml:space="preserve">    class CompagneRepartition {</w:t>
              <w:br/>
              <w:t xml:space="preserve">        -String compagneName</w:t>
              <w:br/>
              <w:t xml:space="preserve">        -double percent</w:t>
              <w:br/>
              <w:t xml:space="preserve">        +calculateShare(double total) double</w:t>
              <w:br/>
              <w:t xml:space="preserve">    }</w:t>
              <w:br/>
              <w:br/>
              <w:t xml:space="preserve">    class Reglement {</w:t>
              <w:br/>
              <w:t xml:space="preserve">        -String id</w:t>
              <w:br/>
              <w:t xml:space="preserve">        -Production production</w:t>
              <w:br/>
              <w:t xml:space="preserve">        -String natureOperation</w:t>
              <w:br/>
              <w:t xml:space="preserve">        -String client</w:t>
              <w:br/>
              <w:t xml:space="preserve">        -LocalDate dateEff</w:t>
              <w:br/>
              <w:t xml:space="preserve">        -String moisDem</w:t>
              <w:br/>
              <w:t xml:space="preserve">        -String compagne</w:t>
              <w:br/>
              <w:t xml:space="preserve">        -String category</w:t>
              <w:br/>
              <w:t xml:space="preserve">        -String numpolice</w:t>
              <w:br/>
              <w:t xml:space="preserve">        -double montantTotal</w:t>
              <w:br/>
              <w:t xml:space="preserve">        -String numFacture</w:t>
              <w:br/>
              <w:t xml:space="preserve">        -List~Payment~ payments</w:t>
              <w:br/>
              <w:t xml:space="preserve">        -List~Payment~ paymentscie</w:t>
              <w:br/>
              <w:t xml:space="preserve">        -ReglementStatus status</w:t>
              <w:br/>
              <w:t xml:space="preserve">        -LocalDateTime createdAt</w:t>
              <w:br/>
              <w:t xml:space="preserve">        -LocalDateTime updatedAt</w:t>
              <w:br/>
              <w:t xml:space="preserve">        +getTotalPaiements() double</w:t>
              <w:br/>
              <w:t xml:space="preserve">        +getTotalPaiementsCie() double</w:t>
              <w:br/>
              <w:t xml:space="preserve">        +getExercice() Integer</w:t>
              <w:br/>
              <w:t xml:space="preserve">        +updateStatus() void</w:t>
              <w:br/>
              <w:t xml:space="preserve">    }</w:t>
              <w:br/>
              <w:br/>
              <w:t xml:space="preserve">    class Payment {</w:t>
              <w:br/>
              <w:t xml:space="preserve">        -PaymentMode mode</w:t>
              <w:br/>
              <w:t xml:space="preserve">        -double montant</w:t>
              <w:br/>
              <w:t xml:space="preserve">        -LocalDate dateEcheance</w:t>
              <w:br/>
              <w:t xml:space="preserve">        -String banque</w:t>
              <w:br/>
              <w:t xml:space="preserve">        -String numero</w:t>
              <w:br/>
              <w:t xml:space="preserve">        -String emporteur</w:t>
              <w:br/>
              <w:t xml:space="preserve">        -LocalDate dateVirement</w:t>
              <w:br/>
              <w:t xml:space="preserve">        -String doc</w:t>
              <w:br/>
              <w:t xml:space="preserve">        -String commentaire</w:t>
              <w:br/>
              <w:t xml:space="preserve">    }</w:t>
              <w:br/>
              <w:br/>
              <w:t xml:space="preserve">    class Invoice {</w:t>
              <w:br/>
              <w:t xml:space="preserve">        -String id</w:t>
              <w:br/>
              <w:t xml:space="preserve">        -String invoiceNumber</w:t>
              <w:br/>
              <w:t xml:space="preserve">        -String operationId</w:t>
              <w:br/>
              <w:t xml:space="preserve">        -String clientName</w:t>
              <w:br/>
              <w:t xml:space="preserve">        -String policyNumber</w:t>
              <w:br/>
              <w:t xml:space="preserve">        -String compagne</w:t>
              <w:br/>
              <w:t xml:space="preserve">        -String category</w:t>
              <w:br/>
              <w:t xml:space="preserve">        -double amountHT</w:t>
              <w:br/>
              <w:t xml:space="preserve">        -double tvaRate</w:t>
              <w:br/>
              <w:t xml:space="preserve">        -double tvaAmount</w:t>
              <w:br/>
              <w:t xml:space="preserve">        -double amountTTC</w:t>
              <w:br/>
              <w:t xml:space="preserve">        -double paidAmount</w:t>
              <w:br/>
              <w:t xml:space="preserve">        -double remainingAmount</w:t>
              <w:br/>
              <w:t xml:space="preserve">        -InvoiceType type</w:t>
              <w:br/>
              <w:t xml:space="preserve">        -InvoiceStatus status</w:t>
              <w:br/>
              <w:t xml:space="preserve">        -LocalDate dueDate</w:t>
              <w:br/>
              <w:t xml:space="preserve">        -String notes</w:t>
              <w:br/>
              <w:t xml:space="preserve">        -LocalDateTime createdAt</w:t>
              <w:br/>
              <w:t xml:space="preserve">        -LocalDateTime updatedAt</w:t>
              <w:br/>
              <w:t xml:space="preserve">        +calculateTotals() void</w:t>
              <w:br/>
              <w:t xml:space="preserve">        +isPaid() boolean</w:t>
              <w:br/>
              <w:t xml:space="preserve">    }</w:t>
              <w:br/>
              <w:br/>
              <w:t xml:space="preserve">    class Notification {</w:t>
              <w:br/>
              <w:t xml:space="preserve">        -String id</w:t>
              <w:br/>
              <w:t xml:space="preserve">        -String title</w:t>
              <w:br/>
              <w:t xml:space="preserve">        -String message</w:t>
              <w:br/>
              <w:t xml:space="preserve">        -NotificationType type</w:t>
              <w:br/>
              <w:t xml:space="preserve">        -NotificationSeverity severity</w:t>
              <w:br/>
              <w:t xml:space="preserve">        -String referenceId</w:t>
              <w:br/>
              <w:t xml:space="preserve">        -String clientName</w:t>
              <w:br/>
              <w:t xml:space="preserve">        -Double amount</w:t>
              <w:br/>
              <w:t xml:space="preserve">        -String policyNumber</w:t>
              <w:br/>
              <w:t xml:space="preserve">        -LocalDate expirationDate</w:t>
              <w:br/>
              <w:t xml:space="preserve">        -boolean isRead</w:t>
              <w:br/>
              <w:t xml:space="preserve">        -LocalDateTime createdAt</w:t>
              <w:br/>
              <w:t xml:space="preserve">    }</w:t>
              <w:br/>
              <w:br/>
              <w:t xml:space="preserve">    class Compagne {</w:t>
              <w:br/>
              <w:t xml:space="preserve">        -String id</w:t>
              <w:br/>
              <w:t xml:space="preserve">        -String compagneName</w:t>
              <w:br/>
              <w:t xml:space="preserve">        -List~CompagneCategory~ categories</w:t>
              <w:br/>
              <w:t xml:space="preserve">    }</w:t>
              <w:br/>
              <w:br/>
              <w:t xml:space="preserve">    class CompagneCategory {</w:t>
              <w:br/>
              <w:t xml:space="preserve">        -String name</w:t>
              <w:br/>
              <w:t xml:space="preserve">        -String indec</w:t>
              <w:br/>
              <w:t xml:space="preserve">        -List~CompagneParameter~ parameters</w:t>
              <w:br/>
              <w:t xml:space="preserve">    }</w:t>
              <w:br/>
              <w:br/>
              <w:t xml:space="preserve">    class CompagneParameter {</w:t>
              <w:br/>
              <w:t xml:space="preserve">        -String name</w:t>
              <w:br/>
              <w:t xml:space="preserve">        -double percent</w:t>
              <w:br/>
              <w:t xml:space="preserve">    }</w:t>
              <w:br/>
              <w:br/>
              <w:t xml:space="preserve">    Production "1" *-- "many" ProductionParameter : contient</w:t>
              <w:br/>
              <w:t xml:space="preserve">    Production "1" *-- "many" CompagneRepartition : ventile</w:t>
              <w:br/>
              <w:t xml:space="preserve">    Reglement "1" o-- "1" Production : référence</w:t>
              <w:br/>
              <w:t xml:space="preserve">    Reglement "1" *-- "many" Payment : encaisse (client)</w:t>
              <w:br/>
              <w:t xml:space="preserve">    Reglement "1" *-- "many" Payment : décaisse (CIE)</w:t>
              <w:br/>
              <w:t xml:space="preserve">    Client "1" &lt;-- "many" Production : souscrit</w:t>
              <w:br/>
              <w:t xml:space="preserve">    Production "1" &lt;-- "0..1" Invoice : facture</w:t>
              <w:br/>
              <w:t xml:space="preserve">    Compagne "1" *-- "many" CompagneCategory : propose</w:t>
            </w:r>
          </w:p>
        </w:tc>
      </w:tr>
    </w:tbl>
    <w:p>
      <w:pPr>
        <w:spacing w:line="276" w:lineRule="auto" w:before="80" w:after="200"/>
        <w:ind w:firstLine="0"/>
        <w:jc w:val="center"/>
      </w:pPr>
      <w:r>
        <w:rPr>
          <w:rFonts w:ascii="Times New Roman" w:hAnsi="Times New Roman"/>
          <w:b/>
          <w:i w:val="0"/>
          <w:color w:val="1E3A8A"/>
          <w:sz w:val="22"/>
        </w:rPr>
        <w:t>Figure 16 : Diagramme de classes métier du système InsurFlow</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structure l'ensemble des concepts métier manipulés par l'ERP (Clients, Polices, Règlements, Factures) et explicite leurs relations. Il constitue le plan d'architecte du logiciel, garantissant une organisation rigoureuse, modulaire et sans risque de redondance de données.</w:t>
            </w:r>
          </w:p>
        </w:tc>
      </w:tr>
    </w:tbl>
    <w:p>
      <w:pPr>
        <w:spacing w:before="40" w:after="80"/>
      </w:pPr>
    </w:p>
    <w:p>
      <w:pPr>
        <w:keepNext/>
        <w:spacing w:before="200" w:after="80"/>
        <w:ind w:firstLine="0"/>
        <w:jc w:val="left"/>
      </w:pPr>
      <w:r>
        <w:rPr>
          <w:rFonts w:ascii="Times New Roman" w:hAnsi="Times New Roman"/>
          <w:b/>
          <w:color w:val="334155"/>
          <w:sz w:val="24"/>
        </w:rPr>
        <w:t>3.2. Modèle relationnel (MLD)</w:t>
      </w:r>
    </w:p>
    <w:p>
      <w:pPr>
        <w:spacing w:line="360" w:lineRule="auto" w:before="120" w:after="120"/>
        <w:ind w:firstLine="454"/>
        <w:jc w:val="both"/>
      </w:pPr>
      <w:r>
        <w:rPr>
          <w:rFonts w:ascii="Times New Roman" w:hAnsi="Times New Roman"/>
          <w:b w:val="0"/>
          <w:i w:val="0"/>
          <w:color w:val="000000"/>
          <w:sz w:val="24"/>
        </w:rPr>
        <w:t>Pour implémenter la persistance au sein de notre base de données orientée documents MongoDB, nous avons appliqué les règles de passage standard de la modélisation objet/relationnelle :</w:t>
      </w:r>
    </w:p>
    <w:p>
      <w:pPr>
        <w:spacing w:line="312" w:lineRule="auto" w:before="40" w:after="60"/>
        <w:ind w:left="567" w:hanging="283"/>
        <w:jc w:val="both"/>
      </w:pPr>
      <w:r>
        <w:rPr>
          <w:rFonts w:ascii="Times New Roman" w:hAnsi="Times New Roman"/>
          <w:b/>
          <w:color w:val="1E293B"/>
          <w:sz w:val="24"/>
        </w:rPr>
        <w:t xml:space="preserve">1.  </w:t>
      </w:r>
      <w:r>
        <w:rPr>
          <w:rFonts w:ascii="Times New Roman" w:hAnsi="Times New Roman"/>
          <w:b/>
          <w:i w:val="0"/>
          <w:color w:val="000000"/>
          <w:sz w:val="24"/>
        </w:rPr>
        <w:t>Règle 1 (Entités principales) :</w:t>
      </w:r>
      <w:r>
        <w:rPr>
          <w:rFonts w:ascii="Times New Roman" w:hAnsi="Times New Roman"/>
          <w:b w:val="0"/>
          <w:i w:val="0"/>
          <w:color w:val="000000"/>
          <w:sz w:val="24"/>
        </w:rPr>
        <w:t xml:space="preserve"> Chaque classe métier autonome (</w:t>
      </w:r>
      <w:r>
        <w:rPr>
          <w:rFonts w:ascii="Consolas" w:hAnsi="Consolas"/>
          <w:b w:val="0"/>
          <w:i w:val="0"/>
          <w:color w:val="B41414"/>
          <w:sz w:val="22"/>
        </w:rPr>
        <w:t>User</w:t>
      </w:r>
      <w:r>
        <w:rPr>
          <w:rFonts w:ascii="Times New Roman" w:hAnsi="Times New Roman"/>
          <w:b w:val="0"/>
          <w:i w:val="0"/>
          <w:color w:val="000000"/>
          <w:sz w:val="24"/>
        </w:rPr>
        <w:t xml:space="preserve">, </w:t>
      </w:r>
      <w:r>
        <w:rPr>
          <w:rFonts w:ascii="Consolas" w:hAnsi="Consolas"/>
          <w:b w:val="0"/>
          <w:i w:val="0"/>
          <w:color w:val="B41414"/>
          <w:sz w:val="22"/>
        </w:rPr>
        <w:t>Client</w:t>
      </w:r>
      <w:r>
        <w:rPr>
          <w:rFonts w:ascii="Times New Roman" w:hAnsi="Times New Roman"/>
          <w:b w:val="0"/>
          <w:i w:val="0"/>
          <w:color w:val="000000"/>
          <w:sz w:val="24"/>
        </w:rPr>
        <w:t xml:space="preserve">, </w:t>
      </w:r>
      <w:r>
        <w:rPr>
          <w:rFonts w:ascii="Consolas" w:hAnsi="Consolas"/>
          <w:b w:val="0"/>
          <w:i w:val="0"/>
          <w:color w:val="B41414"/>
          <w:sz w:val="22"/>
        </w:rPr>
        <w:t>Production</w:t>
      </w:r>
      <w:r>
        <w:rPr>
          <w:rFonts w:ascii="Times New Roman" w:hAnsi="Times New Roman"/>
          <w:b w:val="0"/>
          <w:i w:val="0"/>
          <w:color w:val="000000"/>
          <w:sz w:val="24"/>
        </w:rPr>
        <w:t xml:space="preserve">, </w:t>
      </w:r>
      <w:r>
        <w:rPr>
          <w:rFonts w:ascii="Consolas" w:hAnsi="Consolas"/>
          <w:b w:val="0"/>
          <w:i w:val="0"/>
          <w:color w:val="B41414"/>
          <w:sz w:val="22"/>
        </w:rPr>
        <w:t>Reglement</w:t>
      </w:r>
      <w:r>
        <w:rPr>
          <w:rFonts w:ascii="Times New Roman" w:hAnsi="Times New Roman"/>
          <w:b w:val="0"/>
          <w:i w:val="0"/>
          <w:color w:val="000000"/>
          <w:sz w:val="24"/>
        </w:rPr>
        <w:t xml:space="preserve">, </w:t>
      </w:r>
      <w:r>
        <w:rPr>
          <w:rFonts w:ascii="Consolas" w:hAnsi="Consolas"/>
          <w:b w:val="0"/>
          <w:i w:val="0"/>
          <w:color w:val="B41414"/>
          <w:sz w:val="22"/>
        </w:rPr>
        <w:t>Invoice</w:t>
      </w:r>
      <w:r>
        <w:rPr>
          <w:rFonts w:ascii="Times New Roman" w:hAnsi="Times New Roman"/>
          <w:b w:val="0"/>
          <w:i w:val="0"/>
          <w:color w:val="000000"/>
          <w:sz w:val="24"/>
        </w:rPr>
        <w:t xml:space="preserve">, </w:t>
      </w:r>
      <w:r>
        <w:rPr>
          <w:rFonts w:ascii="Consolas" w:hAnsi="Consolas"/>
          <w:b w:val="0"/>
          <w:i w:val="0"/>
          <w:color w:val="B41414"/>
          <w:sz w:val="22"/>
        </w:rPr>
        <w:t>Compagne</w:t>
      </w:r>
      <w:r>
        <w:rPr>
          <w:rFonts w:ascii="Times New Roman" w:hAnsi="Times New Roman"/>
          <w:b w:val="0"/>
          <w:i w:val="0"/>
          <w:color w:val="000000"/>
          <w:sz w:val="24"/>
        </w:rPr>
        <w:t xml:space="preserve">, </w:t>
      </w:r>
      <w:r>
        <w:rPr>
          <w:rFonts w:ascii="Consolas" w:hAnsi="Consolas"/>
          <w:b w:val="0"/>
          <w:i w:val="0"/>
          <w:color w:val="B41414"/>
          <w:sz w:val="22"/>
        </w:rPr>
        <w:t>Notification</w:t>
      </w:r>
      <w:r>
        <w:rPr>
          <w:rFonts w:ascii="Times New Roman" w:hAnsi="Times New Roman"/>
          <w:b w:val="0"/>
          <w:i w:val="0"/>
          <w:color w:val="000000"/>
          <w:sz w:val="24"/>
        </w:rPr>
        <w:t xml:space="preserve">) devient une collection indépendante identifiée par une clé primaire unique </w:t>
      </w:r>
      <w:r>
        <w:rPr>
          <w:rFonts w:ascii="Consolas" w:hAnsi="Consolas"/>
          <w:b w:val="0"/>
          <w:i w:val="0"/>
          <w:color w:val="B41414"/>
          <w:sz w:val="22"/>
        </w:rPr>
        <w:t>_id</w:t>
      </w:r>
      <w:r>
        <w:rPr>
          <w:rFonts w:ascii="Times New Roman" w:hAnsi="Times New Roman"/>
          <w:b w:val="0"/>
          <w:i w:val="0"/>
          <w:color w:val="000000"/>
          <w:sz w:val="24"/>
        </w:rPr>
        <w:t xml:space="preserve"> de type ObjectId/String.</w:t>
      </w:r>
    </w:p>
    <w:p>
      <w:pPr>
        <w:spacing w:line="312" w:lineRule="auto" w:before="40" w:after="60"/>
        <w:ind w:left="567" w:hanging="283"/>
        <w:jc w:val="both"/>
      </w:pPr>
      <w:r>
        <w:rPr>
          <w:rFonts w:ascii="Times New Roman" w:hAnsi="Times New Roman"/>
          <w:b/>
          <w:color w:val="1E293B"/>
          <w:sz w:val="24"/>
        </w:rPr>
        <w:t xml:space="preserve">2.  </w:t>
      </w:r>
      <w:r>
        <w:rPr>
          <w:rFonts w:ascii="Times New Roman" w:hAnsi="Times New Roman"/>
          <w:b/>
          <w:i w:val="0"/>
          <w:color w:val="000000"/>
          <w:sz w:val="24"/>
        </w:rPr>
        <w:t>Règle 2 (Agrégations fortes / Compositions) :</w:t>
      </w:r>
      <w:r>
        <w:rPr>
          <w:rFonts w:ascii="Times New Roman" w:hAnsi="Times New Roman"/>
          <w:b w:val="0"/>
          <w:i w:val="0"/>
          <w:color w:val="000000"/>
          <w:sz w:val="24"/>
        </w:rPr>
        <w:t xml:space="preserve"> Les classes dépendantes n'ayant pas d'existence autonome en dehors de leur parent (</w:t>
      </w:r>
      <w:r>
        <w:rPr>
          <w:rFonts w:ascii="Consolas" w:hAnsi="Consolas"/>
          <w:b w:val="0"/>
          <w:i w:val="0"/>
          <w:color w:val="B41414"/>
          <w:sz w:val="22"/>
        </w:rPr>
        <w:t>ProductionParameter</w:t>
      </w:r>
      <w:r>
        <w:rPr>
          <w:rFonts w:ascii="Times New Roman" w:hAnsi="Times New Roman"/>
          <w:b w:val="0"/>
          <w:i w:val="0"/>
          <w:color w:val="000000"/>
          <w:sz w:val="24"/>
        </w:rPr>
        <w:t xml:space="preserve">, </w:t>
      </w:r>
      <w:r>
        <w:rPr>
          <w:rFonts w:ascii="Consolas" w:hAnsi="Consolas"/>
          <w:b w:val="0"/>
          <w:i w:val="0"/>
          <w:color w:val="B41414"/>
          <w:sz w:val="22"/>
        </w:rPr>
        <w:t>CompagneRepartition</w:t>
      </w:r>
      <w:r>
        <w:rPr>
          <w:rFonts w:ascii="Times New Roman" w:hAnsi="Times New Roman"/>
          <w:b w:val="0"/>
          <w:i w:val="0"/>
          <w:color w:val="000000"/>
          <w:sz w:val="24"/>
        </w:rPr>
        <w:t xml:space="preserve">, </w:t>
      </w:r>
      <w:r>
        <w:rPr>
          <w:rFonts w:ascii="Consolas" w:hAnsi="Consolas"/>
          <w:b w:val="0"/>
          <w:i w:val="0"/>
          <w:color w:val="B41414"/>
          <w:sz w:val="22"/>
        </w:rPr>
        <w:t>Payment</w:t>
      </w:r>
      <w:r>
        <w:rPr>
          <w:rFonts w:ascii="Times New Roman" w:hAnsi="Times New Roman"/>
          <w:b w:val="0"/>
          <w:i w:val="0"/>
          <w:color w:val="000000"/>
          <w:sz w:val="24"/>
        </w:rPr>
        <w:t>) sont directement imbriquées sous forme de tableaux de sous-documents (</w:t>
      </w:r>
      <w:r>
        <w:rPr>
          <w:rFonts w:ascii="Times New Roman" w:hAnsi="Times New Roman"/>
          <w:b w:val="0"/>
          <w:i/>
          <w:color w:val="000000"/>
          <w:sz w:val="24"/>
        </w:rPr>
        <w:t>embedded documents</w:t>
      </w:r>
      <w:r>
        <w:rPr>
          <w:rFonts w:ascii="Times New Roman" w:hAnsi="Times New Roman"/>
          <w:b w:val="0"/>
          <w:i w:val="0"/>
          <w:color w:val="000000"/>
          <w:sz w:val="24"/>
        </w:rPr>
        <w:t>) au sein de leur document parent (</w:t>
      </w:r>
      <w:r>
        <w:rPr>
          <w:rFonts w:ascii="Consolas" w:hAnsi="Consolas"/>
          <w:b w:val="0"/>
          <w:i w:val="0"/>
          <w:color w:val="B41414"/>
          <w:sz w:val="22"/>
        </w:rPr>
        <w:t>productions</w:t>
      </w:r>
      <w:r>
        <w:rPr>
          <w:rFonts w:ascii="Times New Roman" w:hAnsi="Times New Roman"/>
          <w:b w:val="0"/>
          <w:i w:val="0"/>
          <w:color w:val="000000"/>
          <w:sz w:val="24"/>
        </w:rPr>
        <w:t xml:space="preserve">, </w:t>
      </w:r>
      <w:r>
        <w:rPr>
          <w:rFonts w:ascii="Consolas" w:hAnsi="Consolas"/>
          <w:b w:val="0"/>
          <w:i w:val="0"/>
          <w:color w:val="B41414"/>
          <w:sz w:val="22"/>
        </w:rPr>
        <w:t>regelements</w:t>
      </w:r>
      <w:r>
        <w:rPr>
          <w:rFonts w:ascii="Times New Roman" w:hAnsi="Times New Roman"/>
          <w:b w:val="0"/>
          <w:i w:val="0"/>
          <w:color w:val="000000"/>
          <w:sz w:val="24"/>
        </w:rPr>
        <w:t>). Cela optimise considérablement les performances de lecture en évitant les jointures complexes.</w:t>
      </w:r>
    </w:p>
    <w:p>
      <w:pPr>
        <w:spacing w:line="312" w:lineRule="auto" w:before="40" w:after="60"/>
        <w:ind w:left="567" w:hanging="283"/>
        <w:jc w:val="both"/>
      </w:pPr>
      <w:r>
        <w:rPr>
          <w:rFonts w:ascii="Times New Roman" w:hAnsi="Times New Roman"/>
          <w:b/>
          <w:color w:val="1E293B"/>
          <w:sz w:val="24"/>
        </w:rPr>
        <w:t xml:space="preserve">3.  </w:t>
      </w:r>
      <w:r>
        <w:rPr>
          <w:rFonts w:ascii="Times New Roman" w:hAnsi="Times New Roman"/>
          <w:b/>
          <w:i w:val="0"/>
          <w:color w:val="000000"/>
          <w:sz w:val="24"/>
        </w:rPr>
        <w:t>Règle 3 (Associations faibles) :</w:t>
      </w:r>
      <w:r>
        <w:rPr>
          <w:rFonts w:ascii="Times New Roman" w:hAnsi="Times New Roman"/>
          <w:b w:val="0"/>
          <w:i w:val="0"/>
          <w:color w:val="000000"/>
          <w:sz w:val="24"/>
        </w:rPr>
        <w:t xml:space="preserve"> La relation entre </w:t>
      </w:r>
      <w:r>
        <w:rPr>
          <w:rFonts w:ascii="Consolas" w:hAnsi="Consolas"/>
          <w:b w:val="0"/>
          <w:i w:val="0"/>
          <w:color w:val="B41414"/>
          <w:sz w:val="22"/>
        </w:rPr>
        <w:t>Reglement</w:t>
      </w:r>
      <w:r>
        <w:rPr>
          <w:rFonts w:ascii="Times New Roman" w:hAnsi="Times New Roman"/>
          <w:b w:val="0"/>
          <w:i w:val="0"/>
          <w:color w:val="000000"/>
          <w:sz w:val="24"/>
        </w:rPr>
        <w:t xml:space="preserve"> et </w:t>
      </w:r>
      <w:r>
        <w:rPr>
          <w:rFonts w:ascii="Consolas" w:hAnsi="Consolas"/>
          <w:b w:val="0"/>
          <w:i w:val="0"/>
          <w:color w:val="B41414"/>
          <w:sz w:val="22"/>
        </w:rPr>
        <w:t>Production</w:t>
      </w:r>
      <w:r>
        <w:rPr>
          <w:rFonts w:ascii="Times New Roman" w:hAnsi="Times New Roman"/>
          <w:b w:val="0"/>
          <w:i w:val="0"/>
          <w:color w:val="000000"/>
          <w:sz w:val="24"/>
        </w:rPr>
        <w:t xml:space="preserve"> est matérialisée par une référence d'identifiant (</w:t>
      </w:r>
      <w:r>
        <w:rPr>
          <w:rFonts w:ascii="Consolas" w:hAnsi="Consolas"/>
          <w:b w:val="0"/>
          <w:i w:val="0"/>
          <w:color w:val="B41414"/>
          <w:sz w:val="22"/>
        </w:rPr>
        <w:t>$ref: "productions", $id: "..."</w:t>
      </w:r>
      <w:r>
        <w:rPr>
          <w:rFonts w:ascii="Times New Roman" w:hAnsi="Times New Roman"/>
          <w:b w:val="0"/>
          <w:i w:val="0"/>
          <w:color w:val="000000"/>
          <w:sz w:val="24"/>
        </w:rPr>
        <w:t>), garantissant la cohérence tout en évitant la duplication de structures lourdes.</w:t>
      </w:r>
    </w:p>
    <w:p>
      <w:pPr>
        <w:spacing w:line="312" w:lineRule="auto" w:before="40" w:after="60"/>
        <w:ind w:left="567" w:hanging="283"/>
        <w:jc w:val="both"/>
      </w:pPr>
      <w:r>
        <w:rPr>
          <w:rFonts w:ascii="Times New Roman" w:hAnsi="Times New Roman"/>
          <w:b/>
          <w:color w:val="1E293B"/>
          <w:sz w:val="24"/>
        </w:rPr>
        <w:t xml:space="preserve">4.  </w:t>
      </w:r>
      <w:r>
        <w:rPr>
          <w:rFonts w:ascii="Times New Roman" w:hAnsi="Times New Roman"/>
          <w:b/>
          <w:i w:val="0"/>
          <w:color w:val="000000"/>
          <w:sz w:val="24"/>
        </w:rPr>
        <w:t>Règle 4 (Dénormalisation contrôlée) :</w:t>
      </w:r>
      <w:r>
        <w:rPr>
          <w:rFonts w:ascii="Times New Roman" w:hAnsi="Times New Roman"/>
          <w:b w:val="0"/>
          <w:i w:val="0"/>
          <w:color w:val="000000"/>
          <w:sz w:val="24"/>
        </w:rPr>
        <w:t xml:space="preserve"> Pour maximiser la rapidité d'affichage des listes et des exports analytiques par exercice comptable, certains champs descriptifs (</w:t>
      </w:r>
      <w:r>
        <w:rPr>
          <w:rFonts w:ascii="Consolas" w:hAnsi="Consolas"/>
          <w:b w:val="0"/>
          <w:i w:val="0"/>
          <w:color w:val="B41414"/>
          <w:sz w:val="22"/>
        </w:rPr>
        <w:t>client</w:t>
      </w:r>
      <w:r>
        <w:rPr>
          <w:rFonts w:ascii="Times New Roman" w:hAnsi="Times New Roman"/>
          <w:b w:val="0"/>
          <w:i w:val="0"/>
          <w:color w:val="000000"/>
          <w:sz w:val="24"/>
        </w:rPr>
        <w:t xml:space="preserve">, </w:t>
      </w:r>
      <w:r>
        <w:rPr>
          <w:rFonts w:ascii="Consolas" w:hAnsi="Consolas"/>
          <w:b w:val="0"/>
          <w:i w:val="0"/>
          <w:color w:val="B41414"/>
          <w:sz w:val="22"/>
        </w:rPr>
        <w:t>compagne</w:t>
      </w:r>
      <w:r>
        <w:rPr>
          <w:rFonts w:ascii="Times New Roman" w:hAnsi="Times New Roman"/>
          <w:b w:val="0"/>
          <w:i w:val="0"/>
          <w:color w:val="000000"/>
          <w:sz w:val="24"/>
        </w:rPr>
        <w:t xml:space="preserve">, </w:t>
      </w:r>
      <w:r>
        <w:rPr>
          <w:rFonts w:ascii="Consolas" w:hAnsi="Consolas"/>
          <w:b w:val="0"/>
          <w:i w:val="0"/>
          <w:color w:val="B41414"/>
          <w:sz w:val="22"/>
        </w:rPr>
        <w:t>category</w:t>
      </w:r>
      <w:r>
        <w:rPr>
          <w:rFonts w:ascii="Times New Roman" w:hAnsi="Times New Roman"/>
          <w:b w:val="0"/>
          <w:i w:val="0"/>
          <w:color w:val="000000"/>
          <w:sz w:val="24"/>
        </w:rPr>
        <w:t xml:space="preserve">, </w:t>
      </w:r>
      <w:r>
        <w:rPr>
          <w:rFonts w:ascii="Consolas" w:hAnsi="Consolas"/>
          <w:b w:val="0"/>
          <w:i w:val="0"/>
          <w:color w:val="B41414"/>
          <w:sz w:val="22"/>
        </w:rPr>
        <w:t>numpolice</w:t>
      </w:r>
      <w:r>
        <w:rPr>
          <w:rFonts w:ascii="Times New Roman" w:hAnsi="Times New Roman"/>
          <w:b w:val="0"/>
          <w:i w:val="0"/>
          <w:color w:val="000000"/>
          <w:sz w:val="24"/>
        </w:rPr>
        <w:t xml:space="preserve">, </w:t>
      </w:r>
      <w:r>
        <w:rPr>
          <w:rFonts w:ascii="Consolas" w:hAnsi="Consolas"/>
          <w:b w:val="0"/>
          <w:i w:val="0"/>
          <w:color w:val="B41414"/>
          <w:sz w:val="22"/>
        </w:rPr>
        <w:t>moisDem</w:t>
      </w:r>
      <w:r>
        <w:rPr>
          <w:rFonts w:ascii="Times New Roman" w:hAnsi="Times New Roman"/>
          <w:b w:val="0"/>
          <w:i w:val="0"/>
          <w:color w:val="000000"/>
          <w:sz w:val="24"/>
        </w:rPr>
        <w:t xml:space="preserve">) sont dénormalisés dans la collection </w:t>
      </w:r>
      <w:r>
        <w:rPr>
          <w:rFonts w:ascii="Consolas" w:hAnsi="Consolas"/>
          <w:b w:val="0"/>
          <w:i w:val="0"/>
          <w:color w:val="B41414"/>
          <w:sz w:val="22"/>
        </w:rPr>
        <w:t>regelements</w:t>
      </w:r>
      <w:r>
        <w:rPr>
          <w:rFonts w:ascii="Times New Roman" w:hAnsi="Times New Roman"/>
          <w:b w:val="0"/>
          <w:i w:val="0"/>
          <w:color w:val="000000"/>
          <w:sz w:val="24"/>
        </w:rPr>
        <w:t>.</w:t>
      </w:r>
    </w:p>
    <w:p>
      <w:pPr>
        <w:keepNext/>
        <w:spacing w:before="160" w:after="60"/>
        <w:ind w:firstLine="0"/>
        <w:jc w:val="left"/>
      </w:pPr>
      <w:r>
        <w:rPr>
          <w:rFonts w:ascii="Times New Roman" w:hAnsi="Times New Roman"/>
          <w:b/>
          <w:i/>
          <w:color w:val="475569"/>
          <w:sz w:val="24"/>
        </w:rPr>
        <w:t>Schéma formel du Modèle Logique de Données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USERS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username, email, password, role, enabled, createdAt, updatedAt)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CLIENTS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type, cin, nom, prenom, tel, adresse, doc, ice, if, rc, dateDebut, budget, credit, createdAt, updatedAt)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PRODUCTIONS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natureOperation, #client, dateEff, moisDem, compagne, tvaRate, category, numpolice, refCie, certificat, navire, ordre, repartitions[ ], parameters[ ], createdAt, updatedAt)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REGELEMENTS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#production_id, natureOperation, client, dateEff, moisDem, compagne, category, numpolice, montantTotal, numFacture, payments[ ], paymentscie[ ], status, createdAt, updatedAt)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INVOICES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invoiceNumber, #operationId, clientName, policyNumber, compagne, category, amountHT, tvaRate, tvaAmount, amountTTC, paidAmount, remainingAmount, type, status, dueDate, notes, createdAt, updatedAt)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COMPAGNES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compagneName, categories[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NOTIFICATIONS</w:t>
      </w:r>
      <w:r>
        <w:rPr>
          <w:rFonts w:ascii="Times New Roman" w:hAnsi="Times New Roman"/>
          <w:b w:val="0"/>
          <w:i w:val="0"/>
          <w:color w:val="000000"/>
          <w:sz w:val="24"/>
        </w:rPr>
        <w:t xml:space="preserve"> (</w:t>
      </w:r>
      <w:r>
        <w:rPr>
          <w:rFonts w:ascii="Times New Roman" w:hAnsi="Times New Roman"/>
          <w:b/>
          <w:i w:val="0"/>
          <w:color w:val="000000"/>
          <w:sz w:val="24"/>
          <w:u w:val="single"/>
        </w:rPr>
        <w:t>id</w:t>
      </w:r>
      <w:r>
        <w:rPr>
          <w:rFonts w:ascii="Times New Roman" w:hAnsi="Times New Roman"/>
          <w:b w:val="0"/>
          <w:i w:val="0"/>
          <w:color w:val="000000"/>
          <w:sz w:val="24"/>
        </w:rPr>
        <w:t>, title, message, type, severity, referenceId, clientName, amount, policyNumber, expirationDate, isRead, createdAt)</w:t>
      </w:r>
    </w:p>
    <w:p>
      <w:pPr>
        <w:keepNext/>
        <w:spacing w:before="200" w:after="80"/>
        <w:ind w:firstLine="0"/>
        <w:jc w:val="left"/>
      </w:pPr>
      <w:r>
        <w:rPr>
          <w:rFonts w:ascii="Times New Roman" w:hAnsi="Times New Roman"/>
          <w:b/>
          <w:color w:val="334155"/>
          <w:sz w:val="24"/>
        </w:rPr>
        <w:t>3.3. Dictionnaire de données</w:t>
      </w:r>
    </w:p>
    <w:p>
      <w:pPr>
        <w:spacing w:line="360" w:lineRule="auto" w:before="120" w:after="120"/>
        <w:ind w:firstLine="454"/>
        <w:jc w:val="both"/>
      </w:pPr>
      <w:r>
        <w:rPr>
          <w:rFonts w:ascii="Times New Roman" w:hAnsi="Times New Roman"/>
          <w:b w:val="0"/>
          <w:i w:val="0"/>
          <w:color w:val="000000"/>
          <w:sz w:val="24"/>
        </w:rPr>
        <w:t>Le tableau 7 dresse le dictionnaire de données complet du système InsurFlow conformément aux directives du modèle EMSI.</w:t>
      </w:r>
    </w:p>
    <w:p>
      <w:pPr>
        <w:spacing w:line="276" w:lineRule="auto" w:before="200" w:after="80"/>
        <w:ind w:firstLine="0"/>
        <w:jc w:val="center"/>
      </w:pPr>
      <w:r>
        <w:rPr>
          <w:rFonts w:ascii="Times New Roman" w:hAnsi="Times New Roman"/>
          <w:b/>
          <w:i w:val="0"/>
          <w:color w:val="1E3A8A"/>
          <w:sz w:val="22"/>
        </w:rPr>
        <w:t>Tableau 7 : Dictionnaire de données du système InsurFlow</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cantSplit/>
          <w:tblHeader/>
        </w:trPr>
        <w:tc>
          <w:tcPr>
            <w:tcW w:type="dxa" w:w="1247"/>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15"/>
              </w:rPr>
              <w:t>Nom de la colonne</w:t>
            </w:r>
          </w:p>
        </w:tc>
        <w:tc>
          <w:tcPr>
            <w:tcW w:type="dxa" w:w="1077"/>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Type de données</w:t>
            </w:r>
          </w:p>
        </w:tc>
        <w:tc>
          <w:tcPr>
            <w:tcW w:type="dxa" w:w="510"/>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Taille</w:t>
            </w:r>
          </w:p>
        </w:tc>
        <w:tc>
          <w:tcPr>
            <w:tcW w:type="dxa" w:w="680"/>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Obligatoire (Oui/Non)</w:t>
            </w:r>
          </w:p>
        </w:tc>
        <w:tc>
          <w:tcPr>
            <w:tcW w:type="dxa" w:w="850"/>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Valeur par défaut</w:t>
            </w:r>
          </w:p>
        </w:tc>
        <w:tc>
          <w:tcPr>
            <w:tcW w:type="dxa" w:w="1587"/>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Valeurs autorisées</w:t>
            </w:r>
          </w:p>
        </w:tc>
        <w:tc>
          <w:tcPr>
            <w:tcW w:type="dxa" w:w="624"/>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Clé Primaire</w:t>
            </w:r>
          </w:p>
        </w:tc>
        <w:tc>
          <w:tcPr>
            <w:tcW w:type="dxa" w:w="624"/>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Clé Étrangère</w:t>
            </w:r>
          </w:p>
        </w:tc>
        <w:tc>
          <w:tcPr>
            <w:tcW w:type="dxa" w:w="1304"/>
            <w:vAlign w:val="center"/>
            <w:tcMar>
              <w:top w:w="50" w:type="dxa"/>
              <w:bottom w:w="50" w:type="dxa"/>
              <w:left w:w="40" w:type="dxa"/>
              <w:right w:w="4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5"/>
              </w:rPr>
              <w:t>Nom de la Table / Collection</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id</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(ObjectId)</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24</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Auto-généré</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Hash hexadécimal</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username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Chaîne unique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email</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100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Format email valide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password</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60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Hash BCrypt (</w:t>
            </w:r>
            <w:r>
              <w:rPr>
                <w:rFonts w:ascii="Cambria Math" w:hAnsi="Cambria Math"/>
                <w:b w:val="0"/>
                <w:i/>
                <w:color w:val="0F172A"/>
                <w:sz w:val="15"/>
              </w:rPr>
              <w:t>2a</w:t>
            </w:r>
            <w:r>
              <w:rPr>
                <w:rFonts w:ascii="Times New Roman" w:hAnsi="Times New Roman"/>
                <w:b w:val="0"/>
                <w:i w:val="0"/>
                <w:color w:val="0F172A"/>
                <w:sz w:val="15"/>
              </w:rPr>
              <w:t>)</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role</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Enum / String</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ADMIN</w:t>
            </w:r>
            <w:r>
              <w:rPr>
                <w:rFonts w:ascii="Times New Roman" w:hAnsi="Times New Roman"/>
                <w:b w:val="0"/>
                <w:i w:val="0"/>
                <w:color w:val="0F172A"/>
                <w:sz w:val="15"/>
              </w:rPr>
              <w:t xml:space="preserve">, </w:t>
            </w:r>
            <w:r>
              <w:rPr>
                <w:rFonts w:ascii="Consolas" w:hAnsi="Consolas"/>
                <w:b w:val="0"/>
                <w:i w:val="0"/>
                <w:color w:val="B41414"/>
                <w:sz w:val="15"/>
              </w:rPr>
              <w:t>USER</w:t>
            </w:r>
            <w:r>
              <w:rPr>
                <w:rFonts w:ascii="Times New Roman" w:hAnsi="Times New Roman"/>
                <w:b w:val="0"/>
                <w:i w:val="0"/>
                <w:color w:val="0F172A"/>
                <w:sz w:val="15"/>
              </w:rPr>
              <w:t xml:space="preserve">, </w:t>
            </w:r>
            <w:r>
              <w:rPr>
                <w:rFonts w:ascii="Consolas" w:hAnsi="Consolas"/>
                <w:b w:val="0"/>
                <w:i w:val="0"/>
                <w:color w:val="B41414"/>
                <w:sz w:val="15"/>
              </w:rPr>
              <w:t>OPERATOR</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enabled</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Boolean</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true</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true</w:t>
            </w:r>
            <w:r>
              <w:rPr>
                <w:rFonts w:ascii="Times New Roman" w:hAnsi="Times New Roman"/>
                <w:b w:val="0"/>
                <w:i w:val="0"/>
                <w:color w:val="0F172A"/>
                <w:sz w:val="15"/>
              </w:rPr>
              <w:t xml:space="preserve">, </w:t>
            </w:r>
            <w:r>
              <w:rPr>
                <w:rFonts w:ascii="Consolas" w:hAnsi="Consolas"/>
                <w:b w:val="0"/>
                <w:i w:val="0"/>
                <w:color w:val="B41414"/>
                <w:sz w:val="15"/>
              </w:rPr>
              <w:t>false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users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id</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(ObjectId)</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24</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Auto-généré</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Hash hexadécimal</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type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Enum / String</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particulier</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particulier</w:t>
            </w:r>
            <w:r>
              <w:rPr>
                <w:rFonts w:ascii="Times New Roman" w:hAnsi="Times New Roman"/>
                <w:b w:val="0"/>
                <w:i w:val="0"/>
                <w:color w:val="0F172A"/>
                <w:sz w:val="15"/>
              </w:rPr>
              <w:t xml:space="preserve">, </w:t>
            </w:r>
            <w:r>
              <w:rPr>
                <w:rFonts w:ascii="Consolas" w:hAnsi="Consolas"/>
                <w:b w:val="0"/>
                <w:i w:val="0"/>
                <w:color w:val="B41414"/>
                <w:sz w:val="15"/>
              </w:rPr>
              <w:t>societe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cin</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Alphanumérique (ex:</w:t>
            </w:r>
            <w:r>
              <w:rPr>
                <w:rFonts w:ascii="Consolas" w:hAnsi="Consolas"/>
                <w:b w:val="0"/>
                <w:i w:val="0"/>
                <w:color w:val="B41414"/>
                <w:sz w:val="15"/>
              </w:rPr>
              <w:t>AB123456</w:t>
            </w:r>
            <w:r>
              <w:rPr>
                <w:rFonts w:ascii="Times New Roman" w:hAnsi="Times New Roman"/>
                <w:b w:val="0"/>
                <w:i w:val="0"/>
                <w:color w:val="0F172A"/>
                <w:sz w:val="15"/>
              </w:rPr>
              <w:t>)</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nom</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150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Chaîne texte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prenom</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100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Chaîne texte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tel</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30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Format téléphonique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adresse</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(Text)</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255</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Chaîne texte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ice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15</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Exactement 15 chiffres</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if</w:t>
            </w:r>
            <w:r>
              <w:rPr>
                <w:rFonts w:ascii="Times New Roman" w:hAnsi="Times New Roman"/>
                <w:b w:val="0"/>
                <w:i w:val="0"/>
                <w:color w:val="0F172A"/>
                <w:sz w:val="15"/>
              </w:rPr>
              <w:t xml:space="preserve"> (identifiantFiscal)</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30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Alphanumérique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rc</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30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Alphanumérique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budget</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Positif</w:t>
            </w:r>
            <w:r>
              <w:rPr>
                <w:rFonts w:ascii="Cambria Math" w:hAnsi="Cambria Math"/>
                <w:b w:val="0"/>
                <w:i/>
                <w:color w:val="0F172A"/>
                <w:sz w:val="15"/>
              </w:rPr>
              <w:t>\ge 0</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credit</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Réel (créance due)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doc</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255</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Chemin fichier numérisé</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clients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id</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(ObjectId)</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24</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Auto-généré</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Hash hexadécimal</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natureOperation</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Affaire Nouvelle</w:t>
            </w:r>
            <w:r>
              <w:rPr>
                <w:rFonts w:ascii="Times New Roman" w:hAnsi="Times New Roman"/>
                <w:b w:val="0"/>
                <w:i w:val="0"/>
                <w:color w:val="0F172A"/>
                <w:sz w:val="15"/>
              </w:rPr>
              <w:t xml:space="preserve">, </w:t>
            </w:r>
            <w:r>
              <w:rPr>
                <w:rFonts w:ascii="Consolas" w:hAnsi="Consolas"/>
                <w:b w:val="0"/>
                <w:i w:val="0"/>
                <w:color w:val="B41414"/>
                <w:sz w:val="15"/>
              </w:rPr>
              <w:t>Avenant</w:t>
            </w:r>
            <w:r>
              <w:rPr>
                <w:rFonts w:ascii="Times New Roman" w:hAnsi="Times New Roman"/>
                <w:b w:val="0"/>
                <w:i w:val="0"/>
                <w:color w:val="0F172A"/>
                <w:sz w:val="15"/>
              </w:rPr>
              <w:t>, etc.</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client</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150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Nom du client</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dateEff</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Date (LocalDate)</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Format</w:t>
            </w:r>
            <w:r>
              <w:rPr>
                <w:rFonts w:ascii="Consolas" w:hAnsi="Consolas"/>
                <w:b w:val="0"/>
                <w:i w:val="0"/>
                <w:color w:val="B41414"/>
                <w:sz w:val="15"/>
              </w:rPr>
              <w:t>AAAA-MM-JJ</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moisDem</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7</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Format</w:t>
            </w:r>
            <w:r>
              <w:rPr>
                <w:rFonts w:ascii="Consolas" w:hAnsi="Consolas"/>
                <w:b w:val="0"/>
                <w:i w:val="0"/>
                <w:color w:val="B41414"/>
                <w:sz w:val="15"/>
              </w:rPr>
              <w:t>AAAA-MM</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compagne</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100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Nom compagnie partenaire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tvaRate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r>
              <w:rPr>
                <w:rFonts w:ascii="Times New Roman" w:hAnsi="Times New Roman"/>
                <w:b w:val="0"/>
                <w:i w:val="0"/>
                <w:color w:val="0F172A"/>
                <w:sz w:val="15"/>
              </w:rPr>
              <w:t xml:space="preserve">, </w:t>
            </w:r>
            <w:r>
              <w:rPr>
                <w:rFonts w:ascii="Consolas" w:hAnsi="Consolas"/>
                <w:b w:val="0"/>
                <w:i w:val="0"/>
                <w:color w:val="B41414"/>
                <w:sz w:val="15"/>
              </w:rPr>
              <w:t>14.0</w:t>
            </w:r>
            <w:r>
              <w:rPr>
                <w:rFonts w:ascii="Times New Roman" w:hAnsi="Times New Roman"/>
                <w:b w:val="0"/>
                <w:i w:val="0"/>
                <w:color w:val="0F172A"/>
                <w:sz w:val="15"/>
              </w:rPr>
              <w:t xml:space="preserve">, </w:t>
            </w:r>
            <w:r>
              <w:rPr>
                <w:rFonts w:ascii="Consolas" w:hAnsi="Consolas"/>
                <w:b w:val="0"/>
                <w:i w:val="0"/>
                <w:color w:val="B41414"/>
                <w:sz w:val="15"/>
              </w:rPr>
              <w:t>20.0</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category</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AUTOMOBILE</w:t>
            </w:r>
            <w:r>
              <w:rPr>
                <w:rFonts w:ascii="Times New Roman" w:hAnsi="Times New Roman"/>
                <w:b w:val="0"/>
                <w:i w:val="0"/>
                <w:color w:val="0F172A"/>
                <w:sz w:val="15"/>
              </w:rPr>
              <w:t xml:space="preserve">, </w:t>
            </w:r>
            <w:r>
              <w:rPr>
                <w:rFonts w:ascii="Consolas" w:hAnsi="Consolas"/>
                <w:b w:val="0"/>
                <w:i w:val="0"/>
                <w:color w:val="B41414"/>
                <w:sz w:val="15"/>
              </w:rPr>
              <w:t>MARITIME</w:t>
            </w:r>
            <w:r>
              <w:rPr>
                <w:rFonts w:ascii="Times New Roman" w:hAnsi="Times New Roman"/>
                <w:b w:val="0"/>
                <w:i w:val="0"/>
                <w:color w:val="0F172A"/>
                <w:sz w:val="15"/>
              </w:rPr>
              <w:t>, etc.</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numpolice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Numéro de contrat unique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ordre</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 ordre interne (Maritime)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navire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100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Nom du bâtiment</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certificat</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 certificat maritime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refCie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Référence dossier CIE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repartitions</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Array (JSON)</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Liste</w:t>
            </w:r>
            <w:r>
              <w:rPr>
                <w:rFonts w:ascii="Consolas" w:hAnsi="Consolas"/>
                <w:b w:val="0"/>
                <w:i w:val="0"/>
                <w:color w:val="B41414"/>
                <w:sz w:val="15"/>
              </w:rPr>
              <w:t>{compagneName, percent}</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parameters</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Array (JSON)</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Liste</w:t>
            </w:r>
            <w:r>
              <w:rPr>
                <w:rFonts w:ascii="Consolas" w:hAnsi="Consolas"/>
                <w:b w:val="0"/>
                <w:i w:val="0"/>
                <w:color w:val="B41414"/>
                <w:sz w:val="15"/>
              </w:rPr>
              <w:t>{primes, taxe, ...}</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productions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id</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(ObjectId)</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24</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Auto-généré</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Hash hexadécimal</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production</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DBRef (ObjectId)</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24</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Identifiant de la production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montantTotal</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Montant total TTC de la police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numFacture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null</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Numéro de facture officielle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payments</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Array (JSON)</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Liste des versements client</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paymentscie</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Array (JSON)</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Liste des règlements CIE</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status</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Enum / String</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EN_ATTENTE</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EN_ATTENTE</w:t>
            </w:r>
            <w:r>
              <w:rPr>
                <w:rFonts w:ascii="Times New Roman" w:hAnsi="Times New Roman"/>
                <w:b w:val="0"/>
                <w:i w:val="0"/>
                <w:color w:val="0F172A"/>
                <w:sz w:val="15"/>
              </w:rPr>
              <w:t xml:space="preserve">, </w:t>
            </w:r>
            <w:r>
              <w:rPr>
                <w:rFonts w:ascii="Consolas" w:hAnsi="Consolas"/>
                <w:b w:val="0"/>
                <w:i w:val="0"/>
                <w:color w:val="B41414"/>
                <w:sz w:val="15"/>
              </w:rPr>
              <w:t>PARTIEL</w:t>
            </w:r>
            <w:r>
              <w:rPr>
                <w:rFonts w:ascii="Times New Roman" w:hAnsi="Times New Roman"/>
                <w:b w:val="0"/>
                <w:i w:val="0"/>
                <w:color w:val="0F172A"/>
                <w:sz w:val="15"/>
              </w:rPr>
              <w:t xml:space="preserve">, </w:t>
            </w:r>
            <w:r>
              <w:rPr>
                <w:rFonts w:ascii="Consolas" w:hAnsi="Consolas"/>
                <w:b w:val="0"/>
                <w:i w:val="0"/>
                <w:color w:val="B41414"/>
                <w:sz w:val="15"/>
              </w:rPr>
              <w:t>PAYE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regelements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id</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(ObjectId)</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24</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Auto-généré</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Hash hexadécimal</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invoiceNumber</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String (Varchar)</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50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Unique (ex:</w:t>
            </w:r>
            <w:r>
              <w:rPr>
                <w:rFonts w:ascii="Consolas" w:hAnsi="Consolas"/>
                <w:b w:val="0"/>
                <w:i w:val="0"/>
                <w:color w:val="B41414"/>
                <w:sz w:val="15"/>
              </w:rPr>
              <w:t>FAC-2026-001</w:t>
            </w:r>
            <w:r>
              <w:rPr>
                <w:rFonts w:ascii="Times New Roman" w:hAnsi="Times New Roman"/>
                <w:b w:val="0"/>
                <w:i w:val="0"/>
                <w:color w:val="0F172A"/>
                <w:sz w:val="15"/>
              </w:rPr>
              <w:t>)</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amountHT</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Montant Hors Taxes</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tvaAmount</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Montant de la TVA calculée</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amountTTC</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Montant Toutes Taxes Comprises</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paidAmount</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Cumul des montants réglés</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remainingAmount</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Double</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8</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0.0</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Reliquat restant à payer</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type</w:t>
            </w:r>
          </w:p>
        </w:tc>
        <w:tc>
          <w:tcPr>
            <w:tcW w:type="dxa" w:w="107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Enum / String</w:t>
            </w:r>
          </w:p>
        </w:tc>
        <w:tc>
          <w:tcPr>
            <w:tcW w:type="dxa" w:w="51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20</w:t>
            </w:r>
          </w:p>
        </w:tc>
        <w:tc>
          <w:tcPr>
            <w:tcW w:type="dxa" w:w="68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STANDARD</w:t>
            </w:r>
          </w:p>
        </w:tc>
        <w:tc>
          <w:tcPr>
            <w:tcW w:type="dxa" w:w="1587"/>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STANDARD</w:t>
            </w:r>
            <w:r>
              <w:rPr>
                <w:rFonts w:ascii="Times New Roman" w:hAnsi="Times New Roman"/>
                <w:b w:val="0"/>
                <w:i w:val="0"/>
                <w:color w:val="0F172A"/>
                <w:sz w:val="15"/>
              </w:rPr>
              <w:t xml:space="preserve">, </w:t>
            </w:r>
            <w:r>
              <w:rPr>
                <w:rFonts w:ascii="Consolas" w:hAnsi="Consolas"/>
                <w:b w:val="0"/>
                <w:i w:val="0"/>
                <w:color w:val="B41414"/>
                <w:sz w:val="15"/>
              </w:rPr>
              <w:t>PROFORMA</w:t>
            </w:r>
            <w:r>
              <w:rPr>
                <w:rFonts w:ascii="Times New Roman" w:hAnsi="Times New Roman"/>
                <w:b w:val="0"/>
                <w:i w:val="0"/>
                <w:color w:val="0F172A"/>
                <w:sz w:val="15"/>
              </w:rPr>
              <w:t xml:space="preserve">, </w:t>
            </w:r>
            <w:r>
              <w:rPr>
                <w:rFonts w:ascii="Consolas" w:hAnsi="Consolas"/>
                <w:b w:val="0"/>
                <w:i w:val="0"/>
                <w:color w:val="B41414"/>
                <w:sz w:val="15"/>
              </w:rPr>
              <w:t>AVOIR</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r>
        <w:trPr>
          <w:cantSplit/>
        </w:trPr>
        <w:tc>
          <w:tcPr>
            <w:tcW w:type="dxa" w:w="124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5"/>
              </w:rPr>
              <w:t>status</w:t>
            </w:r>
          </w:p>
        </w:tc>
        <w:tc>
          <w:tcPr>
            <w:tcW w:type="dxa" w:w="107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5"/>
              </w:rPr>
              <w:t>Enum / String</w:t>
            </w:r>
          </w:p>
        </w:tc>
        <w:tc>
          <w:tcPr>
            <w:tcW w:type="dxa" w:w="51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20</w:t>
            </w:r>
          </w:p>
        </w:tc>
        <w:tc>
          <w:tcPr>
            <w:tcW w:type="dxa" w:w="68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Oui</w:t>
            </w:r>
          </w:p>
        </w:tc>
        <w:tc>
          <w:tcPr>
            <w:tcW w:type="dxa" w:w="850"/>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UNPAID</w:t>
            </w:r>
          </w:p>
        </w:tc>
        <w:tc>
          <w:tcPr>
            <w:tcW w:type="dxa" w:w="1587"/>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UNPAID</w:t>
            </w:r>
            <w:r>
              <w:rPr>
                <w:rFonts w:ascii="Times New Roman" w:hAnsi="Times New Roman"/>
                <w:b w:val="0"/>
                <w:i w:val="0"/>
                <w:color w:val="0F172A"/>
                <w:sz w:val="15"/>
              </w:rPr>
              <w:t xml:space="preserve">, </w:t>
            </w:r>
            <w:r>
              <w:rPr>
                <w:rFonts w:ascii="Consolas" w:hAnsi="Consolas"/>
                <w:b w:val="0"/>
                <w:i w:val="0"/>
                <w:color w:val="B41414"/>
                <w:sz w:val="15"/>
              </w:rPr>
              <w:t>PARTIAL</w:t>
            </w:r>
            <w:r>
              <w:rPr>
                <w:rFonts w:ascii="Times New Roman" w:hAnsi="Times New Roman"/>
                <w:b w:val="0"/>
                <w:i w:val="0"/>
                <w:color w:val="0F172A"/>
                <w:sz w:val="15"/>
              </w:rPr>
              <w:t xml:space="preserve">, </w:t>
            </w:r>
            <w:r>
              <w:rPr>
                <w:rFonts w:ascii="Consolas" w:hAnsi="Consolas"/>
                <w:b w:val="0"/>
                <w:i w:val="0"/>
                <w:color w:val="B41414"/>
                <w:sz w:val="15"/>
              </w:rPr>
              <w:t>PAID</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62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center"/>
            </w:pPr>
            <w:r>
              <w:rPr>
                <w:rFonts w:ascii="Times New Roman" w:hAnsi="Times New Roman"/>
                <w:b w:val="0"/>
                <w:i w:val="0"/>
                <w:color w:val="0F172A"/>
                <w:sz w:val="15"/>
              </w:rPr>
              <w:t>Non</w:t>
            </w:r>
          </w:p>
        </w:tc>
        <w:tc>
          <w:tcPr>
            <w:tcW w:type="dxa" w:w="1304"/>
            <w:vAlign w:val="center"/>
            <w:tcMar>
              <w:top w:w="50" w:type="dxa"/>
              <w:bottom w:w="50" w:type="dxa"/>
              <w:left w:w="40" w:type="dxa"/>
              <w:right w:w="4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Consolas" w:hAnsi="Consolas"/>
                <w:b w:val="0"/>
                <w:i w:val="0"/>
                <w:color w:val="B41414"/>
                <w:sz w:val="15"/>
              </w:rPr>
              <w:t>invoices</w:t>
            </w:r>
          </w:p>
        </w:tc>
      </w:tr>
    </w:tbl>
    <w:p>
      <w:pPr>
        <w:spacing w:before="40" w:after="80"/>
      </w:pPr>
    </w:p>
    <w:p>
      <w:pPr>
        <w:keepNext/>
        <w:spacing w:before="200" w:after="80"/>
        <w:ind w:firstLine="0"/>
        <w:jc w:val="left"/>
      </w:pPr>
      <w:r>
        <w:rPr>
          <w:rFonts w:ascii="Times New Roman" w:hAnsi="Times New Roman"/>
          <w:b/>
          <w:color w:val="334155"/>
          <w:sz w:val="24"/>
        </w:rPr>
        <w:t>3.4. Architecture de l'application</w:t>
      </w:r>
    </w:p>
    <w:p>
      <w:pPr>
        <w:keepNext/>
        <w:spacing w:before="160" w:after="60"/>
        <w:ind w:firstLine="0"/>
        <w:jc w:val="left"/>
      </w:pPr>
      <w:r>
        <w:rPr>
          <w:rFonts w:ascii="Times New Roman" w:hAnsi="Times New Roman"/>
          <w:b/>
          <w:i/>
          <w:color w:val="475569"/>
          <w:sz w:val="24"/>
        </w:rPr>
        <w:t>3.4.1. Architecture logicielle</w:t>
      </w:r>
    </w:p>
    <w:p>
      <w:pPr>
        <w:spacing w:line="360" w:lineRule="auto" w:before="120" w:after="120"/>
        <w:ind w:firstLine="454"/>
        <w:jc w:val="both"/>
      </w:pPr>
      <w:r>
        <w:rPr>
          <w:rFonts w:ascii="Times New Roman" w:hAnsi="Times New Roman"/>
          <w:b w:val="0"/>
          <w:i w:val="0"/>
          <w:color w:val="000000"/>
          <w:sz w:val="24"/>
        </w:rPr>
        <w:t>La solution InsurFlow adopte une architecture 3-tiers découplée, favorisant l'indépendance des couches, la maintenabilité et la testabilité unitaire.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graph TD</w:t>
              <w:br/>
              <w:t xml:space="preserve">    subgraph "Couche Présentation (Frontend - Next.js 15)"</w:t>
              <w:br/>
              <w:t xml:space="preserve">        UI_PAGE["Pages App Router (/dashboard, /operations, /factures)"]</w:t>
              <w:br/>
              <w:t xml:space="preserve">        UI_COMP["Composants UI &amp; Modales (ExerciceSelector, CopilotWidget)"]</w:t>
              <w:br/>
              <w:t xml:space="preserve">        UI_LIB["Client HTTP Axios (Intercepteur JWT) &amp; jsPDF"]</w:t>
              <w:br/>
              <w:t xml:space="preserve">        UI_PAGE --&gt; UI_COMP</w:t>
              <w:br/>
              <w:t xml:space="preserve">        UI_COMP --&gt; UI_LIB</w:t>
              <w:br/>
              <w:t xml:space="preserve">    end</w:t>
              <w:br/>
              <w:br/>
              <w:t xml:space="preserve">    subgraph "Couche Métier &amp; API (Backend - Spring Boot 3.3)"</w:t>
              <w:br/>
              <w:t xml:space="preserve">        API_SEC["Filtre de Sécurité JWT (JwtAuthFilter &amp; SecurityFilterChain)"]</w:t>
              <w:br/>
              <w:t xml:space="preserve">        API_CTRL["Contrôleurs REST (ProductionController, ReglementController, AiController)"]</w:t>
              <w:br/>
              <w:t xml:space="preserve">        API_SVC["Services Métier (ProductionService, ReglementService, AiClaimAnalysisService)"]</w:t>
              <w:br/>
              <w:t xml:space="preserve">        API_REPO["Spring Data MongoDB Repositories"]</w:t>
              <w:br/>
              <w:t xml:space="preserve">      </w:t>
              <w:br/>
              <w:t xml:space="preserve">        API_SEC --&gt; API_CTRL</w:t>
              <w:br/>
              <w:t xml:space="preserve">        API_CTRL --&gt; API_SVC</w:t>
              <w:br/>
              <w:t xml:space="preserve">        API_SVC --&gt; API_REPO</w:t>
              <w:br/>
              <w:t xml:space="preserve">    end</w:t>
              <w:br/>
              <w:br/>
              <w:t xml:space="preserve">    subgraph "Couche Données &amp; Supervision"</w:t>
              <w:br/>
              <w:t xml:space="preserve">        DATA_DB[("Base de Données Documentaire MongoDB 7.0")]</w:t>
              <w:br/>
              <w:t xml:space="preserve">        METRICS["Actuator &amp; Micrometer Prometheus"]</w:t>
              <w:br/>
              <w:t xml:space="preserve">    end</w:t>
              <w:br/>
              <w:br/>
              <w:t xml:space="preserve">    UI_LIB --&gt;|HTTPS / REST JSON| API_SEC</w:t>
              <w:br/>
              <w:t xml:space="preserve">    API_REPO --&gt;|Protocole MongoDB| DATA_DB</w:t>
              <w:br/>
              <w:t xml:space="preserve">    API_SVC --&gt;|Instrumentation| METRICS</w:t>
            </w:r>
          </w:p>
        </w:tc>
      </w:tr>
    </w:tbl>
    <w:p>
      <w:pPr>
        <w:spacing w:line="276" w:lineRule="auto" w:before="80" w:after="200"/>
        <w:ind w:firstLine="0"/>
        <w:jc w:val="center"/>
      </w:pPr>
      <w:r>
        <w:rPr>
          <w:rFonts w:ascii="Times New Roman" w:hAnsi="Times New Roman"/>
          <w:b/>
          <w:i w:val="0"/>
          <w:color w:val="1E3A8A"/>
          <w:sz w:val="22"/>
        </w:rPr>
        <w:t>Figure 17 : Architecture logicielle 3-tiers (Diagramme de composants)</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diagramme illustre le découpage du logiciel en trois blocs autonomes : l'interface utilisateur, la logique de calcul métier et le stockage des données. Cette architecture garantit que l'application reste extrêmement réactive, modulable et facile à faire évoluer dans le temps.</w:t>
            </w:r>
          </w:p>
        </w:tc>
      </w:tr>
    </w:tbl>
    <w:p>
      <w:pPr>
        <w:spacing w:before="40" w:after="80"/>
      </w:pPr>
    </w:p>
    <w:p>
      <w:pPr>
        <w:keepNext/>
        <w:spacing w:before="160" w:after="60"/>
        <w:ind w:firstLine="0"/>
        <w:jc w:val="left"/>
      </w:pPr>
      <w:r>
        <w:rPr>
          <w:rFonts w:ascii="Times New Roman" w:hAnsi="Times New Roman"/>
          <w:b/>
          <w:i/>
          <w:color w:val="475569"/>
          <w:sz w:val="24"/>
        </w:rPr>
        <w:t>3.4.2. Architecture matérielle</w:t>
      </w:r>
    </w:p>
    <w:p>
      <w:pPr>
        <w:spacing w:line="360" w:lineRule="auto" w:before="120" w:after="120"/>
        <w:ind w:firstLine="454"/>
        <w:jc w:val="both"/>
      </w:pPr>
      <w:r>
        <w:rPr>
          <w:rFonts w:ascii="Times New Roman" w:hAnsi="Times New Roman"/>
          <w:b w:val="0"/>
          <w:i w:val="0"/>
          <w:color w:val="000000"/>
          <w:sz w:val="24"/>
        </w:rPr>
        <w:t xml:space="preserve">Le déploiement d'InsurFlow est réalisé sur une machine virtuelle hébergée sur le Cloud Microsoft Azure (région </w:t>
      </w:r>
      <w:r>
        <w:rPr>
          <w:rFonts w:ascii="Times New Roman" w:hAnsi="Times New Roman"/>
          <w:b w:val="0"/>
          <w:i/>
          <w:color w:val="000000"/>
          <w:sz w:val="24"/>
        </w:rPr>
        <w:t>Spain Central</w:t>
      </w:r>
      <w:r>
        <w:rPr>
          <w:rFonts w:ascii="Times New Roman" w:hAnsi="Times New Roman"/>
          <w:b w:val="0"/>
          <w:i w:val="0"/>
          <w:color w:val="000000"/>
          <w:sz w:val="24"/>
        </w:rPr>
        <w:t xml:space="preserve">), provisionnée par infrastructure-as-code avec </w:t>
      </w:r>
      <w:r>
        <w:rPr>
          <w:rFonts w:ascii="Times New Roman" w:hAnsi="Times New Roman"/>
          <w:b/>
          <w:i w:val="0"/>
          <w:color w:val="000000"/>
          <w:sz w:val="24"/>
        </w:rPr>
        <w:t>Terraform</w:t>
      </w:r>
      <w:r>
        <w:rPr>
          <w:rFonts w:ascii="Times New Roman" w:hAnsi="Times New Roman"/>
          <w:b w:val="0"/>
          <w:i w:val="0"/>
          <w:color w:val="000000"/>
          <w:sz w:val="24"/>
        </w:rPr>
        <w:t xml:space="preserve"> et configurée avec </w:t>
      </w:r>
      <w:r>
        <w:rPr>
          <w:rFonts w:ascii="Times New Roman" w:hAnsi="Times New Roman"/>
          <w:b/>
          <w:i w:val="0"/>
          <w:color w:val="000000"/>
          <w:sz w:val="24"/>
        </w:rPr>
        <w:t>Ansible</w:t>
      </w:r>
      <w:r>
        <w:rPr>
          <w:rFonts w:ascii="Times New Roman" w:hAnsi="Times New Roman"/>
          <w:b w:val="0"/>
          <w:i w:val="0"/>
          <w:color w:val="000000"/>
          <w:sz w:val="24"/>
        </w:rPr>
        <w:t>. L'ensemble des services applicatifs s'exécute dans des conteneurs isolés au sein d'un réseau pont Docker (</w:t>
      </w:r>
      <w:r>
        <w:rPr>
          <w:rFonts w:ascii="Consolas" w:hAnsi="Consolas"/>
          <w:b w:val="0"/>
          <w:i w:val="0"/>
          <w:color w:val="B41414"/>
          <w:sz w:val="22"/>
        </w:rPr>
        <w:t>insurflow_net</w:t>
      </w:r>
      <w:r>
        <w:rPr>
          <w:rFonts w:ascii="Times New Roman" w:hAnsi="Times New Roman"/>
          <w:b w:val="0"/>
          <w:i w:val="0"/>
          <w:color w:val="000000"/>
          <w:sz w:val="24"/>
        </w:rPr>
        <w:t xml:space="preserve">), sécurisés par un reverse-proxy </w:t>
      </w:r>
      <w:r>
        <w:rPr>
          <w:rFonts w:ascii="Times New Roman" w:hAnsi="Times New Roman"/>
          <w:b/>
          <w:i w:val="0"/>
          <w:color w:val="000000"/>
          <w:sz w:val="24"/>
        </w:rPr>
        <w:t>Nginx</w:t>
      </w:r>
      <w:r>
        <w:rPr>
          <w:rFonts w:ascii="Times New Roman" w:hAnsi="Times New Roman"/>
          <w:b w:val="0"/>
          <w:i w:val="0"/>
          <w:color w:val="000000"/>
          <w:sz w:val="24"/>
        </w:rPr>
        <w:t xml:space="preserve"> en TLS 1.3 avec certificats Let's Encrypt et supervisés par </w:t>
      </w:r>
      <w:r>
        <w:rPr>
          <w:rFonts w:ascii="Times New Roman" w:hAnsi="Times New Roman"/>
          <w:b/>
          <w:i w:val="0"/>
          <w:color w:val="000000"/>
          <w:sz w:val="24"/>
        </w:rPr>
        <w:t>Prometheus</w:t>
      </w:r>
      <w:r>
        <w:rPr>
          <w:rFonts w:ascii="Times New Roman" w:hAnsi="Times New Roman"/>
          <w:b w:val="0"/>
          <w:i w:val="0"/>
          <w:color w:val="000000"/>
          <w:sz w:val="24"/>
        </w:rPr>
        <w:t xml:space="preserve"> et </w:t>
      </w:r>
      <w:r>
        <w:rPr>
          <w:rFonts w:ascii="Times New Roman" w:hAnsi="Times New Roman"/>
          <w:b/>
          <w:i w:val="0"/>
          <w:color w:val="000000"/>
          <w:sz w:val="24"/>
        </w:rPr>
        <w:t>Grafana</w:t>
      </w:r>
      <w:r>
        <w:rPr>
          <w:rFonts w:ascii="Times New Roman" w:hAnsi="Times New Roman"/>
          <w:b w:val="0"/>
          <w:i w:val="0"/>
          <w:color w:val="000000"/>
          <w:sz w:val="24"/>
        </w:rPr>
        <w:t>.</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graph TB</w:t>
              <w:br/>
              <w:t xml:space="preserve">    subgraph "Client Internet"</w:t>
              <w:br/>
              <w:t xml:space="preserve">        NAV["Navigateur Web Client (HTTPS / Port 443)"]</w:t>
              <w:br/>
              <w:t xml:space="preserve">    end</w:t>
              <w:br/>
              <w:br/>
              <w:t xml:space="preserve">    subgraph "Azure Cloud - Machine Virtuelle Linux Ubuntu 22.04 LTS"</w:t>
              <w:br/>
              <w:t xml:space="preserve">        subgraph "Reverse Proxy &amp; Sécurité Périmétrique"</w:t>
              <w:br/>
              <w:t xml:space="preserve">            NGINX["Conteneur Nginx (TLS 1.2 / TLS 1.3 / HTTP/2)"]</w:t>
              <w:br/>
              <w:t xml:space="preserve">            CERTBOT["Conteneur Certbot (Renouvellement SSL Let's Encrypt)"]</w:t>
              <w:br/>
              <w:t xml:space="preserve">        end</w:t>
              <w:br/>
              <w:br/>
              <w:t xml:space="preserve">        subgraph "Conteneurs Applicatifs Docker"</w:t>
              <w:br/>
              <w:t xml:space="preserve">            FRONT["Conteneur Frontend (Next.js 15 / Node.js 20 - Port 3000)"]</w:t>
              <w:br/>
              <w:t xml:space="preserve">            BACK["Conteneur Backend (Spring Boot 3.3 / Java 21 - Port 8080)"]</w:t>
              <w:br/>
              <w:t xml:space="preserve">            MONGO[("Conteneur MongoDB 7.0 (Base 'assurance' - Port 27017)")]</w:t>
              <w:br/>
              <w:t xml:space="preserve">        end</w:t>
              <w:br/>
              <w:br/>
              <w:t xml:space="preserve">        subgraph "Conteneurs Observabilité"</w:t>
              <w:br/>
              <w:t xml:space="preserve">            PROM["Conteneur Prometheus (Scraping métriques Actuator)"]</w:t>
              <w:br/>
              <w:t xml:space="preserve">            GRAF["Conteneur Grafana (Dashboards temps réel)"]</w:t>
              <w:br/>
              <w:t xml:space="preserve">        end</w:t>
              <w:br/>
              <w:t xml:space="preserve">    end</w:t>
              <w:br/>
              <w:br/>
              <w:t xml:space="preserve">    NAV --&gt;|Requête chiffrée SSL Port 443| NGINX</w:t>
              <w:br/>
              <w:t xml:space="preserve">    NGINX --&gt;|Proxy / | FRONT</w:t>
              <w:br/>
              <w:t xml:space="preserve">    NGINX --&gt;|Proxy /api/ | BACK</w:t>
              <w:br/>
              <w:t xml:space="preserve">    NGINX --&gt;|Proxy /grafana/ | GRAF</w:t>
              <w:br/>
              <w:t xml:space="preserve">    CERTBOT -.-&gt;|Partage volume /var/www/certbot| NGINX</w:t>
              <w:br/>
              <w:t xml:space="preserve">  </w:t>
              <w:br/>
              <w:t xml:space="preserve">    FRONT --&gt;|Appels REST internes| BACK</w:t>
              <w:br/>
              <w:t xml:space="preserve">    BACK --&gt;|Persistance NoSQL| MONGO</w:t>
              <w:br/>
              <w:t xml:space="preserve">    PROM --&gt;|Scrape /actuator/prometheus| BACK</w:t>
              <w:br/>
              <w:t xml:space="preserve">    GRAF --&gt;|Source de données PromQL| PROM</w:t>
            </w:r>
          </w:p>
        </w:tc>
      </w:tr>
    </w:tbl>
    <w:p>
      <w:pPr>
        <w:spacing w:line="276" w:lineRule="auto" w:before="80" w:after="200"/>
        <w:ind w:firstLine="0"/>
        <w:jc w:val="center"/>
      </w:pPr>
      <w:r>
        <w:rPr>
          <w:rFonts w:ascii="Times New Roman" w:hAnsi="Times New Roman"/>
          <w:b/>
          <w:i w:val="0"/>
          <w:color w:val="1E3A8A"/>
          <w:sz w:val="22"/>
        </w:rPr>
        <w:t>Figure 18 : Architecture matérielle et infrastructure Cloud (Diagramme de déploiement)</w:t>
      </w:r>
    </w:p>
    <w:tbl>
      <w:tblPr>
        <w:tblW w:type="auto" w:w="0"/>
        <w:jc w:val="center"/>
        <w:tblLook w:firstColumn="1" w:firstRow="1" w:lastColumn="0" w:lastRow="0" w:noHBand="0" w:noVBand="1" w:val="04A0"/>
      </w:tblPr>
      <w:tblGrid>
        <w:gridCol w:w="9072"/>
      </w:tblGrid>
      <w:tr>
        <w:tc>
          <w:tcPr>
            <w:tcW w:type="dxa" w:w="9071"/>
            <w:tcMar>
              <w:top w:w="140" w:type="dxa"/>
              <w:bottom w:w="140" w:type="dxa"/>
              <w:left w:w="180" w:type="dxa"/>
              <w:right w:w="140" w:type="dxa"/>
            </w:tcMar>
            <w:shd w:fill="F8FAFC"/>
            <w:tcBorders>
              <w:top w:val="single" w:sz="12" w:space="0" w:color="E2E8F0"/>
              <w:left w:val="single" w:sz="12" w:space="0" w:color="1E3A8A"/>
              <w:bottom w:val="single" w:sz="12" w:space="0" w:color="E2E8F0"/>
              <w:right w:val="single" w:sz="12" w:space="0" w:color="E2E8F0"/>
            </w:tcBorders>
          </w:tcPr>
          <w:p>
            <w:pPr>
              <w:spacing w:line="300" w:lineRule="auto" w:before="40" w:after="40"/>
              <w:ind w:firstLine="0"/>
              <w:jc w:val="both"/>
            </w:pPr>
            <w:r>
              <w:rPr>
                <w:rFonts w:ascii="Times New Roman" w:hAnsi="Times New Roman"/>
                <w:b/>
                <w:i w:val="0"/>
                <w:color w:val="1E293B"/>
                <w:sz w:val="22"/>
              </w:rPr>
              <w:t>Note Explicative Pédagogique :</w:t>
            </w:r>
            <w:r>
              <w:rPr>
                <w:rFonts w:ascii="Times New Roman" w:hAnsi="Times New Roman"/>
                <w:b w:val="0"/>
                <w:i w:val="0"/>
                <w:color w:val="1E293B"/>
                <w:sz w:val="22"/>
              </w:rPr>
              <w:t xml:space="preserve"> Ce schéma décrit l'hébergement sécurisé de l'application sur le Cloud Azure dans des conteneurs Docker protégés par un chiffrement SSL/TLS. Pour les utilisateurs, cela garantit une accessibilité permanente 24h/24 et une protection maximale contre les pannes et attaques réseau.</w:t>
            </w:r>
          </w:p>
        </w:tc>
      </w:tr>
    </w:tbl>
    <w:p>
      <w:pPr>
        <w:spacing w:before="40" w:after="80"/>
      </w:pPr>
    </w:p>
    <w:p>
      <w:pPr>
        <w:keepNext/>
        <w:spacing w:before="280" w:after="120"/>
        <w:ind w:firstLine="0"/>
        <w:jc w:val="left"/>
      </w:pPr>
      <w:r>
        <w:rPr>
          <w:rFonts w:ascii="Times New Roman" w:hAnsi="Times New Roman"/>
          <w:b/>
          <w:color w:val="1E293B"/>
          <w:sz w:val="28"/>
        </w:rPr>
        <w:t>4. Conclusion</w:t>
      </w:r>
    </w:p>
    <w:p>
      <w:pPr>
        <w:spacing w:line="360" w:lineRule="auto" w:before="120" w:after="120"/>
        <w:ind w:firstLine="454"/>
        <w:jc w:val="both"/>
      </w:pPr>
      <w:r>
        <w:rPr>
          <w:rFonts w:ascii="Times New Roman" w:hAnsi="Times New Roman"/>
          <w:b w:val="0"/>
          <w:i w:val="0"/>
          <w:color w:val="000000"/>
          <w:sz w:val="24"/>
        </w:rPr>
        <w:t>Ce chapitre de conception a permis de formaliser l'ensemble des aspects dynamiques et statiques du système InsurFlow. Grâce aux diagrammes de séquences UML 2 boîte blanche, aux diagrammes d'états-transitions, au diagramme de classes enrichi, au modèle logique de données et au dictionnaire de données exhaustif, nous disposons d'une vision conceptuelle claire et robuste. Le chapitre suivant présente la réalisation concrète du système ainsi que l'environnement de développement et de déploiement DevSecOps.</w:t>
      </w:r>
    </w:p>
    <w:p>
      <w:r>
        <w:br w:type="page"/>
      </w:r>
    </w:p>
    <w:p>
      <w:r>
        <w:br w:type="page"/>
      </w:r>
    </w:p>
    <w:p>
      <w:pPr>
        <w:keepNext/>
        <w:spacing w:before="360" w:after="160"/>
        <w:ind w:firstLine="0"/>
        <w:jc w:val="left"/>
      </w:pPr>
      <w:r>
        <w:rPr>
          <w:rFonts w:ascii="Times New Roman" w:hAnsi="Times New Roman"/>
          <w:b/>
          <w:color w:val="B40000"/>
          <w:sz w:val="32"/>
        </w:rPr>
        <w:t>Chapitre 4 : Réalisation du système</w:t>
      </w:r>
    </w:p>
    <w:p>
      <w:pPr>
        <w:keepNext/>
        <w:spacing w:before="280" w:after="120"/>
        <w:ind w:firstLine="0"/>
        <w:jc w:val="left"/>
      </w:pPr>
      <w:r>
        <w:rPr>
          <w:rFonts w:ascii="Times New Roman" w:hAnsi="Times New Roman"/>
          <w:b/>
          <w:color w:val="1E293B"/>
          <w:sz w:val="28"/>
        </w:rPr>
        <w:t>1. Introduction</w:t>
      </w:r>
    </w:p>
    <w:p>
      <w:pPr>
        <w:spacing w:line="360" w:lineRule="auto" w:before="120" w:after="120"/>
        <w:ind w:firstLine="454"/>
        <w:jc w:val="both"/>
      </w:pPr>
      <w:r>
        <w:rPr>
          <w:rFonts w:ascii="Times New Roman" w:hAnsi="Times New Roman"/>
          <w:b w:val="0"/>
          <w:i w:val="0"/>
          <w:color w:val="000000"/>
          <w:sz w:val="24"/>
        </w:rPr>
        <w:t>Ce quatrième et dernier chapitre est consacré à la phase de concrétisation et de réalisation technique de la plateforme InsurFlow. Nous y détaillons l'environnement matériel et logiciel adopté tant pour les postes de développement que pour l'infrastructure de production Cloud. Nous présentons ensuite une sélection des principales interfaces graphiques développées, accompagnées de descriptions techniques approfondies expliquant leurs fonctionnalités et leur intégration avec les services backend et les modules d'Intelligence Artificielle.</w:t>
      </w:r>
    </w:p>
    <w:p>
      <w:pPr>
        <w:keepNext/>
        <w:spacing w:before="280" w:after="120"/>
        <w:ind w:firstLine="0"/>
        <w:jc w:val="left"/>
      </w:pPr>
      <w:r>
        <w:rPr>
          <w:rFonts w:ascii="Times New Roman" w:hAnsi="Times New Roman"/>
          <w:b/>
          <w:color w:val="1E293B"/>
          <w:sz w:val="28"/>
        </w:rPr>
        <w:t>2. Environnement de développement</w:t>
      </w:r>
    </w:p>
    <w:p>
      <w:pPr>
        <w:keepNext/>
        <w:spacing w:before="200" w:after="80"/>
        <w:ind w:firstLine="0"/>
        <w:jc w:val="left"/>
      </w:pPr>
      <w:r>
        <w:rPr>
          <w:rFonts w:ascii="Times New Roman" w:hAnsi="Times New Roman"/>
          <w:b/>
          <w:color w:val="334155"/>
          <w:sz w:val="24"/>
        </w:rPr>
        <w:t>2.1. Environnement matériel</w:t>
      </w:r>
    </w:p>
    <w:p>
      <w:pPr>
        <w:spacing w:line="360" w:lineRule="auto" w:before="120" w:after="120"/>
        <w:ind w:firstLine="454"/>
        <w:jc w:val="both"/>
      </w:pPr>
      <w:r>
        <w:rPr>
          <w:rFonts w:ascii="Times New Roman" w:hAnsi="Times New Roman"/>
          <w:b w:val="0"/>
          <w:i w:val="0"/>
          <w:color w:val="000000"/>
          <w:sz w:val="24"/>
        </w:rPr>
        <w:t>Le tableau 8 résume les caractéristiques matérielles des stations de travail utilisées pour l'ingénierie du projet ainsi que les spécifications du serveur Cloud de déploiement.</w:t>
      </w:r>
    </w:p>
    <w:p>
      <w:pPr>
        <w:spacing w:line="276" w:lineRule="auto" w:before="200" w:after="80"/>
        <w:ind w:firstLine="0"/>
        <w:jc w:val="center"/>
      </w:pPr>
      <w:r>
        <w:rPr>
          <w:rFonts w:ascii="Times New Roman" w:hAnsi="Times New Roman"/>
          <w:b/>
          <w:i w:val="0"/>
          <w:color w:val="1E3A8A"/>
          <w:sz w:val="22"/>
        </w:rPr>
        <w:t>Tableau 8 : Spécifications de l'environnement matériel de développement et de déploiement</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2268"/>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left"/>
            </w:pPr>
            <w:r>
              <w:rPr>
                <w:rFonts w:ascii="Times New Roman" w:hAnsi="Times New Roman"/>
                <w:b/>
                <w:i w:val="0"/>
                <w:color w:val="FFFFFF"/>
                <w:sz w:val="19"/>
              </w:rPr>
              <w:t>Composant / Ressource</w:t>
            </w:r>
          </w:p>
        </w:tc>
        <w:tc>
          <w:tcPr>
            <w:tcW w:type="dxa" w:w="3402"/>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9"/>
              </w:rPr>
              <w:t>Station de Développement Locale</w:t>
            </w:r>
          </w:p>
        </w:tc>
        <w:tc>
          <w:tcPr>
            <w:tcW w:type="dxa" w:w="3402"/>
            <w:vAlign w:val="center"/>
            <w:tcMar>
              <w:top w:w="80" w:type="dxa"/>
              <w:bottom w:w="80" w:type="dxa"/>
              <w:left w:w="100" w:type="dxa"/>
              <w:right w:w="100" w:type="dxa"/>
            </w:tcMar>
            <w:shd w:fill="1E3A8A"/>
            <w:tcBorders>
              <w:top w:val="single" w:sz="6" w:space="0" w:color="1E3A8A"/>
              <w:left w:val="single" w:sz="6" w:space="0" w:color="CBD5E1"/>
              <w:bottom w:val="single" w:sz="6" w:space="0" w:color="1E3A8A"/>
              <w:right w:val="single" w:sz="6" w:space="0" w:color="CBD5E1"/>
            </w:tcBorders>
          </w:tcPr>
          <w:p>
            <w:pPr>
              <w:spacing w:line="276" w:lineRule="auto" w:before="40" w:after="40"/>
              <w:ind w:firstLine="0"/>
              <w:jc w:val="center"/>
            </w:pPr>
            <w:r>
              <w:rPr>
                <w:rFonts w:ascii="Times New Roman" w:hAnsi="Times New Roman"/>
                <w:b/>
                <w:i w:val="0"/>
                <w:color w:val="FFFFFF"/>
                <w:sz w:val="19"/>
              </w:rPr>
              <w:t>Serveur Cloud de Production (Azure VM)</w:t>
            </w:r>
          </w:p>
        </w:tc>
      </w:tr>
      <w:tr>
        <w:trPr>
          <w:cantSplit/>
        </w:trPr>
        <w:tc>
          <w:tcPr>
            <w:tcW w:type="dxa" w:w="2268"/>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9"/>
              </w:rPr>
              <w:t>Type de machine</w:t>
            </w:r>
          </w:p>
        </w:tc>
        <w:tc>
          <w:tcPr>
            <w:tcW w:type="dxa" w:w="3402"/>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Ordinateur portable d'ingénierie</w:t>
            </w:r>
          </w:p>
        </w:tc>
        <w:tc>
          <w:tcPr>
            <w:tcW w:type="dxa" w:w="3402"/>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Machine Virtuelle Azure</w:t>
            </w:r>
            <w:r>
              <w:rPr>
                <w:rFonts w:ascii="Consolas" w:hAnsi="Consolas"/>
                <w:b w:val="0"/>
                <w:i w:val="0"/>
                <w:color w:val="B41414"/>
                <w:sz w:val="17"/>
              </w:rPr>
              <w:t>Standard_D2s_v3</w:t>
            </w:r>
          </w:p>
        </w:tc>
      </w:tr>
      <w:tr>
        <w:trPr>
          <w:cantSplit/>
        </w:trPr>
        <w:tc>
          <w:tcPr>
            <w:tcW w:type="dxa" w:w="2268"/>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9"/>
              </w:rPr>
              <w:t>Processeur (CPU)</w:t>
            </w:r>
          </w:p>
        </w:tc>
        <w:tc>
          <w:tcPr>
            <w:tcW w:type="dxa" w:w="3402"/>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Intel Core i7 12ème Génération (10 cœurs @ 4.7 GHz)</w:t>
            </w:r>
          </w:p>
        </w:tc>
        <w:tc>
          <w:tcPr>
            <w:tcW w:type="dxa" w:w="3402"/>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2 vCPUs dédiés x86_64</w:t>
            </w:r>
          </w:p>
        </w:tc>
      </w:tr>
      <w:tr>
        <w:trPr>
          <w:cantSplit/>
        </w:trPr>
        <w:tc>
          <w:tcPr>
            <w:tcW w:type="dxa" w:w="2268"/>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9"/>
              </w:rPr>
              <w:t>Mémoire Vive (RAM)</w:t>
            </w:r>
          </w:p>
        </w:tc>
        <w:tc>
          <w:tcPr>
            <w:tcW w:type="dxa" w:w="3402"/>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16 Go DDR4 (3200 MHz)</w:t>
            </w:r>
          </w:p>
        </w:tc>
        <w:tc>
          <w:tcPr>
            <w:tcW w:type="dxa" w:w="3402"/>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8 Go RAM ECC</w:t>
            </w:r>
          </w:p>
        </w:tc>
      </w:tr>
      <w:tr>
        <w:trPr>
          <w:cantSplit/>
        </w:trPr>
        <w:tc>
          <w:tcPr>
            <w:tcW w:type="dxa" w:w="2268"/>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9"/>
              </w:rPr>
              <w:t>Stockage Principal</w:t>
            </w:r>
          </w:p>
        </w:tc>
        <w:tc>
          <w:tcPr>
            <w:tcW w:type="dxa" w:w="3402"/>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512 Go SSD NVMe M.2 (Lecture 3500 Mo/s)</w:t>
            </w:r>
          </w:p>
        </w:tc>
        <w:tc>
          <w:tcPr>
            <w:tcW w:type="dxa" w:w="3402"/>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64 Go Premium SSD LRS</w:t>
            </w:r>
          </w:p>
        </w:tc>
      </w:tr>
      <w:tr>
        <w:trPr>
          <w:cantSplit/>
        </w:trPr>
        <w:tc>
          <w:tcPr>
            <w:tcW w:type="dxa" w:w="2268"/>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9"/>
              </w:rPr>
              <w:t>Système d'Exploitation</w:t>
            </w:r>
          </w:p>
        </w:tc>
        <w:tc>
          <w:tcPr>
            <w:tcW w:type="dxa" w:w="3402"/>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Windows 11 Professionnel 64-bit / WSL2 Ubuntu 22.04</w:t>
            </w:r>
          </w:p>
        </w:tc>
        <w:tc>
          <w:tcPr>
            <w:tcW w:type="dxa" w:w="3402"/>
            <w:vAlign w:val="center"/>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Ubuntu Server 22.04 LTS (Jammy Jellyfish)</w:t>
            </w:r>
          </w:p>
        </w:tc>
      </w:tr>
      <w:tr>
        <w:trPr>
          <w:cantSplit/>
        </w:trPr>
        <w:tc>
          <w:tcPr>
            <w:tcW w:type="dxa" w:w="2268"/>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i w:val="0"/>
                <w:color w:val="0F172A"/>
                <w:sz w:val="19"/>
              </w:rPr>
              <w:t>Connectivité Réseau</w:t>
            </w:r>
          </w:p>
        </w:tc>
        <w:tc>
          <w:tcPr>
            <w:tcW w:type="dxa" w:w="3402"/>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Fibre Optique 100 Mbps</w:t>
            </w:r>
          </w:p>
        </w:tc>
        <w:tc>
          <w:tcPr>
            <w:tcW w:type="dxa" w:w="3402"/>
            <w:vAlign w:val="center"/>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line="276" w:lineRule="auto" w:before="40" w:after="40"/>
              <w:ind w:firstLine="0"/>
              <w:jc w:val="left"/>
            </w:pPr>
            <w:r>
              <w:rPr>
                <w:rFonts w:ascii="Times New Roman" w:hAnsi="Times New Roman"/>
                <w:b w:val="0"/>
                <w:i w:val="0"/>
                <w:color w:val="0F172A"/>
                <w:sz w:val="19"/>
              </w:rPr>
              <w:t>Bande passante Azure 1 Gbps + IP Publique Fixe</w:t>
            </w:r>
          </w:p>
        </w:tc>
      </w:tr>
    </w:tbl>
    <w:p>
      <w:pPr>
        <w:spacing w:before="40" w:after="80"/>
      </w:pPr>
    </w:p>
    <w:p>
      <w:pPr>
        <w:keepNext/>
        <w:spacing w:before="200" w:after="80"/>
        <w:ind w:firstLine="0"/>
        <w:jc w:val="left"/>
      </w:pPr>
      <w:r>
        <w:rPr>
          <w:rFonts w:ascii="Times New Roman" w:hAnsi="Times New Roman"/>
          <w:b/>
          <w:color w:val="334155"/>
          <w:sz w:val="24"/>
        </w:rPr>
        <w:t>2.2. Environnement logiciel</w:t>
      </w:r>
    </w:p>
    <w:p>
      <w:pPr>
        <w:spacing w:line="360" w:lineRule="auto" w:before="120" w:after="120"/>
        <w:ind w:firstLine="454"/>
        <w:jc w:val="both"/>
      </w:pPr>
      <w:r>
        <w:rPr>
          <w:rFonts w:ascii="Times New Roman" w:hAnsi="Times New Roman"/>
          <w:b w:val="0"/>
          <w:i w:val="0"/>
          <w:color w:val="000000"/>
          <w:sz w:val="24"/>
        </w:rPr>
        <w:t>L'écosystème logiciel retenu pour la construction d'InsurFlow comprend des technologies modernes et éprouvées :</w:t>
      </w:r>
    </w:p>
    <w:p>
      <w:pPr>
        <w:keepNext/>
        <w:spacing w:before="160" w:after="60"/>
        <w:ind w:firstLine="0"/>
        <w:jc w:val="left"/>
      </w:pPr>
      <w:r>
        <w:rPr>
          <w:rFonts w:ascii="Times New Roman" w:hAnsi="Times New Roman"/>
          <w:b/>
          <w:i/>
          <w:color w:val="475569"/>
          <w:sz w:val="24"/>
        </w:rPr>
        <w:t>Côté Backend &amp; Données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Java 21 LTS (Temurin JDK) :</w:t>
      </w:r>
      <w:r>
        <w:rPr>
          <w:rFonts w:ascii="Times New Roman" w:hAnsi="Times New Roman"/>
          <w:b w:val="0"/>
          <w:i w:val="0"/>
          <w:color w:val="000000"/>
          <w:sz w:val="24"/>
        </w:rPr>
        <w:t xml:space="preserve"> Langage de programmation robuste offrant les </w:t>
      </w:r>
      <w:r>
        <w:rPr>
          <w:rFonts w:ascii="Times New Roman" w:hAnsi="Times New Roman"/>
          <w:b w:val="0"/>
          <w:i/>
          <w:color w:val="000000"/>
          <w:sz w:val="24"/>
        </w:rPr>
        <w:t>virtual threads</w:t>
      </w:r>
      <w:r>
        <w:rPr>
          <w:rFonts w:ascii="Times New Roman" w:hAnsi="Times New Roman"/>
          <w:b w:val="0"/>
          <w:i w:val="0"/>
          <w:color w:val="000000"/>
          <w:sz w:val="24"/>
        </w:rPr>
        <w:t xml:space="preserve"> et une excellente performance d'exécution.</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Spring Boot 3.3.4 :</w:t>
      </w:r>
      <w:r>
        <w:rPr>
          <w:rFonts w:ascii="Times New Roman" w:hAnsi="Times New Roman"/>
          <w:b w:val="0"/>
          <w:i w:val="0"/>
          <w:color w:val="000000"/>
          <w:sz w:val="24"/>
        </w:rPr>
        <w:t xml:space="preserve"> Framework d'entreprise fournissant l'injection de dépendances, Spring Security, Spring Data MongoDB et Spring Mail.</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JJWT 0.12.6 :</w:t>
      </w:r>
      <w:r>
        <w:rPr>
          <w:rFonts w:ascii="Times New Roman" w:hAnsi="Times New Roman"/>
          <w:b w:val="0"/>
          <w:i w:val="0"/>
          <w:color w:val="000000"/>
          <w:sz w:val="24"/>
        </w:rPr>
        <w:t xml:space="preserve"> Bibliothèque de signature et validation cryptographique des jetons stateless JWT.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OpenPDF 1.3.40 :</w:t>
      </w:r>
      <w:r>
        <w:rPr>
          <w:rFonts w:ascii="Times New Roman" w:hAnsi="Times New Roman"/>
          <w:b w:val="0"/>
          <w:i w:val="0"/>
          <w:color w:val="000000"/>
          <w:sz w:val="24"/>
        </w:rPr>
        <w:t xml:space="preserve"> Moteur haute performance de génération et compilation de documents PDF certifiés.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MongoDB 7.0 Community Edition :</w:t>
      </w:r>
      <w:r>
        <w:rPr>
          <w:rFonts w:ascii="Times New Roman" w:hAnsi="Times New Roman"/>
          <w:b w:val="0"/>
          <w:i w:val="0"/>
          <w:color w:val="000000"/>
          <w:sz w:val="24"/>
        </w:rPr>
        <w:t xml:space="preserve"> Base de données orientée documents offrant une flexibilité optimale pour les données de polices d'assurance complexes et les calculs d'agrégation.</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Micrometer &amp; Spring Actuator :</w:t>
      </w:r>
      <w:r>
        <w:rPr>
          <w:rFonts w:ascii="Times New Roman" w:hAnsi="Times New Roman"/>
          <w:b w:val="0"/>
          <w:i w:val="0"/>
          <w:color w:val="000000"/>
          <w:sz w:val="24"/>
        </w:rPr>
        <w:t xml:space="preserve"> Exposition des métriques JVM, HTTP et MongoDB pour le scraping Prometheus.</w:t>
      </w:r>
    </w:p>
    <w:p>
      <w:pPr>
        <w:keepNext/>
        <w:spacing w:before="160" w:after="60"/>
        <w:ind w:firstLine="0"/>
        <w:jc w:val="left"/>
      </w:pPr>
      <w:r>
        <w:rPr>
          <w:rFonts w:ascii="Times New Roman" w:hAnsi="Times New Roman"/>
          <w:b/>
          <w:i/>
          <w:color w:val="475569"/>
          <w:sz w:val="24"/>
        </w:rPr>
        <w:t>Côté Frontend &amp; Client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Next.js 15.2 / React 19 :</w:t>
      </w:r>
      <w:r>
        <w:rPr>
          <w:rFonts w:ascii="Times New Roman" w:hAnsi="Times New Roman"/>
          <w:b w:val="0"/>
          <w:i w:val="0"/>
          <w:color w:val="000000"/>
          <w:sz w:val="24"/>
        </w:rPr>
        <w:t xml:space="preserve"> Framework web réactif basé sur l'App Router, combinant Server Components pour la rapidité et Client Components pour l'interactivité.</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TypeScript 5 :</w:t>
      </w:r>
      <w:r>
        <w:rPr>
          <w:rFonts w:ascii="Times New Roman" w:hAnsi="Times New Roman"/>
          <w:b w:val="0"/>
          <w:i w:val="0"/>
          <w:color w:val="000000"/>
          <w:sz w:val="24"/>
        </w:rPr>
        <w:t xml:space="preserve"> Typage statique strict garantissant l'absence de bugs d'exécution sur les structures financières.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Tailwind CSS v4 &amp; Radix UI :</w:t>
      </w:r>
      <w:r>
        <w:rPr>
          <w:rFonts w:ascii="Times New Roman" w:hAnsi="Times New Roman"/>
          <w:b w:val="0"/>
          <w:i w:val="0"/>
          <w:color w:val="000000"/>
          <w:sz w:val="24"/>
        </w:rPr>
        <w:t xml:space="preserve"> Framework CSS utilitaire couplé à des composants d'interface accessibles et conformes au design system </w:t>
      </w:r>
      <w:r>
        <w:rPr>
          <w:rFonts w:ascii="Times New Roman" w:hAnsi="Times New Roman"/>
          <w:b w:val="0"/>
          <w:i/>
          <w:color w:val="000000"/>
          <w:sz w:val="24"/>
        </w:rPr>
        <w:t>Modern Whitespace</w:t>
      </w:r>
      <w:r>
        <w:rPr>
          <w:rFonts w:ascii="Times New Roman" w:hAnsi="Times New Roman"/>
          <w:b w:val="0"/>
          <w:i w:val="0"/>
          <w:color w:val="000000"/>
          <w:sz w:val="24"/>
        </w:rPr>
        <w: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Lucide React &amp; React Icons :</w:t>
      </w:r>
      <w:r>
        <w:rPr>
          <w:rFonts w:ascii="Times New Roman" w:hAnsi="Times New Roman"/>
          <w:b w:val="0"/>
          <w:i w:val="0"/>
          <w:color w:val="000000"/>
          <w:sz w:val="24"/>
        </w:rPr>
        <w:t xml:space="preserve"> Bibliothèque unifiée d'icônes vectorielles.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jsPDF &amp; jsPDF-AutoTable :</w:t>
      </w:r>
      <w:r>
        <w:rPr>
          <w:rFonts w:ascii="Times New Roman" w:hAnsi="Times New Roman"/>
          <w:b w:val="0"/>
          <w:i w:val="0"/>
          <w:color w:val="000000"/>
          <w:sz w:val="24"/>
        </w:rPr>
        <w:t xml:space="preserve"> Moteur de génération de rapports et de registres PDF côté client.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Axios :</w:t>
      </w:r>
      <w:r>
        <w:rPr>
          <w:rFonts w:ascii="Times New Roman" w:hAnsi="Times New Roman"/>
          <w:b w:val="0"/>
          <w:i w:val="0"/>
          <w:color w:val="000000"/>
          <w:sz w:val="24"/>
        </w:rPr>
        <w:t xml:space="preserve"> Client HTTP avec intercepteur automatique pour l'injection du header </w:t>
      </w:r>
      <w:r>
        <w:rPr>
          <w:rFonts w:ascii="Consolas" w:hAnsi="Consolas"/>
          <w:b w:val="0"/>
          <w:i w:val="0"/>
          <w:color w:val="B41414"/>
          <w:sz w:val="22"/>
        </w:rPr>
        <w:t>Authorization: Bearer &lt;token&gt;</w:t>
      </w:r>
      <w:r>
        <w:rPr>
          <w:rFonts w:ascii="Times New Roman" w:hAnsi="Times New Roman"/>
          <w:b w:val="0"/>
          <w:i w:val="0"/>
          <w:color w:val="000000"/>
          <w:sz w:val="24"/>
        </w:rPr>
        <w:t>.</w:t>
      </w:r>
    </w:p>
    <w:p>
      <w:pPr>
        <w:keepNext/>
        <w:spacing w:before="160" w:after="60"/>
        <w:ind w:firstLine="0"/>
        <w:jc w:val="left"/>
      </w:pPr>
      <w:r>
        <w:rPr>
          <w:rFonts w:ascii="Times New Roman" w:hAnsi="Times New Roman"/>
          <w:b/>
          <w:i/>
          <w:color w:val="475569"/>
          <w:sz w:val="24"/>
        </w:rPr>
        <w:t>DevOps, Cloud &amp; DevSecOps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Docker &amp; Docker Compose v2.27 :</w:t>
      </w:r>
      <w:r>
        <w:rPr>
          <w:rFonts w:ascii="Times New Roman" w:hAnsi="Times New Roman"/>
          <w:b w:val="0"/>
          <w:i w:val="0"/>
          <w:color w:val="000000"/>
          <w:sz w:val="24"/>
        </w:rPr>
        <w:t xml:space="preserve"> Conteneurisation multi-services (</w:t>
      </w:r>
      <w:r>
        <w:rPr>
          <w:rFonts w:ascii="Consolas" w:hAnsi="Consolas"/>
          <w:b w:val="0"/>
          <w:i w:val="0"/>
          <w:color w:val="B41414"/>
          <w:sz w:val="22"/>
        </w:rPr>
        <w:t>mongodb</w:t>
      </w:r>
      <w:r>
        <w:rPr>
          <w:rFonts w:ascii="Times New Roman" w:hAnsi="Times New Roman"/>
          <w:b w:val="0"/>
          <w:i w:val="0"/>
          <w:color w:val="000000"/>
          <w:sz w:val="24"/>
        </w:rPr>
        <w:t xml:space="preserve">, </w:t>
      </w:r>
      <w:r>
        <w:rPr>
          <w:rFonts w:ascii="Consolas" w:hAnsi="Consolas"/>
          <w:b w:val="0"/>
          <w:i w:val="0"/>
          <w:color w:val="B41414"/>
          <w:sz w:val="22"/>
        </w:rPr>
        <w:t>backend</w:t>
      </w:r>
      <w:r>
        <w:rPr>
          <w:rFonts w:ascii="Times New Roman" w:hAnsi="Times New Roman"/>
          <w:b w:val="0"/>
          <w:i w:val="0"/>
          <w:color w:val="000000"/>
          <w:sz w:val="24"/>
        </w:rPr>
        <w:t xml:space="preserve">, </w:t>
      </w:r>
      <w:r>
        <w:rPr>
          <w:rFonts w:ascii="Consolas" w:hAnsi="Consolas"/>
          <w:b w:val="0"/>
          <w:i w:val="0"/>
          <w:color w:val="B41414"/>
          <w:sz w:val="22"/>
        </w:rPr>
        <w:t>frontend</w:t>
      </w:r>
      <w:r>
        <w:rPr>
          <w:rFonts w:ascii="Times New Roman" w:hAnsi="Times New Roman"/>
          <w:b w:val="0"/>
          <w:i w:val="0"/>
          <w:color w:val="000000"/>
          <w:sz w:val="24"/>
        </w:rPr>
        <w:t xml:space="preserve">, </w:t>
      </w:r>
      <w:r>
        <w:rPr>
          <w:rFonts w:ascii="Consolas" w:hAnsi="Consolas"/>
          <w:b w:val="0"/>
          <w:i w:val="0"/>
          <w:color w:val="B41414"/>
          <w:sz w:val="22"/>
        </w:rPr>
        <w:t>nginx</w:t>
      </w:r>
      <w:r>
        <w:rPr>
          <w:rFonts w:ascii="Times New Roman" w:hAnsi="Times New Roman"/>
          <w:b w:val="0"/>
          <w:i w:val="0"/>
          <w:color w:val="000000"/>
          <w:sz w:val="24"/>
        </w:rPr>
        <w:t xml:space="preserve">, </w:t>
      </w:r>
      <w:r>
        <w:rPr>
          <w:rFonts w:ascii="Consolas" w:hAnsi="Consolas"/>
          <w:b w:val="0"/>
          <w:i w:val="0"/>
          <w:color w:val="B41414"/>
          <w:sz w:val="22"/>
        </w:rPr>
        <w:t>certbot</w:t>
      </w:r>
      <w:r>
        <w:rPr>
          <w:rFonts w:ascii="Times New Roman" w:hAnsi="Times New Roman"/>
          <w:b w:val="0"/>
          <w:i w:val="0"/>
          <w:color w:val="000000"/>
          <w:sz w:val="24"/>
        </w:rPr>
        <w:t xml:space="preserve">, </w:t>
      </w:r>
      <w:r>
        <w:rPr>
          <w:rFonts w:ascii="Consolas" w:hAnsi="Consolas"/>
          <w:b w:val="0"/>
          <w:i w:val="0"/>
          <w:color w:val="B41414"/>
          <w:sz w:val="22"/>
        </w:rPr>
        <w:t>prometheus</w:t>
      </w:r>
      <w:r>
        <w:rPr>
          <w:rFonts w:ascii="Times New Roman" w:hAnsi="Times New Roman"/>
          <w:b w:val="0"/>
          <w:i w:val="0"/>
          <w:color w:val="000000"/>
          <w:sz w:val="24"/>
        </w:rPr>
        <w:t xml:space="preserve">, </w:t>
      </w:r>
      <w:r>
        <w:rPr>
          <w:rFonts w:ascii="Consolas" w:hAnsi="Consolas"/>
          <w:b w:val="0"/>
          <w:i w:val="0"/>
          <w:color w:val="B41414"/>
          <w:sz w:val="22"/>
        </w:rPr>
        <w:t>grafana</w:t>
      </w:r>
      <w:r>
        <w:rPr>
          <w:rFonts w:ascii="Times New Roman" w:hAnsi="Times New Roman"/>
          <w:b w:val="0"/>
          <w:i w:val="0"/>
          <w:color w:val="000000"/>
          <w:sz w:val="24"/>
        </w:rPr>
        <w:t>).</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Nginx 1.25 Alpine :</w:t>
      </w:r>
      <w:r>
        <w:rPr>
          <w:rFonts w:ascii="Times New Roman" w:hAnsi="Times New Roman"/>
          <w:b w:val="0"/>
          <w:i w:val="0"/>
          <w:color w:val="000000"/>
          <w:sz w:val="24"/>
        </w:rPr>
        <w:t xml:space="preserve"> Serveur Web et reverse-proxy haute performance avec terminaison SSL/TLS 1.3, compression Gzip et HTTP/2.</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Terraform 1.7 :</w:t>
      </w:r>
      <w:r>
        <w:rPr>
          <w:rFonts w:ascii="Times New Roman" w:hAnsi="Times New Roman"/>
          <w:b w:val="0"/>
          <w:i w:val="0"/>
          <w:color w:val="000000"/>
          <w:sz w:val="24"/>
        </w:rPr>
        <w:t xml:space="preserve"> Infrastructure-as-Code pour le provisionnement reproductible des ressources réseau et VM sur Microsoft Azure.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Ansible 2.16 :</w:t>
      </w:r>
      <w:r>
        <w:rPr>
          <w:rFonts w:ascii="Times New Roman" w:hAnsi="Times New Roman"/>
          <w:b w:val="0"/>
          <w:i w:val="0"/>
          <w:color w:val="000000"/>
          <w:sz w:val="24"/>
        </w:rPr>
        <w:t xml:space="preserve"> Automatisation du durcissement système, de l'installation du moteur Docker et des configurations de sécurité.</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Trivy (Aqua Security) :</w:t>
      </w:r>
      <w:r>
        <w:rPr>
          <w:rFonts w:ascii="Times New Roman" w:hAnsi="Times New Roman"/>
          <w:b w:val="0"/>
          <w:i w:val="0"/>
          <w:color w:val="000000"/>
          <w:sz w:val="24"/>
        </w:rPr>
        <w:t xml:space="preserve"> Scanner DevSecOps intégré dans GitHub Actions pour l'analyse statique des vulnérabilités (CVEs critiques et élevées) du code et des dépendances.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Prometheus &amp; Grafana :</w:t>
      </w:r>
      <w:r>
        <w:rPr>
          <w:rFonts w:ascii="Times New Roman" w:hAnsi="Times New Roman"/>
          <w:b w:val="0"/>
          <w:i w:val="0"/>
          <w:color w:val="000000"/>
          <w:sz w:val="24"/>
        </w:rPr>
        <w:t xml:space="preserve"> Stack d'observabilité temps réel pour la surveillance de la disponibilité et des temps de réponse.</w:t>
      </w:r>
    </w:p>
    <w:p>
      <w:pPr>
        <w:keepNext/>
        <w:spacing w:before="280" w:after="120"/>
        <w:ind w:firstLine="0"/>
        <w:jc w:val="left"/>
      </w:pPr>
      <w:r>
        <w:rPr>
          <w:rFonts w:ascii="Times New Roman" w:hAnsi="Times New Roman"/>
          <w:b/>
          <w:color w:val="1E293B"/>
          <w:sz w:val="28"/>
        </w:rPr>
        <w:t>3. Principales interfaces graphiques</w:t>
      </w:r>
    </w:p>
    <w:p>
      <w:pPr>
        <w:keepNext/>
        <w:spacing w:before="200" w:after="80"/>
        <w:ind w:firstLine="0"/>
        <w:jc w:val="left"/>
      </w:pPr>
      <w:r>
        <w:rPr>
          <w:rFonts w:ascii="Times New Roman" w:hAnsi="Times New Roman"/>
          <w:b/>
          <w:color w:val="334155"/>
          <w:sz w:val="24"/>
        </w:rPr>
        <w:t>3.1. Page d'authentification sécurisée et contrôle d'accès JWT</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19 - Page d'Authentification Sécurisée et Gestion des Rôles ]</w:t>
            </w:r>
          </w:p>
        </w:tc>
      </w:tr>
    </w:tbl>
    <w:p>
      <w:pPr>
        <w:spacing w:before="40" w:after="80"/>
      </w:pPr>
    </w:p>
    <w:p>
      <w:pPr>
        <w:spacing w:line="360" w:lineRule="auto" w:before="120" w:after="120"/>
        <w:ind w:firstLine="454"/>
        <w:jc w:val="both"/>
      </w:pPr>
      <w:r>
        <w:rPr>
          <w:rFonts w:ascii="Times New Roman" w:hAnsi="Times New Roman"/>
          <w:b w:val="0"/>
          <w:i w:val="0"/>
          <w:color w:val="000000"/>
          <w:sz w:val="24"/>
        </w:rPr>
        <w:t>Cette interface d'authentification (</w:t>
      </w:r>
      <w:r>
        <w:rPr>
          <w:rFonts w:ascii="Consolas" w:hAnsi="Consolas"/>
          <w:b w:val="0"/>
          <w:i w:val="0"/>
          <w:color w:val="B41414"/>
          <w:sz w:val="22"/>
        </w:rPr>
        <w:t>/login</w:t>
      </w:r>
      <w:r>
        <w:rPr>
          <w:rFonts w:ascii="Times New Roman" w:hAnsi="Times New Roman"/>
          <w:b w:val="0"/>
          <w:i w:val="0"/>
          <w:color w:val="000000"/>
          <w:sz w:val="24"/>
        </w:rPr>
        <w:t>) constitue le point d'entrée sécurisé de la plateforme InsurFlow. Elle garantit l'étanchéité des accès en vérifiant les identifiants saisis face aux hachages cryptographiques BCrypt stockés en base MongoDB. Dès validation, le serveur Spring Boot émet un jeton stateless JWT (JSON Web Token) signé HMAC-SHA256 contenant le rôle de l'utilisateur (</w:t>
      </w:r>
      <w:r>
        <w:rPr>
          <w:rFonts w:ascii="Consolas" w:hAnsi="Consolas"/>
          <w:b w:val="0"/>
          <w:i w:val="0"/>
          <w:color w:val="B41414"/>
          <w:sz w:val="22"/>
        </w:rPr>
        <w:t>ADMIN</w:t>
      </w:r>
      <w:r>
        <w:rPr>
          <w:rFonts w:ascii="Times New Roman" w:hAnsi="Times New Roman"/>
          <w:b w:val="0"/>
          <w:i w:val="0"/>
          <w:color w:val="000000"/>
          <w:sz w:val="24"/>
        </w:rPr>
        <w:t xml:space="preserve"> ou </w:t>
      </w:r>
      <w:r>
        <w:rPr>
          <w:rFonts w:ascii="Consolas" w:hAnsi="Consolas"/>
          <w:b w:val="0"/>
          <w:i w:val="0"/>
          <w:color w:val="B41414"/>
          <w:sz w:val="22"/>
        </w:rPr>
        <w:t>OPERATOR</w:t>
      </w:r>
      <w:r>
        <w:rPr>
          <w:rFonts w:ascii="Times New Roman" w:hAnsi="Times New Roman"/>
          <w:b w:val="0"/>
          <w:i w:val="0"/>
          <w:color w:val="000000"/>
          <w:sz w:val="24"/>
        </w:rPr>
        <w:t>), injecté ensuite dans les en-têtes HTTP de chaque requête via Axios. Le composant Next.js gère la redirection dynamique et applique les restrictions d'accès aux routes protégées selon le profil habilité.</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InsurFlow ERP Cloud Suite                                     |</w:t>
              <w:br/>
              <w:t>|                                [ Connexion Sécurisée à l'Espace Pro ]                              |</w:t>
              <w:br/>
              <w:t>+----------------------------------------------------------------------------------------------------+</w:t>
              <w:br/>
              <w:t>|                                                                                                    |</w:t>
              <w:br/>
              <w:t>|      Identifiant / Email :     [ admin@insurflow.ma                                     ]          |</w:t>
              <w:br/>
              <w:t>|      Mot de passe :            [ •••••••••••••••••••••                                  ]          |</w:t>
              <w:br/>
              <w:t>|                                                                                                    |</w:t>
              <w:br/>
              <w:t>|      Rôle détecté :            [ Administrateur Système (Accès Total)                   ]          |</w:t>
              <w:br/>
              <w:t>|      Environnement :           [ Production Sécurisée SSL/TLS 1.3                       ]          |</w:t>
              <w:br/>
              <w:t>|                                                                                                    |</w:t>
              <w:br/>
              <w:t>|                                [   SE CONNECTER À LA SESSION ERP   ]                               |</w:t>
              <w:br/>
              <w:t>|                                                                                                    |</w:t>
              <w:br/>
              <w:t>|      Sécurité : Authentification JWT Stateless 256 bits | Protection CSRF &amp; Rate-Limiting Actifs   |</w:t>
              <w:br/>
              <w:t>+----------------------------------------------------------------------------------------------------+</w:t>
            </w:r>
          </w:p>
        </w:tc>
      </w:tr>
    </w:tbl>
    <w:p>
      <w:pPr>
        <w:spacing w:line="276" w:lineRule="auto" w:before="80" w:after="200"/>
        <w:ind w:firstLine="0"/>
        <w:jc w:val="center"/>
      </w:pPr>
      <w:r>
        <w:rPr>
          <w:rFonts w:ascii="Times New Roman" w:hAnsi="Times New Roman"/>
          <w:b/>
          <w:i w:val="0"/>
          <w:color w:val="1E3A8A"/>
          <w:sz w:val="22"/>
        </w:rPr>
        <w:t>Figure 19 : Interface de la Page d'Authentification Sécurisée et Contrôle d'Accès JWT</w:t>
      </w:r>
    </w:p>
    <w:p>
      <w:pPr>
        <w:keepNext/>
        <w:spacing w:before="200" w:after="80"/>
        <w:ind w:firstLine="0"/>
        <w:jc w:val="left"/>
      </w:pPr>
      <w:r>
        <w:rPr>
          <w:rFonts w:ascii="Times New Roman" w:hAnsi="Times New Roman"/>
          <w:b/>
          <w:color w:val="334155"/>
          <w:sz w:val="24"/>
        </w:rPr>
        <w:t>3.2. Tableau de bord exécutif &amp; analytics par exercice comptable</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20 - Tableau de Bord Exécutif &amp; Analytics par Exercice Comptable ]</w:t>
            </w:r>
          </w:p>
        </w:tc>
      </w:tr>
    </w:tbl>
    <w:p>
      <w:pPr>
        <w:spacing w:before="40" w:after="80"/>
      </w:pPr>
    </w:p>
    <w:p>
      <w:pPr>
        <w:spacing w:line="360" w:lineRule="auto" w:before="120" w:after="120"/>
        <w:ind w:firstLine="454"/>
        <w:jc w:val="both"/>
      </w:pPr>
      <w:r>
        <w:rPr>
          <w:rFonts w:ascii="Times New Roman" w:hAnsi="Times New Roman"/>
          <w:b w:val="0"/>
          <w:i w:val="0"/>
          <w:color w:val="000000"/>
          <w:sz w:val="24"/>
        </w:rPr>
        <w:t>Le Tableau de Bord Exécutif (</w:t>
      </w:r>
      <w:r>
        <w:rPr>
          <w:rFonts w:ascii="Consolas" w:hAnsi="Consolas"/>
          <w:b w:val="0"/>
          <w:i w:val="0"/>
          <w:color w:val="B41414"/>
          <w:sz w:val="22"/>
        </w:rPr>
        <w:t>/dashboard</w:t>
      </w:r>
      <w:r>
        <w:rPr>
          <w:rFonts w:ascii="Times New Roman" w:hAnsi="Times New Roman"/>
          <w:b w:val="0"/>
          <w:i w:val="0"/>
          <w:color w:val="000000"/>
          <w:sz w:val="24"/>
        </w:rPr>
        <w:t xml:space="preserve">) offre une tour de contrôle financière et opérationnelle en temps réel. Il embarque en en-tête le sélecteur d'exercice comptable </w:t>
      </w:r>
      <w:r>
        <w:rPr>
          <w:rFonts w:ascii="Consolas" w:hAnsi="Consolas"/>
          <w:b w:val="0"/>
          <w:i w:val="0"/>
          <w:color w:val="B41414"/>
          <w:sz w:val="22"/>
        </w:rPr>
        <w:t>ExerciceSelector</w:t>
      </w:r>
      <w:r>
        <w:rPr>
          <w:rFonts w:ascii="Times New Roman" w:hAnsi="Times New Roman"/>
          <w:b w:val="0"/>
          <w:i w:val="0"/>
          <w:color w:val="000000"/>
          <w:sz w:val="24"/>
        </w:rPr>
        <w:t xml:space="preserve"> (ex: exercice 2026), permettant de filtrer instantanément l'intégralité des indicateurs de gestion sans recharger la page. L'écran met en exergue quatre cartes de KPIs majeurs : le Chiffre d'Affaires total émis, les Primes encaissées, le Reste à recouvrer (créances assurés) et le nombre d'opérations enregistrées. Deux graphiques interactifs visualisent la progression mensuelle sur 12 mois et la répartition sectorielle des primes par branche de risque (Automobile, Maritime, Accidents du Travail).</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InsurFlow ERP        [ Exercice : 2026 v ]        [ Notifications (3) ]       [ Admin (Connecté) ]|</w:t>
              <w:br/>
              <w:t>+----------------------------------------------------------------------------------------------------+</w:t>
              <w:br/>
              <w:t>|  [ 128 Opérations ]    [ 1 450 000 DH ]       [ 980 000 DH ]       [ 470 000 DH ]     [ 45 Clients]|</w:t>
              <w:br/>
              <w:t>|  Total Exercice        Volume Total Émis      Primes Encaissées    Reste à Recouvrer  Portefeuille |</w:t>
              <w:br/>
              <w:t>+----------------------------------------------------------------------------------------------------+</w:t>
              <w:br/>
              <w:t>|  Évolution Mensuelle des Primes Émises (2026)      |  Répartition par Catégorie de Risque          |</w:t>
              <w:br/>
              <w:t>|  [|||  ||||  |||||  |||  ||||||  ||||  |||||  ...] |  [ AUTOMOBILE: 45% | MARITIME: 30% | AT: 25% ]|</w:t>
              <w:br/>
              <w:t>+----------------------------------------------------------------------------------------------------+</w:t>
              <w:br/>
              <w:t>|  Dernières Opérations Émises (Exercice Comptable 2026)                                             |</w:t>
              <w:br/>
              <w:t>|  POL-74278   | Société Atlas Transport | MARITIME   | 45 000 DH | PAYÉ     | [ Fiche Règlement ]   |</w:t>
              <w:br/>
              <w:t>|  POL-30469   | M. Karim Alami          | AUTOMOBILE |  4 200 DH | PARTIEL  | [ Fiche Règlement ]   |</w:t>
              <w:br/>
              <w:t>|  POL-88102   | Société BTP Tanger      | AT         | 18 300 DH | EN_COURS | [ Fiche Règlement ]   |</w:t>
              <w:br/>
              <w:t>+----------------------------------------------------------------------------------------------------+</w:t>
            </w:r>
          </w:p>
        </w:tc>
      </w:tr>
    </w:tbl>
    <w:p>
      <w:pPr>
        <w:spacing w:line="276" w:lineRule="auto" w:before="80" w:after="200"/>
        <w:ind w:firstLine="0"/>
        <w:jc w:val="center"/>
      </w:pPr>
      <w:r>
        <w:rPr>
          <w:rFonts w:ascii="Times New Roman" w:hAnsi="Times New Roman"/>
          <w:b/>
          <w:i w:val="0"/>
          <w:color w:val="1E3A8A"/>
          <w:sz w:val="22"/>
        </w:rPr>
        <w:t>Figure 20 : Interface du Tableau de Bord Exécutif &amp; Analytics par Exercice Comptable</w:t>
      </w:r>
    </w:p>
    <w:p>
      <w:pPr>
        <w:keepNext/>
        <w:spacing w:before="200" w:after="80"/>
        <w:ind w:firstLine="0"/>
        <w:jc w:val="left"/>
      </w:pPr>
      <w:r>
        <w:rPr>
          <w:rFonts w:ascii="Times New Roman" w:hAnsi="Times New Roman"/>
          <w:b/>
          <w:color w:val="334155"/>
          <w:sz w:val="24"/>
        </w:rPr>
        <w:t>3.3. Registre de production des opérations et filtres multi-critères</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21 - Registre de Production des Opérations avec filtres en temps réel et exports ]</w:t>
            </w:r>
          </w:p>
        </w:tc>
      </w:tr>
    </w:tbl>
    <w:p>
      <w:pPr>
        <w:spacing w:before="40" w:after="80"/>
      </w:pPr>
    </w:p>
    <w:p>
      <w:pPr>
        <w:spacing w:line="360" w:lineRule="auto" w:before="120" w:after="120"/>
        <w:ind w:firstLine="454"/>
        <w:jc w:val="both"/>
      </w:pPr>
      <w:r>
        <w:rPr>
          <w:rFonts w:ascii="Times New Roman" w:hAnsi="Times New Roman"/>
          <w:b w:val="0"/>
          <w:i w:val="0"/>
          <w:color w:val="000000"/>
          <w:sz w:val="24"/>
        </w:rPr>
        <w:t>L'interface du Registre de Production (</w:t>
      </w:r>
      <w:r>
        <w:rPr>
          <w:rFonts w:ascii="Consolas" w:hAnsi="Consolas"/>
          <w:b w:val="0"/>
          <w:i w:val="0"/>
          <w:color w:val="B41414"/>
          <w:sz w:val="22"/>
        </w:rPr>
        <w:t>/operations</w:t>
      </w:r>
      <w:r>
        <w:rPr>
          <w:rFonts w:ascii="Times New Roman" w:hAnsi="Times New Roman"/>
          <w:b w:val="0"/>
          <w:i w:val="0"/>
          <w:color w:val="000000"/>
          <w:sz w:val="24"/>
        </w:rPr>
        <w:t>) rassemble l'ensemble des contrats et avenants souscrits par le cabinet. Elle est dotée d'une barre de filtrage multicritères réactive (recherche textuelle instantanée sur le client ou la police, sélection de l'exercice fiscal, choix de la compagnie et du mois d'effet). Le composant intègre deux boutons stratégiques d'exportation de données : un export Excel CSV certifié avec signature binaire UTF-8 BOM garantissant l'intégrité des caractères accentués arabes et français, et un export PDF paginé haute définition prêt pour les audits de l'ACAPS.</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Registre des Opérations de Production                 [ + Nouvelle Police ]  [ Export CSV ] [ PDF]|</w:t>
              <w:br/>
              <w:t>+----------------------------------------------------------------------------------------------------+</w:t>
              <w:br/>
              <w:t>|  [ Recherche client, police... ] [ Exercice: 2026 v ] [ Cie: Toutes v ] [ Catégorie: AUTOMOBILE v ]|</w:t>
              <w:br/>
              <w:t>+----------------------------------------------------------------------------------------------------+</w:t>
              <w:br/>
              <w:t>|  N° Police  | Client            | Date Eff   | Mois Dém | Compagnie     | Montant TTC | Statut     |</w:t>
              <w:br/>
              <w:t>|  POL-1092   | Sté Maghreb Fret  | 01/02/2026 | 2026-02  | Sanlam Maroc  | 18 500 DH   | PAYÉ       |</w:t>
              <w:br/>
              <w:t>|  POL-1093   | M. Ahmed Bennani  | 15/02/2026 | 2026-02  | Wafa Assur    |  3 800 DH   | EN_ATTENTE |</w:t>
              <w:br/>
              <w:t>|  POL-1094   | Sté Tanger Marine | 20/02/2026 | 2026-02  | AtlantaSanad  | 62 000 DH   | PARTIEL    |</w:t>
              <w:br/>
              <w:t>|  POL-1095   | M. Youssef Tazi   | 24/02/2026 | 2026-02  | RMA Assurance |  7 150 DH   | PAYÉ       |</w:t>
              <w:br/>
              <w:t>+----------------------------------------------------------------------------------------------------+</w:t>
            </w:r>
          </w:p>
        </w:tc>
      </w:tr>
    </w:tbl>
    <w:p>
      <w:pPr>
        <w:spacing w:line="276" w:lineRule="auto" w:before="80" w:after="200"/>
        <w:ind w:firstLine="0"/>
        <w:jc w:val="center"/>
      </w:pPr>
      <w:r>
        <w:rPr>
          <w:rFonts w:ascii="Times New Roman" w:hAnsi="Times New Roman"/>
          <w:b/>
          <w:i w:val="0"/>
          <w:color w:val="1E3A8A"/>
          <w:sz w:val="22"/>
        </w:rPr>
        <w:t>Figure 21 : Interface du Registre de Production des Opérations avec filtres multi-critères et exports</w:t>
      </w:r>
    </w:p>
    <w:p>
      <w:pPr>
        <w:keepNext/>
        <w:spacing w:before="200" w:after="80"/>
        <w:ind w:firstLine="0"/>
        <w:jc w:val="left"/>
      </w:pPr>
      <w:r>
        <w:rPr>
          <w:rFonts w:ascii="Times New Roman" w:hAnsi="Times New Roman"/>
          <w:b/>
          <w:color w:val="334155"/>
          <w:sz w:val="24"/>
        </w:rPr>
        <w:t>3.4. Formulaire de police maritime et ventilation co-assurance</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22 - Formulaire de Police Maritime et Ventilation Co-Assurance Dynamique ]</w:t>
            </w:r>
          </w:p>
        </w:tc>
      </w:tr>
    </w:tbl>
    <w:p>
      <w:pPr>
        <w:spacing w:before="40" w:after="80"/>
      </w:pPr>
    </w:p>
    <w:p>
      <w:pPr>
        <w:spacing w:line="360" w:lineRule="auto" w:before="120" w:after="120"/>
        <w:ind w:firstLine="454"/>
        <w:jc w:val="both"/>
      </w:pPr>
      <w:r>
        <w:rPr>
          <w:rFonts w:ascii="Times New Roman" w:hAnsi="Times New Roman"/>
          <w:b w:val="0"/>
          <w:i w:val="0"/>
          <w:color w:val="000000"/>
          <w:sz w:val="24"/>
        </w:rPr>
        <w:t>Ce formulaire spécialisé prend en charge la souscription des risques maritimes (</w:t>
      </w:r>
      <w:r>
        <w:rPr>
          <w:rFonts w:ascii="Consolas" w:hAnsi="Consolas"/>
          <w:b w:val="0"/>
          <w:i w:val="0"/>
          <w:color w:val="B41414"/>
          <w:sz w:val="22"/>
        </w:rPr>
        <w:t>MARITIME</w:t>
      </w:r>
      <w:r>
        <w:rPr>
          <w:rFonts w:ascii="Times New Roman" w:hAnsi="Times New Roman"/>
          <w:b w:val="0"/>
          <w:i w:val="0"/>
          <w:color w:val="000000"/>
          <w:sz w:val="24"/>
        </w:rPr>
        <w:t xml:space="preserve"> et </w:t>
      </w:r>
      <w:r>
        <w:rPr>
          <w:rFonts w:ascii="Consolas" w:hAnsi="Consolas"/>
          <w:b w:val="0"/>
          <w:i w:val="0"/>
          <w:color w:val="B41414"/>
          <w:sz w:val="22"/>
        </w:rPr>
        <w:t>MARITIME A C</w:t>
      </w:r>
      <w:r>
        <w:rPr>
          <w:rFonts w:ascii="Times New Roman" w:hAnsi="Times New Roman"/>
          <w:b w:val="0"/>
          <w:i w:val="0"/>
          <w:color w:val="000000"/>
          <w:sz w:val="24"/>
        </w:rPr>
        <w:t>). Il permet d'enregistrer les métadonnées maritimes réglementaires : nom du navire, numéro de certificat maritime et numéro d'ordre séquentiel interne. Son atout majeur réside dans son module de répartition en co-assurance : le gestionnaire peut associer plusieurs compagnies d'assurances partenaires en renseignant leur quote-part respective. Une jauge interactive vérifie en temps réel que le cumul des pourcentages atteint exactement 100%, bloquant toute validation asymétrique afin de garantir la cohérence des écritures comptables.</w:t>
      </w:r>
    </w:p>
    <w:p>
      <w:pPr>
        <w:spacing w:line="360" w:lineRule="auto" w:before="120" w:after="120"/>
        <w:ind w:firstLine="454"/>
        <w:jc w:val="both"/>
      </w:pPr>
      <w:r>
        <w:rPr>
          <w:rFonts w:ascii="Times New Roman" w:hAnsi="Times New Roman"/>
          <w:b w:val="0"/>
          <w:i w:val="0"/>
          <w:color w:val="000000"/>
          <w:sz w:val="24"/>
        </w:rPr>
        <w:t xml:space="preserve">Afin d'éviter les erreurs de saisie et de garantir la cohérence contractuelle, le formulaire de souscription intègre un moteur d'auto-génération séquentielle du numéro de police. Dès la sélection de la compagnie d'assurance partenaire, le système extrait le trigramme institutionnel (ex: SANLAM, RMA, WAFA, ALLIANZ), récupère l'exercice comptable de la date d'effet et calcule l'incrément séquentiel unique selon le schéma standardisé </w:t>
      </w:r>
      <w:r>
        <w:rPr>
          <w:rFonts w:ascii="Consolas" w:hAnsi="Consolas"/>
          <w:b w:val="0"/>
          <w:i w:val="0"/>
          <w:color w:val="B41414"/>
          <w:sz w:val="22"/>
        </w:rPr>
        <w:t>POL-{COMPAGNIE}-{ANNEE}-{00X}</w:t>
      </w:r>
      <w:r>
        <w:rPr>
          <w:rFonts w:ascii="Times New Roman" w:hAnsi="Times New Roman"/>
          <w:b w:val="0"/>
          <w:i w:val="0"/>
          <w:color w:val="000000"/>
          <w:sz w:val="24"/>
        </w:rPr>
        <w:t>. Un contrôle d'intégrité en cascade propage automatiquement cette référence vers les modules de facturation et de gestion des sinistres.</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Nouvelle Police d'Assurance — Branche MARITIME &amp; CO-ASSURANCE                                     |</w:t>
              <w:br/>
              <w:t>+----------------------------------------------------------------------------------------------------+</w:t>
              <w:br/>
              <w:t>|  Client : [ Société Marocaine de Cabotage v ]        Nature Opération : [ Affaire Nouvelle v ]     |</w:t>
              <w:br/>
              <w:t>|  N° Police : [ POL-MAR-2026-88 ]                      N° Ordre Interne : [ 74278 ]                 |</w:t>
              <w:br/>
              <w:t>|  Nom du Navire : [ MV TANGER EXPRESS ]               N° Certificat : [ CERT-9942 ]                |</w:t>
              <w:br/>
              <w:t>+----------------------------------------------------------------------------------------------------+</w:t>
              <w:br/>
              <w:t>|  Ventilation Co-Assurance Multi-Compagnies :                                                       |</w:t>
              <w:br/>
              <w:t>|  - AtlantaSanad (Compagnie Apéritrice) : [ 50 % ]                                                  |</w:t>
              <w:br/>
              <w:t>|  - RMA Royale Marocaine d'Assurance   : [ 30 % ]                                                  |</w:t>
              <w:br/>
              <w:t>|  - Wafa Assurance                     : [ 20 % ]          [ JAUGE : 100 % — RÉPARTITION CONFORME ] |</w:t>
              <w:br/>
              <w:t>+----------------------------------------------------------------------------------------------------+</w:t>
              <w:br/>
              <w:t>|  Décomposition Primes : Nette [ 50 000 DH ] Taxes [ 7 000 DH ] Accessoires [ 500 DH ]             |</w:t>
              <w:br/>
              <w:t>|  Montant Total TTC Calculé : 57 500 DH                        [ Annuler ] [ Enregistrer la Police ]|</w:t>
              <w:br/>
              <w:t>+----------------------------------------------------------------------------------------------------+</w:t>
            </w:r>
          </w:p>
        </w:tc>
      </w:tr>
    </w:tbl>
    <w:p>
      <w:pPr>
        <w:spacing w:line="276" w:lineRule="auto" w:before="80" w:after="200"/>
        <w:ind w:firstLine="0"/>
        <w:jc w:val="center"/>
      </w:pPr>
      <w:r>
        <w:rPr>
          <w:rFonts w:ascii="Times New Roman" w:hAnsi="Times New Roman"/>
          <w:b/>
          <w:i w:val="0"/>
          <w:color w:val="1E3A8A"/>
          <w:sz w:val="22"/>
        </w:rPr>
        <w:t>Figure 22 : Interface du Formulaire de Saisie d'une Police Maritime et ventilation Co-assurance</w:t>
      </w:r>
    </w:p>
    <w:p>
      <w:pPr>
        <w:keepNext/>
        <w:spacing w:before="200" w:after="80"/>
        <w:ind w:firstLine="0"/>
        <w:jc w:val="left"/>
      </w:pPr>
      <w:r>
        <w:rPr>
          <w:rFonts w:ascii="Times New Roman" w:hAnsi="Times New Roman"/>
          <w:b/>
          <w:color w:val="334155"/>
          <w:sz w:val="24"/>
        </w:rPr>
        <w:t>3.5. Fiche de détail du double circuit financier (Clients &amp; CIE)</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23 - Fiche de Détail du Double Circuit Financier (Clients &amp; CIE) ]</w:t>
            </w:r>
          </w:p>
        </w:tc>
      </w:tr>
    </w:tbl>
    <w:p>
      <w:pPr>
        <w:spacing w:before="40" w:after="80"/>
      </w:pPr>
    </w:p>
    <w:p>
      <w:pPr>
        <w:spacing w:line="360" w:lineRule="auto" w:before="120" w:after="120"/>
        <w:ind w:firstLine="454"/>
        <w:jc w:val="both"/>
      </w:pPr>
      <w:r>
        <w:rPr>
          <w:rFonts w:ascii="Times New Roman" w:hAnsi="Times New Roman"/>
          <w:b w:val="0"/>
          <w:i w:val="0"/>
          <w:color w:val="000000"/>
          <w:sz w:val="24"/>
        </w:rPr>
        <w:t>L'écran de détail du règlement (</w:t>
      </w:r>
      <w:r>
        <w:rPr>
          <w:rFonts w:ascii="Consolas" w:hAnsi="Consolas"/>
          <w:b w:val="0"/>
          <w:i w:val="0"/>
          <w:color w:val="B41414"/>
          <w:sz w:val="22"/>
        </w:rPr>
        <w:t>/regelements/[id]</w:t>
      </w:r>
      <w:r>
        <w:rPr>
          <w:rFonts w:ascii="Times New Roman" w:hAnsi="Times New Roman"/>
          <w:b w:val="0"/>
          <w:i w:val="0"/>
          <w:color w:val="000000"/>
          <w:sz w:val="24"/>
        </w:rPr>
        <w:t xml:space="preserve">) matérialise l'étanchéité comptable du double circuit financier d'InsurFlow. La vue est scindée en deux volets distincts et synchronisés : le </w:t>
      </w:r>
      <w:r>
        <w:rPr>
          <w:rFonts w:ascii="Times New Roman" w:hAnsi="Times New Roman"/>
          <w:b/>
          <w:i w:val="0"/>
          <w:color w:val="000000"/>
          <w:sz w:val="24"/>
        </w:rPr>
        <w:t>Circuit 1 (Encaissements Clients)</w:t>
      </w:r>
      <w:r>
        <w:rPr>
          <w:rFonts w:ascii="Times New Roman" w:hAnsi="Times New Roman"/>
          <w:b w:val="0"/>
          <w:i w:val="0"/>
          <w:color w:val="000000"/>
          <w:sz w:val="24"/>
        </w:rPr>
        <w:t xml:space="preserve"> enregistre les paiements de l'assuré (espèces, chèques bancaires, virements) et ajuste en temps réel le solde de la créance ainsi que l'état d'acquittement (</w:t>
      </w:r>
      <w:r>
        <w:rPr>
          <w:rFonts w:ascii="Consolas" w:hAnsi="Consolas"/>
          <w:b w:val="0"/>
          <w:i w:val="0"/>
          <w:color w:val="B41414"/>
          <w:sz w:val="22"/>
        </w:rPr>
        <w:t>EN_ATTENTE</w:t>
      </w:r>
      <w:r>
        <w:rPr>
          <w:rFonts w:ascii="Times New Roman" w:hAnsi="Times New Roman"/>
          <w:b w:val="0"/>
          <w:i w:val="0"/>
          <w:color w:val="000000"/>
          <w:sz w:val="24"/>
        </w:rPr>
        <w:t xml:space="preserve">, </w:t>
      </w:r>
      <w:r>
        <w:rPr>
          <w:rFonts w:ascii="Consolas" w:hAnsi="Consolas"/>
          <w:b w:val="0"/>
          <w:i w:val="0"/>
          <w:color w:val="B41414"/>
          <w:sz w:val="22"/>
        </w:rPr>
        <w:t>PARTIEL</w:t>
      </w:r>
      <w:r>
        <w:rPr>
          <w:rFonts w:ascii="Times New Roman" w:hAnsi="Times New Roman"/>
          <w:b w:val="0"/>
          <w:i w:val="0"/>
          <w:color w:val="000000"/>
          <w:sz w:val="24"/>
        </w:rPr>
        <w:t xml:space="preserve">, </w:t>
      </w:r>
      <w:r>
        <w:rPr>
          <w:rFonts w:ascii="Consolas" w:hAnsi="Consolas"/>
          <w:b w:val="0"/>
          <w:i w:val="0"/>
          <w:color w:val="B41414"/>
          <w:sz w:val="22"/>
        </w:rPr>
        <w:t>PAYÉ</w:t>
      </w:r>
      <w:r>
        <w:rPr>
          <w:rFonts w:ascii="Times New Roman" w:hAnsi="Times New Roman"/>
          <w:b w:val="0"/>
          <w:i w:val="0"/>
          <w:color w:val="000000"/>
          <w:sz w:val="24"/>
        </w:rPr>
        <w:t xml:space="preserve">). Le </w:t>
      </w:r>
      <w:r>
        <w:rPr>
          <w:rFonts w:ascii="Times New Roman" w:hAnsi="Times New Roman"/>
          <w:b/>
          <w:i w:val="0"/>
          <w:color w:val="000000"/>
          <w:sz w:val="24"/>
        </w:rPr>
        <w:t>Circuit 2 (Reversements Compagnies CIE)</w:t>
      </w:r>
      <w:r>
        <w:rPr>
          <w:rFonts w:ascii="Times New Roman" w:hAnsi="Times New Roman"/>
          <w:b w:val="0"/>
          <w:i w:val="0"/>
          <w:color w:val="000000"/>
          <w:sz w:val="24"/>
        </w:rPr>
        <w:t xml:space="preserve"> consigne les décaissements et bordereaux reversés à l'assureur porteur de risque, garantissant une parfaite isolation entre la dette de l'assuré et la trésorerie due aux partenaires.</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Fiche de Règlement — Police N° POL-MAR-2026-88 (Total TTC : 57 500 DH)     [ Statut : PARTIEL ]   |</w:t>
              <w:br/>
              <w:t>|  Client : Sté Marocaine de Cabotage | Réf Facture : [ FAC-2026-0042 ]                              |</w:t>
              <w:br/>
              <w:t>+----------------------------------------------------------------------------------------------------+</w:t>
              <w:br/>
              <w:t>|  CIRCUIT 1 : ENCAISSEMENTS CLIENT (Total Reçu : 30 000 DH | Solde Restant Dû : 27 500 DH)         |</w:t>
              <w:br/>
              <w:t>|  - 02/02/2026 | Chèque Attijari N° 449201 | 20 000 DH | Émis par : Client  | Enregistré par : Admin|</w:t>
              <w:br/>
              <w:t>|  - 15/02/2026 | Virement Bancaire         | 10 000 DH | Réf : VIR-88391    | Enregistré par : Admin|</w:t>
              <w:br/>
              <w:t>|  [ + Saisir un Encaissement Client ]                                                               |</w:t>
              <w:br/>
              <w:t>+----------------------------------------------------------------------------------------------------+</w:t>
              <w:br/>
              <w:t>|  CIRCUIT 2 : REVERSEMENTS COMPAGNIE CIE (Total Reversé à AtlantaSanad : 25 000 DH)                 |</w:t>
              <w:br/>
              <w:t>|  - 10/02/2026 | Virement Bordereau N° 881 | 25 000 DH | Décaissé par le Cabinet (Compte CIE)       |</w:t>
              <w:br/>
              <w:t>|  [ + Saisir un Reversement Compagnie CIE ]                                                         |</w:t>
              <w:br/>
              <w:t>+----------------------------------------------------------------------------------------------------+</w:t>
            </w:r>
          </w:p>
        </w:tc>
      </w:tr>
    </w:tbl>
    <w:p>
      <w:pPr>
        <w:spacing w:line="276" w:lineRule="auto" w:before="80" w:after="200"/>
        <w:ind w:firstLine="0"/>
        <w:jc w:val="center"/>
      </w:pPr>
      <w:r>
        <w:rPr>
          <w:rFonts w:ascii="Times New Roman" w:hAnsi="Times New Roman"/>
          <w:b/>
          <w:i w:val="0"/>
          <w:color w:val="1E3A8A"/>
          <w:sz w:val="22"/>
        </w:rPr>
        <w:t>Figure 23 : Interface de la Fiche de Détail du Double Circuit Financier (Clients &amp; CIE)</w:t>
      </w:r>
    </w:p>
    <w:p>
      <w:pPr>
        <w:keepNext/>
        <w:spacing w:before="200" w:after="80"/>
        <w:ind w:firstLine="0"/>
        <w:jc w:val="left"/>
      </w:pPr>
      <w:r>
        <w:rPr>
          <w:rFonts w:ascii="Times New Roman" w:hAnsi="Times New Roman"/>
          <w:b/>
          <w:color w:val="334155"/>
          <w:sz w:val="24"/>
        </w:rPr>
        <w:t>3.6. Module facturation, devis proforma et factures d'avoir</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24 - Module Facturation, Devis Proforma et Factures d'Avoir ]</w:t>
            </w:r>
          </w:p>
        </w:tc>
      </w:tr>
    </w:tbl>
    <w:p>
      <w:pPr>
        <w:spacing w:before="40" w:after="80"/>
      </w:pPr>
    </w:p>
    <w:p>
      <w:pPr>
        <w:spacing w:line="360" w:lineRule="auto" w:before="120" w:after="120"/>
        <w:ind w:firstLine="454"/>
        <w:jc w:val="both"/>
      </w:pPr>
      <w:r>
        <w:rPr>
          <w:rFonts w:ascii="Times New Roman" w:hAnsi="Times New Roman"/>
          <w:b w:val="0"/>
          <w:i w:val="0"/>
          <w:color w:val="000000"/>
          <w:sz w:val="24"/>
        </w:rPr>
        <w:t>Le module de Facturation (</w:t>
      </w:r>
      <w:r>
        <w:rPr>
          <w:rFonts w:ascii="Consolas" w:hAnsi="Consolas"/>
          <w:b w:val="0"/>
          <w:i w:val="0"/>
          <w:color w:val="B41414"/>
          <w:sz w:val="22"/>
        </w:rPr>
        <w:t>/factures</w:t>
      </w:r>
      <w:r>
        <w:rPr>
          <w:rFonts w:ascii="Times New Roman" w:hAnsi="Times New Roman"/>
          <w:b w:val="0"/>
          <w:i w:val="0"/>
          <w:color w:val="000000"/>
          <w:sz w:val="24"/>
        </w:rPr>
        <w:t xml:space="preserve">) centralise l'émission, la consultation et la régularisation de toutes les pièces comptables du cabinet. Il gère trois typologies documentaires : les </w:t>
      </w:r>
      <w:r>
        <w:rPr>
          <w:rFonts w:ascii="Times New Roman" w:hAnsi="Times New Roman"/>
          <w:b/>
          <w:i w:val="0"/>
          <w:color w:val="000000"/>
          <w:sz w:val="24"/>
        </w:rPr>
        <w:t>Factures Standards</w:t>
      </w:r>
      <w:r>
        <w:rPr>
          <w:rFonts w:ascii="Times New Roman" w:hAnsi="Times New Roman"/>
          <w:b w:val="0"/>
          <w:i w:val="0"/>
          <w:color w:val="000000"/>
          <w:sz w:val="24"/>
        </w:rPr>
        <w:t xml:space="preserve"> pour les contrats souscrits, les </w:t>
      </w:r>
      <w:r>
        <w:rPr>
          <w:rFonts w:ascii="Times New Roman" w:hAnsi="Times New Roman"/>
          <w:b/>
          <w:i w:val="0"/>
          <w:color w:val="000000"/>
          <w:sz w:val="24"/>
        </w:rPr>
        <w:t>Devis Proforma</w:t>
      </w:r>
      <w:r>
        <w:rPr>
          <w:rFonts w:ascii="Times New Roman" w:hAnsi="Times New Roman"/>
          <w:b w:val="0"/>
          <w:i w:val="0"/>
          <w:color w:val="000000"/>
          <w:sz w:val="24"/>
        </w:rPr>
        <w:t xml:space="preserve"> (avec mention légale automatique de validité contractuelle de 30 jours pour la prospection commerciale), et les </w:t>
      </w:r>
      <w:r>
        <w:rPr>
          <w:rFonts w:ascii="Times New Roman" w:hAnsi="Times New Roman"/>
          <w:b/>
          <w:i w:val="0"/>
          <w:color w:val="000000"/>
          <w:sz w:val="24"/>
        </w:rPr>
        <w:t>Factures d'Avoir</w:t>
      </w:r>
      <w:r>
        <w:rPr>
          <w:rFonts w:ascii="Times New Roman" w:hAnsi="Times New Roman"/>
          <w:b w:val="0"/>
          <w:i w:val="0"/>
          <w:color w:val="000000"/>
          <w:sz w:val="24"/>
        </w:rPr>
        <w:t xml:space="preserve"> pour les annulations ou ristournes de primes. Chaque pièce bénéficie d'un identifiant chronologique unique et d'un suivi dynamique de son statut de règlement (</w:t>
      </w:r>
      <w:r>
        <w:rPr>
          <w:rFonts w:ascii="Consolas" w:hAnsi="Consolas"/>
          <w:b w:val="0"/>
          <w:i w:val="0"/>
          <w:color w:val="B41414"/>
          <w:sz w:val="22"/>
        </w:rPr>
        <w:t>UNPAID</w:t>
      </w:r>
      <w:r>
        <w:rPr>
          <w:rFonts w:ascii="Times New Roman" w:hAnsi="Times New Roman"/>
          <w:b w:val="0"/>
          <w:i w:val="0"/>
          <w:color w:val="000000"/>
          <w:sz w:val="24"/>
        </w:rPr>
        <w:t xml:space="preserve">, </w:t>
      </w:r>
      <w:r>
        <w:rPr>
          <w:rFonts w:ascii="Consolas" w:hAnsi="Consolas"/>
          <w:b w:val="0"/>
          <w:i w:val="0"/>
          <w:color w:val="B41414"/>
          <w:sz w:val="22"/>
        </w:rPr>
        <w:t>PARTIAL</w:t>
      </w:r>
      <w:r>
        <w:rPr>
          <w:rFonts w:ascii="Times New Roman" w:hAnsi="Times New Roman"/>
          <w:b w:val="0"/>
          <w:i w:val="0"/>
          <w:color w:val="000000"/>
          <w:sz w:val="24"/>
        </w:rPr>
        <w:t xml:space="preserve">, </w:t>
      </w:r>
      <w:r>
        <w:rPr>
          <w:rFonts w:ascii="Consolas" w:hAnsi="Consolas"/>
          <w:b w:val="0"/>
          <w:i w:val="0"/>
          <w:color w:val="B41414"/>
          <w:sz w:val="22"/>
        </w:rPr>
        <w:t>PAID</w:t>
      </w:r>
      <w:r>
        <w:rPr>
          <w:rFonts w:ascii="Times New Roman" w:hAnsi="Times New Roman"/>
          <w:b w:val="0"/>
          <w:i w:val="0"/>
          <w:color w:val="000000"/>
          <w:sz w:val="24"/>
        </w:rPr>
        <w:t>).</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Module Facturation &amp; Gestion Documentaire                         [ + Nouveau Devis Proforma ]    |</w:t>
              <w:br/>
              <w:t>+----------------------------------------------------------------------------------------------------+</w:t>
              <w:br/>
              <w:t>|  [ Total Facturé : 850 000 DH ]   [ Total Encaissé : 620 000 DH ]   [ Avoirs Émis : 15 000 DH ]    |</w:t>
              <w:br/>
              <w:t>+----------------------------------------------------------------------------------------------------+</w:t>
              <w:br/>
              <w:t>|  N° Facture    | Date Émission | Type Document | Client / Raison Sociale | Montant TTC | Statut    |</w:t>
              <w:br/>
              <w:t>|  FAC-2026-001  | 05/01/2026    | STANDARD      | Sté Atlas Transport     | 45 000 DH   | PAYÉ      |</w:t>
              <w:br/>
              <w:t>|  PRF-2026-012  | 10/02/2026    | PROFORMA (30j)| Sté Logistique Nord     | 12 500 DH   | EN COURS  |</w:t>
              <w:br/>
              <w:t>|  AVR-2026-003  | 18/02/2026    | AVOIR         | M. Karim Alami          | -2 100 DH   | RÉGLÉ     |</w:t>
              <w:br/>
              <w:t>+----------------------------------------------------------------------------------------------------+</w:t>
            </w:r>
          </w:p>
        </w:tc>
      </w:tr>
    </w:tbl>
    <w:p>
      <w:pPr>
        <w:spacing w:line="276" w:lineRule="auto" w:before="80" w:after="200"/>
        <w:ind w:firstLine="0"/>
        <w:jc w:val="center"/>
      </w:pPr>
      <w:r>
        <w:rPr>
          <w:rFonts w:ascii="Times New Roman" w:hAnsi="Times New Roman"/>
          <w:b/>
          <w:i w:val="0"/>
          <w:color w:val="1E3A8A"/>
          <w:sz w:val="22"/>
        </w:rPr>
        <w:t>Figure 24 : Interface du Module Facturation, Devis Proforma et Factures d'Avoir</w:t>
      </w:r>
    </w:p>
    <w:p>
      <w:pPr>
        <w:keepNext/>
        <w:spacing w:before="200" w:after="80"/>
        <w:ind w:firstLine="0"/>
        <w:jc w:val="left"/>
      </w:pPr>
      <w:r>
        <w:rPr>
          <w:rFonts w:ascii="Times New Roman" w:hAnsi="Times New Roman"/>
          <w:b/>
          <w:color w:val="334155"/>
          <w:sz w:val="24"/>
        </w:rPr>
        <w:t>3.7. Document officiel de facturation et devis PDF haute résolution</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25 - Document de Facture / Devis PDF généré via le moteur OpenPDF ]</w:t>
            </w:r>
          </w:p>
        </w:tc>
      </w:tr>
    </w:tbl>
    <w:p>
      <w:pPr>
        <w:spacing w:before="40" w:after="80"/>
      </w:pPr>
    </w:p>
    <w:p>
      <w:pPr>
        <w:spacing w:line="360" w:lineRule="auto" w:before="120" w:after="120"/>
        <w:ind w:firstLine="454"/>
        <w:jc w:val="both"/>
      </w:pPr>
      <w:r>
        <w:rPr>
          <w:rFonts w:ascii="Times New Roman" w:hAnsi="Times New Roman"/>
          <w:b w:val="0"/>
          <w:i w:val="0"/>
          <w:color w:val="000000"/>
          <w:sz w:val="24"/>
        </w:rPr>
        <w:t>Cette interface restitue l'aperçu vectoriel du document PDF compilé côté serveur par le moteur Java OpenPDF. Le document généré respecte fidèlement les normes de facturation marocaine : en-tête officiel du cabinet, identification complète du client (ICE 15 chiffres, CIN, Identifiant Fiscal, Patente), tableau détaillé des primes avec ventilation Hors Taxes (HT), taux et montants de TVA (14% ou 20%), taxe parafiscale, accessoires, et total général TTC. Le pied de page certifie le document avec mention du tribunal compétent et signature numérique de l'agence.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CABINET DE COURTAGE ASSURANCE YK SOFTWARE                       FACTURE N° : FAC-2026-0042        |</w:t>
              <w:br/>
              <w:t>|  Boulevard d'Anfa, Casablanca - ICE : 001892837000042            Date d'émission : 15/02/2026      |</w:t>
              <w:br/>
              <w:t>+----------------------------------------------------------------------------------------------------+</w:t>
              <w:br/>
              <w:t>|  DESTINATAIRE (CLIENT) :                                         DÉTAILS CONTRAT :                 |</w:t>
              <w:br/>
              <w:t>|  Société Marocaine de Cabotage                                   Police : POL-MAR-2026-88          |</w:t>
              <w:br/>
              <w:t>|  ICE : 002991823000091 | RC : 49201 | IF : 339201                Branche : MARITIME                |</w:t>
              <w:br/>
              <w:t>+----------------------------------------------------------------------------------------------------+</w:t>
              <w:br/>
              <w:t>|  Désignation des Garanties / Rubriques             |  Taux TVA  |  Montant HT MAD  |  Total TTC    |</w:t>
              <w:br/>
              <w:t>|  Prime Nette Maritime (Navire MV TANGER EXPRESS)   |    14 %    |    50 000,00     |   57 000,00   |</w:t>
              <w:br/>
              <w:t>|  Accessoires de Police et Frais d'Émission         |    20 %    |       500,00     |      600,00   |</w:t>
              <w:br/>
              <w:t>+----------------------------------------------------------------------------------------------------+</w:t>
              <w:br/>
              <w:t>|  TOTAL HORS TAXES (HT) :                                                         50 500,00 MAD     |</w:t>
              <w:br/>
              <w:t>|  MONTANT TOTAL TVA :                                                              7 100,00 MAD     |</w:t>
              <w:br/>
              <w:t>|  NET À PAYER TOUTES TAXES COMPRISES (TTC) :                                      57 600,00 MAD     |</w:t>
              <w:br/>
              <w:t>+----------------------------------------------------------------------------------------------------+</w:t>
              <w:br/>
              <w:t>|  Cachet &amp; Signature Électronique de l'Intermédiaire Agréé             Document certifié conforme   |</w:t>
              <w:br/>
              <w:t>+----------------------------------------------------------------------------------------------------+</w:t>
            </w:r>
          </w:p>
        </w:tc>
      </w:tr>
    </w:tbl>
    <w:p>
      <w:pPr>
        <w:spacing w:line="276" w:lineRule="auto" w:before="80" w:after="200"/>
        <w:ind w:firstLine="0"/>
        <w:jc w:val="center"/>
      </w:pPr>
      <w:r>
        <w:rPr>
          <w:rFonts w:ascii="Times New Roman" w:hAnsi="Times New Roman"/>
          <w:b/>
          <w:i w:val="0"/>
          <w:color w:val="1E3A8A"/>
          <w:sz w:val="22"/>
        </w:rPr>
        <w:t>Figure 25 : Document officiel de Facture / Devis PDF généré via le moteur OpenPDF</w:t>
      </w:r>
    </w:p>
    <w:p>
      <w:pPr>
        <w:keepNext/>
        <w:spacing w:before="200" w:after="80"/>
        <w:ind w:firstLine="0"/>
        <w:jc w:val="left"/>
      </w:pPr>
      <w:r>
        <w:rPr>
          <w:rFonts w:ascii="Times New Roman" w:hAnsi="Times New Roman"/>
          <w:b/>
          <w:color w:val="334155"/>
          <w:sz w:val="24"/>
        </w:rPr>
        <w:t>3.8. Modal d'analyse intelligente des sinistres par IA (Claims AI)</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26 - Modal d'Analyse Intelligente des Sinistres par IA (Claims AI) ]</w:t>
            </w:r>
          </w:p>
        </w:tc>
      </w:tr>
    </w:tbl>
    <w:p>
      <w:pPr>
        <w:spacing w:before="40" w:after="80"/>
      </w:pPr>
    </w:p>
    <w:p>
      <w:pPr>
        <w:spacing w:line="360" w:lineRule="auto" w:before="120" w:after="120"/>
        <w:ind w:firstLine="454"/>
        <w:jc w:val="both"/>
      </w:pPr>
      <w:r>
        <w:rPr>
          <w:rFonts w:ascii="Times New Roman" w:hAnsi="Times New Roman"/>
          <w:b w:val="0"/>
          <w:i w:val="0"/>
          <w:color w:val="000000"/>
          <w:sz w:val="24"/>
        </w:rPr>
        <w:t>L'assistant intelligent de gestion des sinistres (</w:t>
      </w:r>
      <w:r>
        <w:rPr>
          <w:rFonts w:ascii="Consolas" w:hAnsi="Consolas"/>
          <w:b w:val="0"/>
          <w:i w:val="0"/>
          <w:color w:val="B41414"/>
          <w:sz w:val="22"/>
        </w:rPr>
        <w:t>Claims AI</w:t>
      </w:r>
      <w:r>
        <w:rPr>
          <w:rFonts w:ascii="Times New Roman" w:hAnsi="Times New Roman"/>
          <w:b w:val="0"/>
          <w:i w:val="0"/>
          <w:color w:val="000000"/>
          <w:sz w:val="24"/>
        </w:rPr>
        <w:t>) se présente sous la forme d'une fenêtre modale interactive accessible depuis la fiche de contrat et le registre des sinistres. L'assistant intelligent élimine toute redondance en liant dynamiquement le client sélectionné à son portefeuille de contrats actifs : le sélecteur restreint instantanément le choix aux seules polices souscrites par l'assuré. Dès l'analyse du constat amiable, le moteur d'inférence confronte le récit aux exigences de la Loi n° 17-99 (Code des Assurances) en auditant le respect du délai légal de déclaration (Article 20, seuil de 5 jours ouvrés). Parallèlement, il détermine automatiquement le degré de responsabilité selon les conventions CID / CISA (Barème ACAPS) et calcule le décompte net d'indemnisation par imputation de la franchise contractuelle.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 AI CLAIMS ANALYZER ] — Expertise Intelligente de Déclaration de Sinistre &amp; Fraude               |</w:t>
              <w:br/>
              <w:t>+----------------------------------------------------------------------------------------------------+</w:t>
              <w:br/>
              <w:t>|  Client : [ M. Omar Tazi ]               Police Rattachée : [ POL-AUTO-2026-104 ]                  |</w:t>
              <w:br/>
              <w:t>|  Récit du Constat Amiable :                                                                        |</w:t>
              <w:br/>
              <w:t>|  "Choc arrière sur voie rapide suite à un freinage d'urgence du véhicule tiers B. Déclaration       |</w:t>
              <w:br/>
              <w:t>|   transmise avec 12 jours de retard par rapport à la date de l'accident."                          |</w:t>
              <w:br/>
              <w:t>|  Dommages Estimés : [ 15 000 DH ]        Franchise Contractuelle : [ 2 000 DH ]                    |</w:t>
              <w:br/>
              <w:t>+----------------------------------------------------------------------------------------------------+</w:t>
              <w:br/>
              <w:t>|  RAPPORT D'EXPERTISE AUTOMATISÉ IA :                                                               |</w:t>
              <w:br/>
              <w:t>|  * Score de Suspicion de Fraude : [ 65/100 — RISQUE MOYEN ]                                        |</w:t>
              <w:br/>
              <w:t>|  * Responsabilité Établie : 0% Responsable (Recours intégral 100% contre Tiers — Barème CISA)      |</w:t>
              <w:br/>
              <w:t>|  * Décompte Financier Net : 13 000 DH (Dommages 15 000 DH - Franchise déductible 2 000 DH)         |</w:t>
              <w:br/>
              <w:t>|  * Anomalie Détectée : Déclaration tardive &gt; 5 jours ouvrés (Article 20 de la Loi n° 17-99)       |</w:t>
              <w:br/>
              <w:t>|  * Recommandation : Exiger justificatif du retard (force majeure) et mandater un expert agréé      |</w:t>
              <w:br/>
              <w:t>+----------------------------------------------------------------------------------------------------+</w:t>
            </w:r>
          </w:p>
        </w:tc>
      </w:tr>
    </w:tbl>
    <w:p>
      <w:pPr>
        <w:spacing w:line="276" w:lineRule="auto" w:before="80" w:after="200"/>
        <w:ind w:firstLine="0"/>
        <w:jc w:val="center"/>
      </w:pPr>
      <w:r>
        <w:rPr>
          <w:rFonts w:ascii="Times New Roman" w:hAnsi="Times New Roman"/>
          <w:b/>
          <w:i w:val="0"/>
          <w:color w:val="1E3A8A"/>
          <w:sz w:val="22"/>
        </w:rPr>
        <w:t>Figure 26 : Interface du Modal d'Analyse Intelligente des Sinistres par IA (Claims AI)</w:t>
      </w:r>
    </w:p>
    <w:p>
      <w:pPr>
        <w:keepNext/>
        <w:spacing w:before="200" w:after="80"/>
        <w:ind w:firstLine="0"/>
        <w:jc w:val="left"/>
      </w:pPr>
      <w:r>
        <w:rPr>
          <w:rFonts w:ascii="Times New Roman" w:hAnsi="Times New Roman"/>
          <w:b/>
          <w:color w:val="334155"/>
          <w:sz w:val="24"/>
        </w:rPr>
        <w:t>3.9. Registre et pilotage du cycle de vie des sinistres</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27 - Tableau de bord et registre de gestion du portefeuille de sinistres ]</w:t>
            </w:r>
          </w:p>
        </w:tc>
      </w:tr>
    </w:tbl>
    <w:p>
      <w:pPr>
        <w:spacing w:before="40" w:after="80"/>
      </w:pPr>
    </w:p>
    <w:p>
      <w:pPr>
        <w:spacing w:line="360" w:lineRule="auto" w:before="120" w:after="120"/>
        <w:ind w:firstLine="454"/>
        <w:jc w:val="both"/>
      </w:pPr>
      <w:r>
        <w:rPr>
          <w:rFonts w:ascii="Times New Roman" w:hAnsi="Times New Roman"/>
          <w:b w:val="0"/>
          <w:i w:val="0"/>
          <w:color w:val="000000"/>
          <w:sz w:val="24"/>
        </w:rPr>
        <w:t xml:space="preserve">Ce module centralise l'ensemble du portefeuille des sinistres instruits au sein du cabinet. Il modélise le cycle de vie complet du dossier à travers une machine à états finis (DÉCLARÉ </w:t>
      </w:r>
      <w:r>
        <w:rPr>
          <w:rFonts w:ascii="Cambria Math" w:hAnsi="Cambria Math"/>
          <w:b w:val="0"/>
          <w:i/>
          <w:color w:val="000000"/>
          <w:sz w:val="24"/>
        </w:rPr>
        <w:t>\rightarrow</w:t>
      </w:r>
      <w:r>
        <w:rPr>
          <w:rFonts w:ascii="Times New Roman" w:hAnsi="Times New Roman"/>
          <w:b w:val="0"/>
          <w:i w:val="0"/>
          <w:color w:val="000000"/>
          <w:sz w:val="24"/>
        </w:rPr>
        <w:t xml:space="preserve"> EN EXPERTISE </w:t>
      </w:r>
      <w:r>
        <w:rPr>
          <w:rFonts w:ascii="Cambria Math" w:hAnsi="Cambria Math"/>
          <w:b w:val="0"/>
          <w:i/>
          <w:color w:val="000000"/>
          <w:sz w:val="24"/>
        </w:rPr>
        <w:t>\rightarrow</w:t>
      </w:r>
      <w:r>
        <w:rPr>
          <w:rFonts w:ascii="Times New Roman" w:hAnsi="Times New Roman"/>
          <w:b w:val="0"/>
          <w:i w:val="0"/>
          <w:color w:val="000000"/>
          <w:sz w:val="24"/>
        </w:rPr>
        <w:t xml:space="preserve"> INDEMNISÉ </w:t>
      </w:r>
      <w:r>
        <w:rPr>
          <w:rFonts w:ascii="Cambria Math" w:hAnsi="Cambria Math"/>
          <w:b w:val="0"/>
          <w:i/>
          <w:color w:val="000000"/>
          <w:sz w:val="24"/>
        </w:rPr>
        <w:t>\rightarrow</w:t>
      </w:r>
      <w:r>
        <w:rPr>
          <w:rFonts w:ascii="Times New Roman" w:hAnsi="Times New Roman"/>
          <w:b w:val="0"/>
          <w:i w:val="0"/>
          <w:color w:val="000000"/>
          <w:sz w:val="24"/>
        </w:rPr>
        <w:t xml:space="preserve"> CLÔTURÉ). Le tableau de bord restitue en temps réel les indicateurs clés de sinistralité (encours global indemnisable, taux de responsabilité moyen, distribution du score de fraude IA) et propose une pagination dynamique et multicritère (filtres par statut légal, compagnie apéritrice et niveau de risque).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InsurFlow ERP — Module Gestion des Sinistres &amp; Arbitrage ACAPS            [ + Nouveau Sinistre IA]|</w:t>
              <w:br/>
              <w:t>+----------------------------------------------------------------------------------------------------+</w:t>
              <w:br/>
              <w:t>|  [ 6 Sinistres Actifs ]     [ 2 En Expertise ]      [ 163 200 DH ]             [ 27.8 / 100 ]      |</w:t>
              <w:br/>
              <w:t>|  Portefeuille Global        Instruction en cours    Indemnités Nettes Dues     Score Fraude Moyen  |</w:t>
              <w:br/>
              <w:t>+----------------------------------------------------------------------------------------------------+</w:t>
              <w:br/>
              <w:t>|  [ Recherche sinistre, client... ] [ Statut : Tous v ] [ Risque : Tous v ]                         |</w:t>
              <w:br/>
              <w:t>+----------------------------------------------------------------------------------------------------+</w:t>
              <w:br/>
              <w:t>|  Réf. Sinistre | Client / Assuré    | N° Police &amp; Compagnie | Score Fraude IA | Net MAD   | Statut   |</w:t>
              <w:br/>
              <w:t>|  SIN-2026-0001 | Sté Maghreb Fret   | POL-ATLANTA-2026-001  | 12/100 (Faible) | 16 500 DH | EXPERTISE|</w:t>
              <w:br/>
              <w:t>|  SIN-2026-0002 | M. Youssef Mansouri| POL-SANLAM-2026-001   | 42/100 (Moyen)  |  7 700 DH | DÉCLARÉ  |</w:t>
              <w:br/>
              <w:t>|  SIN-2026-0003 | Sté Atlas Transport| POL-RMA-2026-001      | 08/100 (Faible) | 37 000 DH | INDEMNISÉ|</w:t>
              <w:br/>
              <w:t>|  SIN-2026-0006 | Mme Amina Amrani   | POL-AXA-2026-001      | 78/100 (Élevé)  | 25 000 DH | DÉCLARÉ  |</w:t>
              <w:br/>
              <w:t>+----------------------------------------------------------------------------------------------------+</w:t>
              <w:br/>
              <w:t>|  Affichage de 1 à 6 sur 6 sinistres                  [ 10 / page v ] [ Précédent ] [ 1 ] [ Suivant]|</w:t>
              <w:br/>
              <w:t>+----------------------------------------------------------------------------------------------------+</w:t>
            </w:r>
          </w:p>
        </w:tc>
      </w:tr>
    </w:tbl>
    <w:p>
      <w:pPr>
        <w:spacing w:line="276" w:lineRule="auto" w:before="80" w:after="200"/>
        <w:ind w:firstLine="0"/>
        <w:jc w:val="center"/>
      </w:pPr>
      <w:r>
        <w:rPr>
          <w:rFonts w:ascii="Times New Roman" w:hAnsi="Times New Roman"/>
          <w:b/>
          <w:i w:val="0"/>
          <w:color w:val="1E3A8A"/>
          <w:sz w:val="22"/>
        </w:rPr>
        <w:t>Figure 27 : Tableau de bord et registre de gestion du portefeuille de sinistres</w:t>
      </w:r>
    </w:p>
    <w:p>
      <w:pPr>
        <w:keepNext/>
        <w:spacing w:before="200" w:after="80"/>
        <w:ind w:firstLine="0"/>
        <w:jc w:val="left"/>
      </w:pPr>
      <w:r>
        <w:rPr>
          <w:rFonts w:ascii="Times New Roman" w:hAnsi="Times New Roman"/>
          <w:b/>
          <w:color w:val="334155"/>
          <w:sz w:val="24"/>
        </w:rPr>
        <w:t>3.10. Stack d'observabilité et monitoring de production (Grafana / Prometheus)</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28 - Tableau de Bord d'Observabilité et Monitoring Grafana / Prometheus ]</w:t>
            </w:r>
          </w:p>
        </w:tc>
      </w:tr>
    </w:tbl>
    <w:p>
      <w:pPr>
        <w:spacing w:before="40" w:after="80"/>
      </w:pPr>
    </w:p>
    <w:p>
      <w:pPr>
        <w:spacing w:line="360" w:lineRule="auto" w:before="120" w:after="120"/>
        <w:ind w:firstLine="454"/>
        <w:jc w:val="both"/>
      </w:pPr>
      <w:r>
        <w:rPr>
          <w:rFonts w:ascii="Times New Roman" w:hAnsi="Times New Roman"/>
          <w:b w:val="0"/>
          <w:i w:val="0"/>
          <w:color w:val="000000"/>
          <w:sz w:val="24"/>
        </w:rPr>
        <w:t>Cette interface de supervision d'infrastructure (</w:t>
      </w:r>
      <w:r>
        <w:rPr>
          <w:rFonts w:ascii="Consolas" w:hAnsi="Consolas"/>
          <w:b w:val="0"/>
          <w:i w:val="0"/>
          <w:color w:val="B41414"/>
          <w:sz w:val="22"/>
        </w:rPr>
        <w:t>/grafana</w:t>
      </w:r>
      <w:r>
        <w:rPr>
          <w:rFonts w:ascii="Times New Roman" w:hAnsi="Times New Roman"/>
          <w:b w:val="0"/>
          <w:i w:val="0"/>
          <w:color w:val="000000"/>
          <w:sz w:val="24"/>
        </w:rPr>
        <w:t>) centralise les métriques techniques collectées en temps réel par Prometheus via Spring Boot Actuator et Micrometer. Elle permet aux ingénieurs système de surveiller l'état de santé des conteneurs Docker en production sur la VM Azure : taux d'usage CPU et mémoire vive de la machine hôte, allocation de la mémoire Heap de la machine virtuelle Java 21, latences des requêtes HTTP (percentiles p95 et p99), volumétrie des connexions actives au pool MongoDB et statut de disponibilité des services (Uptime 99.9%).</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w:t>
              <w:br/>
              <w:t>|  Grafana Monitoring Dashboard — Plateforme InsurFlow Production             [ Uptime : 99.98 % ]   |</w:t>
              <w:br/>
              <w:t>+----------------------------------------------------------------------------------------------------+</w:t>
              <w:br/>
              <w:t>|  [ CPU Usage : 14.2 % ]       [ RAM JVM : 512 Mo / 2 Go ]      [ HTTP Req/s : 42.5 req/s ]         |</w:t>
              <w:br/>
              <w:t>|  Charge Système VM Azure      Heap Memory Java 21              Débit Requêtes Spring Boot          |</w:t>
              <w:br/>
              <w:t>+----------------------------------------------------------------------------------------------------+</w:t>
              <w:br/>
              <w:t>|  Latence des Endpoints REST (/api/...)             |  Statut des Conteneurs Docker (insurflow_net) |</w:t>
              <w:br/>
              <w:t>|  p50: 12ms | p95: 45ms | p99: 110ms                |  - backend (Spring Boot 3.3)   : [ HEALTHY ]  |</w:t>
              <w:br/>
              <w:t>|  [-----------------------------------------------] |  - frontend (Next.js 15)       : [ HEALTHY ]  |</w:t>
              <w:br/>
              <w:t>|  Volume Connexions MongoDB 7.0                     |  - mongodb (Database 7.0)      : [ HEALTHY ]  |</w:t>
              <w:br/>
              <w:t>|  Actives : 8 | En attente : 0                      |  - nginx (Reverse Proxy TLS)   : [ HEALTHY ]  |</w:t>
              <w:br/>
              <w:t>+----------------------------------------------------------------------------------------------------+</w:t>
            </w:r>
          </w:p>
        </w:tc>
      </w:tr>
    </w:tbl>
    <w:p>
      <w:pPr>
        <w:spacing w:line="276" w:lineRule="auto" w:before="80" w:after="200"/>
        <w:ind w:firstLine="0"/>
        <w:jc w:val="center"/>
      </w:pPr>
      <w:r>
        <w:rPr>
          <w:rFonts w:ascii="Times New Roman" w:hAnsi="Times New Roman"/>
          <w:b/>
          <w:i w:val="0"/>
          <w:color w:val="1E3A8A"/>
          <w:sz w:val="22"/>
        </w:rPr>
        <w:t>Figure 28 : Interface du Tableau de Bord d'Observabilité &amp; Monitoring Grafana / Prometheus</w:t>
      </w:r>
    </w:p>
    <w:p>
      <w:pPr>
        <w:keepNext/>
        <w:spacing w:before="200" w:after="80"/>
        <w:ind w:firstLine="0"/>
        <w:jc w:val="left"/>
      </w:pPr>
      <w:r>
        <w:rPr>
          <w:rFonts w:ascii="Times New Roman" w:hAnsi="Times New Roman"/>
          <w:b/>
          <w:color w:val="334155"/>
          <w:sz w:val="24"/>
        </w:rPr>
        <w:t>3.11. Pipeline d'automatisation DevSecOps (CI/CD GitHub Actions &amp; Scans Trivy)</w:t>
      </w:r>
    </w:p>
    <w:tbl>
      <w:tblPr>
        <w:tblW w:type="auto" w:w="0"/>
        <w:jc w:val="center"/>
        <w:tblLook w:firstColumn="1" w:firstRow="1" w:lastColumn="0" w:lastRow="0" w:noHBand="0" w:noVBand="1" w:val="04A0"/>
      </w:tblPr>
      <w:tblGrid>
        <w:gridCol w:w="9072"/>
      </w:tblGrid>
      <w:tr>
        <w:tc>
          <w:tcPr>
            <w:tcW w:type="dxa" w:w="9071"/>
            <w:tcMar>
              <w:top w:w="160" w:type="dxa"/>
              <w:bottom w:w="160" w:type="dxa"/>
              <w:left w:w="160" w:type="dxa"/>
              <w:right w:w="160" w:type="dxa"/>
            </w:tcMar>
            <w:shd w:fill="EFF6FF"/>
            <w:tcBorders>
              <w:top w:val="single" w:sz="8" w:space="0" w:color="3B82F6"/>
              <w:left w:val="single" w:sz="8" w:space="0" w:color="3B82F6"/>
              <w:bottom w:val="single" w:sz="8" w:space="0" w:color="3B82F6"/>
              <w:right w:val="single" w:sz="8" w:space="0" w:color="3B82F6"/>
            </w:tcBorders>
          </w:tcPr>
          <w:p>
            <w:pPr>
              <w:spacing w:line="276" w:lineRule="auto" w:before="80" w:after="80"/>
              <w:ind w:firstLine="0"/>
              <w:jc w:val="center"/>
            </w:pPr>
            <w:r>
              <w:rPr>
                <w:rFonts w:ascii="Times New Roman" w:hAnsi="Times New Roman"/>
                <w:b/>
                <w:i/>
                <w:color w:val="1E3A8A"/>
                <w:sz w:val="22"/>
              </w:rPr>
              <w:t>📷  [ Insérer ici la capture d'écran : Figure 29 - Pipeline CI/CD DevSecOps sous GitHub Actions avec scans de sécurité Trivy ]</w:t>
            </w:r>
          </w:p>
        </w:tc>
      </w:tr>
    </w:tbl>
    <w:p>
      <w:pPr>
        <w:spacing w:before="40" w:after="80"/>
      </w:pPr>
    </w:p>
    <w:p>
      <w:pPr>
        <w:spacing w:line="360" w:lineRule="auto" w:before="120" w:after="120"/>
        <w:ind w:firstLine="454"/>
        <w:jc w:val="both"/>
      </w:pPr>
      <w:r>
        <w:rPr>
          <w:rFonts w:ascii="Times New Roman" w:hAnsi="Times New Roman"/>
          <w:b w:val="0"/>
          <w:i w:val="0"/>
          <w:color w:val="000000"/>
          <w:sz w:val="24"/>
        </w:rPr>
        <w:t>L'intégration et le déploiement continus sont orchestrés par GitHub Actions (</w:t>
      </w:r>
      <w:r>
        <w:rPr>
          <w:rFonts w:ascii="Consolas" w:hAnsi="Consolas"/>
          <w:b w:val="0"/>
          <w:i w:val="0"/>
          <w:color w:val="B41414"/>
          <w:sz w:val="22"/>
        </w:rPr>
        <w:t>deploy.yml</w:t>
      </w:r>
      <w:r>
        <w:rPr>
          <w:rFonts w:ascii="Times New Roman" w:hAnsi="Times New Roman"/>
          <w:b w:val="0"/>
          <w:i w:val="0"/>
          <w:color w:val="000000"/>
          <w:sz w:val="24"/>
        </w:rPr>
        <w:t xml:space="preserve">). Le workflow DevSecOps déclenché à chaque commit sur la branche </w:t>
      </w:r>
      <w:r>
        <w:rPr>
          <w:rFonts w:ascii="Consolas" w:hAnsi="Consolas"/>
          <w:b w:val="0"/>
          <w:i w:val="0"/>
          <w:color w:val="B41414"/>
          <w:sz w:val="22"/>
        </w:rPr>
        <w:t>main</w:t>
      </w:r>
      <w:r>
        <w:rPr>
          <w:rFonts w:ascii="Times New Roman" w:hAnsi="Times New Roman"/>
          <w:b w:val="0"/>
          <w:i w:val="0"/>
          <w:color w:val="000000"/>
          <w:sz w:val="24"/>
        </w:rPr>
        <w:t xml:space="preserve"> automatise trois étapes rigoureuses : la compilation et validation unitaire (Maven tests Java 21 et vérification TypeScript strict Next.js), l'audit statique de sécurité via le scanner Trivy bloquant toute dépendance présentant une vulnérabilité critique ou élevée, et le déploiement automatisé par tunnel SSH sur la machine virtuelle Azure avec mise à jour à chaud des conteneurs Docker Compose.</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7"/>
              </w:rPr>
              <w:t>graph LR</w:t>
              <w:br/>
              <w:t xml:space="preserve">    P["Push sur main"] --&gt; STAGE1["Stage 1: Build &amp; Tests&lt;br&gt;(Maven test + npm typecheck)"]</w:t>
              <w:br/>
              <w:t xml:space="preserve">    STAGE1 --&gt; STAGE2["Stage 2: Security Scan&lt;br&gt;(Trivy Scan CVE Critical/High)"]</w:t>
              <w:br/>
              <w:t xml:space="preserve">    STAGE2 --&gt; STAGE3["Stage 3: CD Azure VM&lt;br&gt;(SSH Deploy + Docker Compose Build)"]</w:t>
              <w:br/>
              <w:t xml:space="preserve">    STAGE3 --&gt; PROD["Application en Ligne Sécurisée&lt;br&gt;(https://insurflow-app.duckdns.org)"]</w:t>
            </w:r>
          </w:p>
        </w:tc>
      </w:tr>
    </w:tbl>
    <w:p>
      <w:pPr>
        <w:spacing w:line="276" w:lineRule="auto" w:before="80" w:after="200"/>
        <w:ind w:firstLine="0"/>
        <w:jc w:val="center"/>
      </w:pPr>
      <w:r>
        <w:rPr>
          <w:rFonts w:ascii="Times New Roman" w:hAnsi="Times New Roman"/>
          <w:b/>
          <w:i w:val="0"/>
          <w:color w:val="1E3A8A"/>
          <w:sz w:val="22"/>
        </w:rPr>
        <w:t>Figure 29 : Pipeline CI/CD DevSecOps sous GitHub Actions avec scans de sécurité Trivy</w:t>
      </w:r>
    </w:p>
    <w:p>
      <w:pPr>
        <w:keepNext/>
        <w:spacing w:before="280" w:after="120"/>
        <w:ind w:firstLine="0"/>
        <w:jc w:val="left"/>
      </w:pPr>
      <w:r>
        <w:rPr>
          <w:rFonts w:ascii="Times New Roman" w:hAnsi="Times New Roman"/>
          <w:b/>
          <w:color w:val="1E293B"/>
          <w:sz w:val="28"/>
        </w:rPr>
        <w:t>4. Conclusion</w:t>
      </w:r>
    </w:p>
    <w:p>
      <w:pPr>
        <w:spacing w:line="360" w:lineRule="auto" w:before="120" w:after="120"/>
        <w:ind w:firstLine="454"/>
        <w:jc w:val="both"/>
      </w:pPr>
      <w:r>
        <w:rPr>
          <w:rFonts w:ascii="Times New Roman" w:hAnsi="Times New Roman"/>
          <w:b w:val="0"/>
          <w:i w:val="0"/>
          <w:color w:val="000000"/>
          <w:sz w:val="24"/>
        </w:rPr>
        <w:t xml:space="preserve">Ce quatrième chapitre a mis en lumière la réalisation concrète et le déploiement opérationnel d'InsurFlow. En combinant un environnement matériel et logiciel de pointe, des interfaces soignées respectant les règles ergonomiques du </w:t>
      </w:r>
      <w:r>
        <w:rPr>
          <w:rFonts w:ascii="Times New Roman" w:hAnsi="Times New Roman"/>
          <w:b w:val="0"/>
          <w:i/>
          <w:color w:val="000000"/>
          <w:sz w:val="24"/>
        </w:rPr>
        <w:t>Modern Whitespace</w:t>
      </w:r>
      <w:r>
        <w:rPr>
          <w:rFonts w:ascii="Times New Roman" w:hAnsi="Times New Roman"/>
          <w:b w:val="0"/>
          <w:i w:val="0"/>
          <w:color w:val="000000"/>
          <w:sz w:val="24"/>
        </w:rPr>
        <w:t>, des modules d'Intelligence Artificielle à forte valeur ajoutée et une chaîne DevSecOps entièrement automatisée, nous avons délivré une solution ERP complète, robuste et immédiatement exploitable par l'organisme d'accueil.</w:t>
      </w:r>
    </w:p>
    <w:p>
      <w:r>
        <w:br w:type="page"/>
      </w:r>
    </w:p>
    <w:p>
      <w:r>
        <w:br w:type="page"/>
      </w:r>
    </w:p>
    <w:p>
      <w:pPr>
        <w:keepNext/>
        <w:spacing w:before="360" w:after="160"/>
        <w:ind w:firstLine="0"/>
        <w:jc w:val="left"/>
      </w:pPr>
      <w:r>
        <w:rPr>
          <w:rFonts w:ascii="Times New Roman" w:hAnsi="Times New Roman"/>
          <w:b/>
          <w:color w:val="0F172A"/>
          <w:sz w:val="32"/>
        </w:rPr>
        <w:t>Conclusion Générale</w:t>
      </w:r>
    </w:p>
    <w:p>
      <w:pPr>
        <w:spacing w:line="360" w:lineRule="auto" w:before="120" w:after="120"/>
        <w:ind w:firstLine="454"/>
        <w:jc w:val="both"/>
      </w:pPr>
      <w:r>
        <w:rPr>
          <w:rFonts w:ascii="Times New Roman" w:hAnsi="Times New Roman"/>
          <w:b w:val="0"/>
          <w:i w:val="0"/>
          <w:color w:val="000000"/>
          <w:sz w:val="24"/>
        </w:rPr>
        <w:t xml:space="preserve">Au terme de ce Projet de Fin d'Année (PFA) de 4ème Année en Ingénierie Informatique et Réseaux à l'École Marocaine des Sciences de l'Ingénieur (EMSI), nous avons mené avec succès l'étude, la conception et la réalisation de la plateforme ERP d'assurance </w:t>
      </w:r>
      <w:r>
        <w:rPr>
          <w:rFonts w:ascii="Times New Roman" w:hAnsi="Times New Roman"/>
          <w:b/>
          <w:i w:val="0"/>
          <w:color w:val="000000"/>
          <w:sz w:val="24"/>
        </w:rPr>
        <w:t>InsurFlow</w:t>
      </w:r>
      <w:r>
        <w:rPr>
          <w:rFonts w:ascii="Times New Roman" w:hAnsi="Times New Roman"/>
          <w:b w:val="0"/>
          <w:i w:val="0"/>
          <w:color w:val="000000"/>
          <w:sz w:val="24"/>
        </w:rPr>
        <w:t>.</w:t>
      </w:r>
    </w:p>
    <w:p>
      <w:pPr>
        <w:spacing w:line="360" w:lineRule="auto" w:before="120" w:after="120"/>
        <w:ind w:firstLine="454"/>
        <w:jc w:val="both"/>
      </w:pPr>
      <w:r>
        <w:rPr>
          <w:rFonts w:ascii="Times New Roman" w:hAnsi="Times New Roman"/>
          <w:b w:val="0"/>
          <w:i w:val="0"/>
          <w:color w:val="000000"/>
          <w:sz w:val="24"/>
        </w:rPr>
        <w:t>Ce projet est né de la volonté de résoudre les problématiques structurelles rencontrées par les cabinets de courtage d'assurance, caractérisées par l'utilisation d'outils disparates et de feuilles de calcul manuelles (</w:t>
      </w:r>
      <w:r>
        <w:rPr>
          <w:rFonts w:ascii="Consolas" w:hAnsi="Consolas"/>
          <w:b w:val="0"/>
          <w:i w:val="0"/>
          <w:color w:val="B41414"/>
          <w:sz w:val="22"/>
        </w:rPr>
        <w:t>PROD S C</w:t>
      </w:r>
      <w:r>
        <w:rPr>
          <w:rFonts w:ascii="Times New Roman" w:hAnsi="Times New Roman"/>
          <w:b w:val="0"/>
          <w:i w:val="0"/>
          <w:color w:val="000000"/>
          <w:sz w:val="24"/>
        </w:rPr>
        <w:t xml:space="preserve">, </w:t>
      </w:r>
      <w:r>
        <w:rPr>
          <w:rFonts w:ascii="Consolas" w:hAnsi="Consolas"/>
          <w:b w:val="0"/>
          <w:i w:val="0"/>
          <w:color w:val="B41414"/>
          <w:sz w:val="22"/>
        </w:rPr>
        <w:t>PROD A C</w:t>
      </w:r>
      <w:r>
        <w:rPr>
          <w:rFonts w:ascii="Times New Roman" w:hAnsi="Times New Roman"/>
          <w:b w:val="0"/>
          <w:i w:val="0"/>
          <w:color w:val="000000"/>
          <w:sz w:val="24"/>
        </w:rPr>
        <w:t xml:space="preserve">, </w:t>
      </w:r>
      <w:r>
        <w:rPr>
          <w:rFonts w:ascii="Consolas" w:hAnsi="Consolas"/>
          <w:b w:val="0"/>
          <w:i w:val="0"/>
          <w:color w:val="B41414"/>
          <w:sz w:val="22"/>
        </w:rPr>
        <w:t>MARITIME</w:t>
      </w:r>
      <w:r>
        <w:rPr>
          <w:rFonts w:ascii="Times New Roman" w:hAnsi="Times New Roman"/>
          <w:b w:val="0"/>
          <w:i w:val="0"/>
          <w:color w:val="000000"/>
          <w:sz w:val="24"/>
        </w:rPr>
        <w:t xml:space="preserve">, </w:t>
      </w:r>
      <w:r>
        <w:rPr>
          <w:rFonts w:ascii="Consolas" w:hAnsi="Consolas"/>
          <w:b w:val="0"/>
          <w:i w:val="0"/>
          <w:color w:val="B41414"/>
          <w:sz w:val="22"/>
        </w:rPr>
        <w:t>MARITIME A C</w:t>
      </w:r>
      <w:r>
        <w:rPr>
          <w:rFonts w:ascii="Times New Roman" w:hAnsi="Times New Roman"/>
          <w:b w:val="0"/>
          <w:i w:val="0"/>
          <w:color w:val="000000"/>
          <w:sz w:val="24"/>
        </w:rPr>
        <w:t>). Cette organisation engendrait des risques d'erreurs comptables, un manque de traçabilité des créances clients et une opacité dans les règlements dus aux compagnies d'assurance mandantes.</w:t>
      </w:r>
    </w:p>
    <w:p>
      <w:pPr>
        <w:spacing w:line="360" w:lineRule="auto" w:before="120" w:after="120"/>
        <w:ind w:firstLine="454"/>
        <w:jc w:val="both"/>
      </w:pPr>
      <w:r>
        <w:rPr>
          <w:rFonts w:ascii="Times New Roman" w:hAnsi="Times New Roman"/>
          <w:b w:val="0"/>
          <w:i w:val="0"/>
          <w:color w:val="000000"/>
          <w:sz w:val="24"/>
        </w:rPr>
        <w:t>Pour répondre à ces défis, nous avons conçu une solution logicielle d'entreprise full-stack et cloud-native apportant des réponses concrètes et innovantes :</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La gestion native et étanche des exercices comptables :</w:t>
      </w:r>
      <w:r>
        <w:rPr>
          <w:rFonts w:ascii="Times New Roman" w:hAnsi="Times New Roman"/>
          <w:b w:val="0"/>
          <w:i w:val="0"/>
          <w:color w:val="000000"/>
          <w:sz w:val="24"/>
        </w:rPr>
        <w:t xml:space="preserve"> L'intégration du composant </w:t>
      </w:r>
      <w:r>
        <w:rPr>
          <w:rFonts w:ascii="Consolas" w:hAnsi="Consolas"/>
          <w:b w:val="0"/>
          <w:i w:val="0"/>
          <w:color w:val="B41414"/>
          <w:sz w:val="22"/>
        </w:rPr>
        <w:t>ExerciceSelector</w:t>
      </w:r>
      <w:r>
        <w:rPr>
          <w:rFonts w:ascii="Times New Roman" w:hAnsi="Times New Roman"/>
          <w:b w:val="0"/>
          <w:i w:val="0"/>
          <w:color w:val="000000"/>
          <w:sz w:val="24"/>
        </w:rPr>
        <w:t xml:space="preserve"> et des filtres temporels sur l'ensemble de l'ERP permet d'isoler rigoureusement les données financières par année comptable, simplifiant les clôtures fiscales et le pilotage analytique.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La modélisation exhaustive des registres métiers :</w:t>
      </w:r>
      <w:r>
        <w:rPr>
          <w:rFonts w:ascii="Times New Roman" w:hAnsi="Times New Roman"/>
          <w:b w:val="0"/>
          <w:i w:val="0"/>
          <w:color w:val="000000"/>
          <w:sz w:val="24"/>
        </w:rPr>
        <w:t xml:space="preserve"> Le système prend en charge l'intégralité des particularités de l'assurance marocaine, notamment la branche maritime avec gestion des numéros d'ordre, navires, certificats et ventilation des primes en co-assurance multi-compagnies.</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Le double circuit financier indépendant :</w:t>
      </w:r>
      <w:r>
        <w:rPr>
          <w:rFonts w:ascii="Times New Roman" w:hAnsi="Times New Roman"/>
          <w:b w:val="0"/>
          <w:i w:val="0"/>
          <w:color w:val="000000"/>
          <w:sz w:val="24"/>
        </w:rPr>
        <w:t xml:space="preserve"> La séparation étanche entre le circuit d'encaissement client (qui ajuste automatiquement le crédit de l'assuré) et le circuit de décaissement compagnie (CIE) garantit une clarté comptable absolue et élimine tout risque de discordance.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La facturation certifiée et l'export universel :</w:t>
      </w:r>
      <w:r>
        <w:rPr>
          <w:rFonts w:ascii="Times New Roman" w:hAnsi="Times New Roman"/>
          <w:b w:val="0"/>
          <w:i w:val="0"/>
          <w:color w:val="000000"/>
          <w:sz w:val="24"/>
        </w:rPr>
        <w:t xml:space="preserve"> L'automatisation des factures, devis proforma et avoirs couplée à la génération de PDF officiels (OpenPDF / jsPDF) et d'exports Excel en encodage UTF-8 BOM assure une interopérabilité sans faille.</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L'intégration de l'Intelligence Artificielle :</w:t>
      </w:r>
      <w:r>
        <w:rPr>
          <w:rFonts w:ascii="Times New Roman" w:hAnsi="Times New Roman"/>
          <w:b w:val="0"/>
          <w:i w:val="0"/>
          <w:color w:val="000000"/>
          <w:sz w:val="24"/>
        </w:rPr>
        <w:t xml:space="preserve"> Le module d'analyse des sinistres qualifie automatiquement les responsabilités selon le barème conventionnel ACAPS / CISA, effectue le décompte net après franchise et évalue le score de suspicion de fraude (0-100) en appliquant les règles de la Loi n° 17-99.</w:t>
      </w:r>
    </w:p>
    <w:p>
      <w:pPr>
        <w:spacing w:line="312" w:lineRule="auto" w:before="40" w:after="60"/>
        <w:ind w:left="567" w:hanging="227"/>
        <w:jc w:val="both"/>
      </w:pPr>
      <w:r>
        <w:rPr>
          <w:rFonts w:ascii="Times New Roman" w:hAnsi="Times New Roman"/>
          <w:color w:val="B40000"/>
          <w:sz w:val="24"/>
        </w:rPr>
        <w:t xml:space="preserve">•  </w:t>
      </w:r>
      <w:r>
        <w:rPr>
          <w:rFonts w:ascii="Times New Roman" w:hAnsi="Times New Roman"/>
          <w:b/>
          <w:i w:val="0"/>
          <w:color w:val="000000"/>
          <w:sz w:val="24"/>
        </w:rPr>
        <w:t>L'excellence opérationnelle DevSecOps :</w:t>
      </w:r>
      <w:r>
        <w:rPr>
          <w:rFonts w:ascii="Times New Roman" w:hAnsi="Times New Roman"/>
          <w:b w:val="0"/>
          <w:i w:val="0"/>
          <w:color w:val="000000"/>
          <w:sz w:val="24"/>
        </w:rPr>
        <w:t xml:space="preserve"> L'automatisation de l'infrastructure sur Azure via Terraform et Ansible, la conteneurisation Docker, la sécurisation TLS 1.3 sous Nginx, les scans de sécurité Trivy et la supervision Prometheus / Grafana confèrent à la plateforme une résilience de niveau industriel.</w:t>
      </w:r>
    </w:p>
    <w:p>
      <w:pPr>
        <w:spacing w:line="360" w:lineRule="auto" w:before="120" w:after="120"/>
        <w:ind w:firstLine="454"/>
        <w:jc w:val="both"/>
      </w:pPr>
      <w:r>
        <w:rPr>
          <w:rFonts w:ascii="Times New Roman" w:hAnsi="Times New Roman"/>
          <w:b w:val="0"/>
          <w:i w:val="0"/>
          <w:color w:val="000000"/>
          <w:sz w:val="24"/>
        </w:rPr>
        <w:t>Sur le plan personnel et académique, ce projet a constitué une expérience particulièrement enrichissante. Il nous a permis de consolider nos compétences en architecture logicielle d'entreprise (Spring Boot 3.3, Java 21, Next.js 15, TypeScript), d'approfondir la modélisation formelle UML 2 boîte blanche, de maîtriser les pratiques DevSecOps et de nous immerger dans les règles complexes du droit des assurances.</w:t>
      </w:r>
    </w:p>
    <w:p>
      <w:pPr>
        <w:spacing w:line="360" w:lineRule="auto" w:before="120" w:after="120"/>
        <w:ind w:firstLine="454"/>
        <w:jc w:val="both"/>
      </w:pPr>
      <w:r>
        <w:rPr>
          <w:rFonts w:ascii="Times New Roman" w:hAnsi="Times New Roman"/>
          <w:b w:val="0"/>
          <w:i w:val="0"/>
          <w:color w:val="000000"/>
          <w:sz w:val="24"/>
        </w:rPr>
        <w:t xml:space="preserve">En guise de </w:t>
      </w:r>
      <w:r>
        <w:rPr>
          <w:rFonts w:ascii="Times New Roman" w:hAnsi="Times New Roman"/>
          <w:b/>
          <w:i w:val="0"/>
          <w:color w:val="000000"/>
          <w:sz w:val="24"/>
        </w:rPr>
        <w:t>perspectives d'évolution future</w:t>
      </w:r>
      <w:r>
        <w:rPr>
          <w:rFonts w:ascii="Times New Roman" w:hAnsi="Times New Roman"/>
          <w:b w:val="0"/>
          <w:i w:val="0"/>
          <w:color w:val="000000"/>
          <w:sz w:val="24"/>
        </w:rPr>
        <w:t>, nous envisageons :</w:t>
      </w:r>
    </w:p>
    <w:p>
      <w:pPr>
        <w:spacing w:line="312" w:lineRule="auto" w:before="40" w:after="60"/>
        <w:ind w:left="567" w:hanging="283"/>
        <w:jc w:val="both"/>
      </w:pPr>
      <w:r>
        <w:rPr>
          <w:rFonts w:ascii="Times New Roman" w:hAnsi="Times New Roman"/>
          <w:b/>
          <w:color w:val="1E293B"/>
          <w:sz w:val="24"/>
        </w:rPr>
        <w:t xml:space="preserve">1.  </w:t>
      </w:r>
      <w:r>
        <w:rPr>
          <w:rFonts w:ascii="Times New Roman" w:hAnsi="Times New Roman"/>
          <w:b w:val="0"/>
          <w:i w:val="0"/>
          <w:color w:val="000000"/>
          <w:sz w:val="24"/>
        </w:rPr>
        <w:t>L'intégration de la signature électronique qualifiée conforme à la Loi n° 53-05 sur l'échange électronique des données juridiques ;</w:t>
      </w:r>
    </w:p>
    <w:p>
      <w:pPr>
        <w:spacing w:line="312" w:lineRule="auto" w:before="40" w:after="60"/>
        <w:ind w:left="567" w:hanging="283"/>
        <w:jc w:val="both"/>
      </w:pPr>
      <w:r>
        <w:rPr>
          <w:rFonts w:ascii="Times New Roman" w:hAnsi="Times New Roman"/>
          <w:b/>
          <w:color w:val="1E293B"/>
          <w:sz w:val="24"/>
        </w:rPr>
        <w:t xml:space="preserve">2.  </w:t>
      </w:r>
      <w:r>
        <w:rPr>
          <w:rFonts w:ascii="Times New Roman" w:hAnsi="Times New Roman"/>
          <w:b w:val="0"/>
          <w:i w:val="0"/>
          <w:color w:val="000000"/>
          <w:sz w:val="24"/>
        </w:rPr>
        <w:t>L'interconnexion par API directe (Webservices / EDI) avec les systèmes d'information centraux des principales compagnies d'assurance pour la transmission automatisée des bordereaux de quittances ;</w:t>
      </w:r>
    </w:p>
    <w:p>
      <w:pPr>
        <w:spacing w:line="312" w:lineRule="auto" w:before="40" w:after="60"/>
        <w:ind w:left="567" w:hanging="283"/>
        <w:jc w:val="both"/>
      </w:pPr>
      <w:r>
        <w:rPr>
          <w:rFonts w:ascii="Times New Roman" w:hAnsi="Times New Roman"/>
          <w:b/>
          <w:color w:val="1E293B"/>
          <w:sz w:val="24"/>
        </w:rPr>
        <w:t xml:space="preserve">3.  </w:t>
      </w:r>
      <w:r>
        <w:rPr>
          <w:rFonts w:ascii="Times New Roman" w:hAnsi="Times New Roman"/>
          <w:b w:val="0"/>
          <w:i w:val="0"/>
          <w:color w:val="000000"/>
          <w:sz w:val="24"/>
        </w:rPr>
        <w:t>Le développement d'une application mobile dédiée aux assurés pour la déclaration géolocalisée de sinistres en temps réel avec téléversement de photographies analysées par vision par ordinateur.</w:t>
      </w:r>
    </w:p>
    <w:p>
      <w:r>
        <w:br w:type="page"/>
      </w:r>
    </w:p>
    <w:p>
      <w:r>
        <w:br w:type="page"/>
      </w:r>
    </w:p>
    <w:p>
      <w:pPr>
        <w:keepNext/>
        <w:spacing w:before="360" w:after="160"/>
        <w:ind w:firstLine="0"/>
        <w:jc w:val="left"/>
      </w:pPr>
      <w:r>
        <w:rPr>
          <w:rFonts w:ascii="Times New Roman" w:hAnsi="Times New Roman"/>
          <w:b/>
          <w:color w:val="0F172A"/>
          <w:sz w:val="32"/>
        </w:rPr>
        <w:t>Bibliographie et Nétographie</w:t>
      </w:r>
    </w:p>
    <w:p>
      <w:pPr>
        <w:keepNext/>
        <w:spacing w:before="280" w:after="120"/>
        <w:ind w:firstLine="0"/>
        <w:jc w:val="left"/>
      </w:pPr>
      <w:r>
        <w:rPr>
          <w:rFonts w:ascii="Times New Roman" w:hAnsi="Times New Roman"/>
          <w:b/>
          <w:color w:val="1E293B"/>
          <w:sz w:val="28"/>
        </w:rPr>
        <w:t>Bibliographie</w:t>
      </w:r>
    </w:p>
    <w:p>
      <w:pPr>
        <w:spacing w:line="360" w:lineRule="auto" w:before="120" w:after="120"/>
        <w:ind w:firstLine="454"/>
        <w:jc w:val="both"/>
      </w:pPr>
      <w:r>
        <w:rPr>
          <w:rFonts w:ascii="Times New Roman" w:hAnsi="Times New Roman"/>
          <w:b w:val="0"/>
          <w:i w:val="0"/>
          <w:color w:val="000000"/>
          <w:sz w:val="24"/>
        </w:rPr>
        <w:t xml:space="preserve">[1] ROQUES, Pascal. </w:t>
      </w:r>
      <w:r>
        <w:rPr>
          <w:rFonts w:ascii="Times New Roman" w:hAnsi="Times New Roman"/>
          <w:b w:val="0"/>
          <w:i/>
          <w:color w:val="000000"/>
          <w:sz w:val="24"/>
        </w:rPr>
        <w:t>UML 2 par la pratique : Études de cas et exercices corrigés</w:t>
      </w:r>
      <w:r>
        <w:rPr>
          <w:rFonts w:ascii="Times New Roman" w:hAnsi="Times New Roman"/>
          <w:b w:val="0"/>
          <w:i w:val="0"/>
          <w:color w:val="000000"/>
          <w:sz w:val="24"/>
        </w:rPr>
        <w:t>, Paris, Éditions Eyrolles, 5ème Édition, 2008, 380 pages.</w:t>
      </w:r>
    </w:p>
    <w:p>
      <w:pPr>
        <w:spacing w:line="360" w:lineRule="auto" w:before="120" w:after="120"/>
        <w:ind w:firstLine="454"/>
        <w:jc w:val="both"/>
      </w:pPr>
      <w:r>
        <w:rPr>
          <w:rFonts w:ascii="Times New Roman" w:hAnsi="Times New Roman"/>
          <w:b w:val="0"/>
          <w:i w:val="0"/>
          <w:color w:val="000000"/>
          <w:sz w:val="24"/>
        </w:rPr>
        <w:t xml:space="preserve">[2] AUDIBERT, Laurent. </w:t>
      </w:r>
      <w:r>
        <w:rPr>
          <w:rFonts w:ascii="Times New Roman" w:hAnsi="Times New Roman"/>
          <w:b w:val="0"/>
          <w:i/>
          <w:color w:val="000000"/>
          <w:sz w:val="24"/>
        </w:rPr>
        <w:t>UML 2 : De l'apprentissage à la pratique</w:t>
      </w:r>
      <w:r>
        <w:rPr>
          <w:rFonts w:ascii="Times New Roman" w:hAnsi="Times New Roman"/>
          <w:b w:val="0"/>
          <w:i w:val="0"/>
          <w:color w:val="000000"/>
          <w:sz w:val="24"/>
        </w:rPr>
        <w:t>, Paris, Éditions Ellipses, 2014, 256 pages.</w:t>
      </w:r>
    </w:p>
    <w:p>
      <w:pPr>
        <w:spacing w:line="360" w:lineRule="auto" w:before="120" w:after="120"/>
        <w:ind w:firstLine="454"/>
        <w:jc w:val="both"/>
      </w:pPr>
      <w:r>
        <w:rPr>
          <w:rFonts w:ascii="Times New Roman" w:hAnsi="Times New Roman"/>
          <w:b w:val="0"/>
          <w:i w:val="0"/>
          <w:color w:val="000000"/>
          <w:sz w:val="24"/>
        </w:rPr>
        <w:t xml:space="preserve">[3] WALLS, Craig. </w:t>
      </w:r>
      <w:r>
        <w:rPr>
          <w:rFonts w:ascii="Times New Roman" w:hAnsi="Times New Roman"/>
          <w:b w:val="0"/>
          <w:i/>
          <w:color w:val="000000"/>
          <w:sz w:val="24"/>
        </w:rPr>
        <w:t>Spring in Action, Sixth Edition</w:t>
      </w:r>
      <w:r>
        <w:rPr>
          <w:rFonts w:ascii="Times New Roman" w:hAnsi="Times New Roman"/>
          <w:b w:val="0"/>
          <w:i w:val="0"/>
          <w:color w:val="000000"/>
          <w:sz w:val="24"/>
        </w:rPr>
        <w:t>, Shelter Island, Manning Publications, 2022, 520 pages.</w:t>
      </w:r>
    </w:p>
    <w:p>
      <w:pPr>
        <w:spacing w:line="360" w:lineRule="auto" w:before="120" w:after="120"/>
        <w:ind w:firstLine="454"/>
        <w:jc w:val="both"/>
      </w:pPr>
      <w:r>
        <w:rPr>
          <w:rFonts w:ascii="Times New Roman" w:hAnsi="Times New Roman"/>
          <w:b w:val="0"/>
          <w:i w:val="0"/>
          <w:color w:val="000000"/>
          <w:sz w:val="24"/>
        </w:rPr>
        <w:t xml:space="preserve">[4] MARTIN, Robert C. </w:t>
      </w:r>
      <w:r>
        <w:rPr>
          <w:rFonts w:ascii="Times New Roman" w:hAnsi="Times New Roman"/>
          <w:b w:val="0"/>
          <w:i/>
          <w:color w:val="000000"/>
          <w:sz w:val="24"/>
        </w:rPr>
        <w:t>Clean Architecture: A Craftsman's Guide to Software Structure and Design</w:t>
      </w:r>
      <w:r>
        <w:rPr>
          <w:rFonts w:ascii="Times New Roman" w:hAnsi="Times New Roman"/>
          <w:b w:val="0"/>
          <w:i w:val="0"/>
          <w:color w:val="000000"/>
          <w:sz w:val="24"/>
        </w:rPr>
        <w:t>, Boston, Prentice Hall, 2017, 432 pages.</w:t>
      </w:r>
    </w:p>
    <w:p>
      <w:pPr>
        <w:spacing w:line="360" w:lineRule="auto" w:before="120" w:after="120"/>
        <w:ind w:firstLine="454"/>
        <w:jc w:val="both"/>
      </w:pPr>
      <w:r>
        <w:rPr>
          <w:rFonts w:ascii="Times New Roman" w:hAnsi="Times New Roman"/>
          <w:b w:val="0"/>
          <w:i w:val="0"/>
          <w:color w:val="000000"/>
          <w:sz w:val="24"/>
        </w:rPr>
        <w:t xml:space="preserve">[5] ROYAUME DU MAROC. </w:t>
      </w:r>
      <w:r>
        <w:rPr>
          <w:rFonts w:ascii="Times New Roman" w:hAnsi="Times New Roman"/>
          <w:b w:val="0"/>
          <w:i/>
          <w:color w:val="000000"/>
          <w:sz w:val="24"/>
        </w:rPr>
        <w:t>Loi n° 17-99 portant Code des Assurances</w:t>
      </w:r>
      <w:r>
        <w:rPr>
          <w:rFonts w:ascii="Times New Roman" w:hAnsi="Times New Roman"/>
          <w:b w:val="0"/>
          <w:i w:val="0"/>
          <w:color w:val="000000"/>
          <w:sz w:val="24"/>
        </w:rPr>
        <w:t>, Bulletin Officiel n° 5054, Rabat, Secrétariat Général du Gouvernement, 2002.</w:t>
      </w:r>
    </w:p>
    <w:p>
      <w:pPr>
        <w:spacing w:line="360" w:lineRule="auto" w:before="120" w:after="120"/>
        <w:ind w:firstLine="454"/>
        <w:jc w:val="both"/>
      </w:pPr>
      <w:r>
        <w:rPr>
          <w:rFonts w:ascii="Times New Roman" w:hAnsi="Times New Roman"/>
          <w:b w:val="0"/>
          <w:i w:val="0"/>
          <w:color w:val="000000"/>
          <w:sz w:val="24"/>
        </w:rPr>
        <w:t xml:space="preserve">[6] ACAPS. </w:t>
      </w:r>
      <w:r>
        <w:rPr>
          <w:rFonts w:ascii="Times New Roman" w:hAnsi="Times New Roman"/>
          <w:b w:val="0"/>
          <w:i/>
          <w:color w:val="000000"/>
          <w:sz w:val="24"/>
        </w:rPr>
        <w:t>Recueil des textes réglementaires relatifs aux intermédiaires d'assurances</w:t>
      </w:r>
      <w:r>
        <w:rPr>
          <w:rFonts w:ascii="Times New Roman" w:hAnsi="Times New Roman"/>
          <w:b w:val="0"/>
          <w:i w:val="0"/>
          <w:color w:val="000000"/>
          <w:sz w:val="24"/>
        </w:rPr>
        <w:t>, Rabat, Autorité de Contrôle des Assurances et de la Prévoyance Sociale, 2021.</w:t>
      </w:r>
    </w:p>
    <w:p>
      <w:pPr>
        <w:keepNext/>
        <w:spacing w:before="280" w:after="120"/>
        <w:ind w:firstLine="0"/>
        <w:jc w:val="left"/>
      </w:pPr>
      <w:r>
        <w:rPr>
          <w:rFonts w:ascii="Times New Roman" w:hAnsi="Times New Roman"/>
          <w:b/>
          <w:color w:val="1E293B"/>
          <w:sz w:val="28"/>
        </w:rPr>
        <w:t>Nétographie</w:t>
      </w:r>
    </w:p>
    <w:p>
      <w:pPr>
        <w:spacing w:line="360" w:lineRule="auto" w:before="120" w:after="120"/>
        <w:ind w:firstLine="454"/>
        <w:jc w:val="both"/>
      </w:pPr>
      <w:r>
        <w:rPr>
          <w:rFonts w:ascii="Times New Roman" w:hAnsi="Times New Roman"/>
          <w:b w:val="0"/>
          <w:i w:val="0"/>
          <w:color w:val="000000"/>
          <w:sz w:val="24"/>
        </w:rPr>
        <w:t>[7] https://spring.io/projects/spring-boot : Documentation officielle du framework Spring Boot 3.3 et Spring Security.</w:t>
      </w:r>
    </w:p>
    <w:p>
      <w:pPr>
        <w:spacing w:line="360" w:lineRule="auto" w:before="120" w:after="120"/>
        <w:ind w:firstLine="454"/>
        <w:jc w:val="both"/>
      </w:pPr>
      <w:r>
        <w:rPr>
          <w:rFonts w:ascii="Times New Roman" w:hAnsi="Times New Roman"/>
          <w:b w:val="0"/>
          <w:i w:val="0"/>
          <w:color w:val="000000"/>
          <w:sz w:val="24"/>
        </w:rPr>
        <w:t>[8] https://nextjs.org/docs : Documentation de référence pour Next.js 15, React 19 et l'App Router.</w:t>
      </w:r>
    </w:p>
    <w:p>
      <w:pPr>
        <w:spacing w:line="360" w:lineRule="auto" w:before="120" w:after="120"/>
        <w:ind w:firstLine="454"/>
        <w:jc w:val="both"/>
      </w:pPr>
      <w:r>
        <w:rPr>
          <w:rFonts w:ascii="Times New Roman" w:hAnsi="Times New Roman"/>
          <w:b w:val="0"/>
          <w:i w:val="0"/>
          <w:color w:val="000000"/>
          <w:sz w:val="24"/>
        </w:rPr>
        <w:t>[9] https://www.mongodb.com/docs/ : Guides de modélisation et d'indexation pour MongoDB 7.0.</w:t>
      </w:r>
    </w:p>
    <w:p>
      <w:pPr>
        <w:spacing w:line="360" w:lineRule="auto" w:before="120" w:after="120"/>
        <w:ind w:firstLine="454"/>
        <w:jc w:val="both"/>
      </w:pPr>
      <w:r>
        <w:rPr>
          <w:rFonts w:ascii="Times New Roman" w:hAnsi="Times New Roman"/>
          <w:b w:val="0"/>
          <w:i w:val="0"/>
          <w:color w:val="000000"/>
          <w:sz w:val="24"/>
        </w:rPr>
        <w:t>[10] https://www.aquasec.com/products/trivy/ : Documentation de l'outil d'analyse de sécurité et de vulnérabilités DevSecOps Trivy.</w:t>
      </w:r>
    </w:p>
    <w:p>
      <w:pPr>
        <w:spacing w:line="360" w:lineRule="auto" w:before="120" w:after="120"/>
        <w:ind w:firstLine="454"/>
        <w:jc w:val="both"/>
      </w:pPr>
      <w:r>
        <w:rPr>
          <w:rFonts w:ascii="Times New Roman" w:hAnsi="Times New Roman"/>
          <w:b w:val="0"/>
          <w:i w:val="0"/>
          <w:color w:val="000000"/>
          <w:sz w:val="24"/>
        </w:rPr>
        <w:t>[11] https://nginx.org/en/docs/ : Guide de configuration avancée et durcissement TLS pour Nginx HTTP Server.</w:t>
      </w:r>
    </w:p>
    <w:p>
      <w:pPr>
        <w:spacing w:line="360" w:lineRule="auto" w:before="120" w:after="120"/>
        <w:ind w:firstLine="454"/>
        <w:jc w:val="both"/>
      </w:pPr>
      <w:r>
        <w:rPr>
          <w:rFonts w:ascii="Times New Roman" w:hAnsi="Times New Roman"/>
          <w:b w:val="0"/>
          <w:i w:val="0"/>
          <w:color w:val="000000"/>
          <w:sz w:val="24"/>
        </w:rPr>
        <w:t>[12] https://prometheus.io/docs/introduction/overview/ : Documentation du système de collecte de métriques et d'alerting Prometheus.</w:t>
      </w:r>
    </w:p>
    <w:p>
      <w:pPr>
        <w:spacing w:line="360" w:lineRule="auto" w:before="120" w:after="120"/>
        <w:ind w:firstLine="454"/>
        <w:jc w:val="both"/>
      </w:pPr>
      <w:r>
        <w:rPr>
          <w:rFonts w:ascii="Times New Roman" w:hAnsi="Times New Roman"/>
          <w:b w:val="0"/>
          <w:i w:val="0"/>
          <w:color w:val="000000"/>
          <w:sz w:val="24"/>
        </w:rPr>
        <w:t>[13] https://developer.mozilla.org/fr/docs/Web/HTTP : Référentiel MDN sur les standards HTTP, CORS et les protocoles de sécurité web.</w:t>
      </w:r>
    </w:p>
    <w:p>
      <w:r>
        <w:br w:type="page"/>
      </w:r>
    </w:p>
    <w:p>
      <w:r>
        <w:br w:type="page"/>
      </w:r>
    </w:p>
    <w:p>
      <w:pPr>
        <w:keepNext/>
        <w:spacing w:before="360" w:after="160"/>
        <w:ind w:firstLine="0"/>
        <w:jc w:val="left"/>
      </w:pPr>
      <w:r>
        <w:rPr>
          <w:rFonts w:ascii="Times New Roman" w:hAnsi="Times New Roman"/>
          <w:b/>
          <w:color w:val="0F172A"/>
          <w:sz w:val="32"/>
        </w:rPr>
        <w:t>Annexes</w:t>
      </w:r>
    </w:p>
    <w:p>
      <w:pPr>
        <w:keepNext/>
        <w:spacing w:before="280" w:after="120"/>
        <w:ind w:firstLine="0"/>
        <w:jc w:val="left"/>
      </w:pPr>
      <w:r>
        <w:rPr>
          <w:rFonts w:ascii="Times New Roman" w:hAnsi="Times New Roman"/>
          <w:b/>
          <w:color w:val="1E293B"/>
          <w:sz w:val="28"/>
        </w:rPr>
        <w:t>Annexe A : Extraits de code source métier (Spring Boot)</w:t>
      </w:r>
    </w:p>
    <w:p>
      <w:pPr>
        <w:keepNext/>
        <w:spacing w:before="200" w:after="80"/>
        <w:ind w:firstLine="0"/>
        <w:jc w:val="left"/>
      </w:pPr>
      <w:r>
        <w:rPr>
          <w:rFonts w:ascii="Times New Roman" w:hAnsi="Times New Roman"/>
          <w:b/>
          <w:color w:val="334155"/>
          <w:sz w:val="24"/>
        </w:rPr>
        <w:t>1. Logique d'analyse intelligente des sinistres (`AiClaimAnalysisService.java`)</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package com.insurflow.assurance.service;</w:t>
              <w:br/>
              <w:br/>
              <w:t>import com.insurflow.assurance.dto.*;</w:t>
              <w:br/>
              <w:t>import lombok.extern.slf4j.Slf4j;</w:t>
              <w:br/>
              <w:t>import org.springframework.stereotype.Service;</w:t>
              <w:br/>
              <w:t>import java.util.ArrayList;</w:t>
              <w:br/>
              <w:t>import java.util.List;</w:t>
              <w:br/>
              <w:br/>
              <w:t>@Service</w:t>
              <w:br/>
              <w:t>@Slf4j</w:t>
              <w:br/>
              <w:t>public class AiClaimAnalysisService {</w:t>
              <w:br/>
              <w:br/>
              <w:t xml:space="preserve">    public ClaimAnalysisResponse analyzeClaim(ClaimAnalysisRequest request) {</w:t>
              <w:br/>
              <w:t xml:space="preserve">        String text = (request.getClaimText() != null) ? request.getClaimText().trim().toLowerCase() : "";</w:t>
              <w:br/>
              <w:t xml:space="preserve">        int fraudScore = 15;</w:t>
              <w:br/>
              <w:t xml:space="preserve">        List&lt;String&gt; riskFlags = new ArrayList&lt;&gt;();</w:t>
              <w:br/>
              <w:t xml:space="preserve">        List&lt;String&gt; recommendedActions = new ArrayList&lt;&gt;();</w:t>
              <w:br/>
              <w:br/>
              <w:t xml:space="preserve">        double estimatedDamage = request.getEstimatedDamage() != null ? request.getEstimatedDamage() : 8500.0;</w:t>
              <w:br/>
              <w:t xml:space="preserve">        double deductible = request.getDeductible() != null ? request.getDeductible() : 1500.0;</w:t>
              <w:br/>
              <w:br/>
              <w:t xml:space="preserve">        // Détection heuristique d'anomalies (Loi 17-99 et Barème ACAPS)</w:t>
              <w:br/>
              <w:t xml:space="preserve">        boolean isSoloNoThirdParty = text.contains("sans tiers") || text.contains("obstacle fixe") || text.contains("poteau");</w:t>
              <w:br/>
              <w:t xml:space="preserve">        boolean isLateDeclaration = text.contains("retard") || text.contains("10 jours") || text.contains("15 jours");</w:t>
              <w:br/>
              <w:t xml:space="preserve">        boolean isRecentSubscription = text.contains("souscrit hier") || text.contains("nouvelle police");</w:t>
              <w:br/>
              <w:br/>
              <w:t xml:space="preserve">        if (isSoloNoThirdParty) {</w:t>
              <w:br/>
              <w:t xml:space="preserve">            fraudScore += 25;</w:t>
              <w:br/>
              <w:t xml:space="preserve">            riskFlags.add("Accident sans tiers identifié en stationnement / choc isolé (Vérifier absence de maquillage).");</w:t>
              <w:br/>
              <w:t xml:space="preserve">        }</w:t>
              <w:br/>
              <w:t xml:space="preserve">        if (isLateDeclaration) {</w:t>
              <w:br/>
              <w:t xml:space="preserve">            fraudScore += 20;</w:t>
              <w:br/>
              <w:t xml:space="preserve">            riskFlags.add("Déclaration tardive &gt; 5 jours ouvrés (Article 20 de la Loi n° 17-99).");</w:t>
              <w:br/>
              <w:t xml:space="preserve">            recommendedActions.add("Vérifier le motif légal du retard de déclaration (Cas fortuit ou force majeure).");</w:t>
              <w:br/>
              <w:t xml:space="preserve">        }</w:t>
              <w:br/>
              <w:t xml:space="preserve">        if (isRecentSubscription) {</w:t>
              <w:br/>
              <w:t xml:space="preserve">            fraudScore += 30;</w:t>
              <w:br/>
              <w:t xml:space="preserve">            riskFlags.add("Sinistre survenu à proximité immédiate de la souscription (Antériorité possible).");</w:t>
              <w:br/>
              <w:t xml:space="preserve">            recommendedActions.add("Vérifier l'heure exacte d'encaissement de la quittance initiale.");</w:t>
              <w:br/>
              <w:t xml:space="preserve">        }</w:t>
              <w:br/>
              <w:br/>
              <w:t xml:space="preserve">        fraudScore = Math.max(5, Math.min(95, fraudScore));</w:t>
              <w:br/>
              <w:t xml:space="preserve">        String fraudLevel = (fraudScore &lt; 35) ? "FAIBLE" : (fraudScore &lt; 65) ? "MOYEN" : "ÉLEVÉ";</w:t>
              <w:br/>
              <w:t xml:space="preserve">        double netPayout = Math.max(0.0, estimatedDamage - deductible);</w:t>
              <w:br/>
              <w:br/>
              <w:t xml:space="preserve">        FinancialBreakdownDto breakdown = FinancialBreakdownDto.builder()</w:t>
              <w:br/>
              <w:t xml:space="preserve">                .estimatedDamage(estimatedDamage)</w:t>
              <w:br/>
              <w:t xml:space="preserve">                .deductible(deductible)</w:t>
              <w:br/>
              <w:t xml:space="preserve">                .netPayout(netPayout)</w:t>
              <w:br/>
              <w:t xml:space="preserve">                .currency("MAD")</w:t>
              <w:br/>
              <w:t xml:space="preserve">                .notes("Calcul net d'indemnisation après imputation de la franchise contractuelle.")</w:t>
              <w:br/>
              <w:t xml:space="preserve">                .build();</w:t>
              <w:br/>
              <w:br/>
              <w:t xml:space="preserve">        return ClaimAnalysisResponse.builder()</w:t>
              <w:br/>
              <w:t xml:space="preserve">                .executiveSummary("Déclaration de sinistre analysée pour " + request.getClientName())</w:t>
              <w:br/>
              <w:t xml:space="preserve">                .liabilityAssessment("Responsabilité conventionnelle selon barème ACAPS / CISA.")</w:t>
              <w:br/>
              <w:t xml:space="preserve">                .financialBreakdown(breakdown)</w:t>
              <w:br/>
              <w:t xml:space="preserve">                .fraudRiskScore(fraudScore)</w:t>
              <w:br/>
              <w:t xml:space="preserve">                .fraudRiskLevel(fraudLevel)</w:t>
              <w:br/>
              <w:t xml:space="preserve">                .riskFlags(riskFlags)</w:t>
              <w:br/>
              <w:t xml:space="preserve">                .recommendedActions(recommendedActions)</w:t>
              <w:br/>
              <w:t xml:space="preserve">                .build();</w:t>
              <w:br/>
              <w:t xml:space="preserve">    }</w:t>
              <w:br/>
              <w:t>}</w:t>
            </w:r>
          </w:p>
        </w:tc>
      </w:tr>
    </w:tbl>
    <w:p>
      <w:pPr>
        <w:keepNext/>
        <w:spacing w:before="280" w:after="120"/>
        <w:ind w:firstLine="0"/>
        <w:jc w:val="left"/>
      </w:pPr>
      <w:r>
        <w:rPr>
          <w:rFonts w:ascii="Times New Roman" w:hAnsi="Times New Roman"/>
          <w:b/>
          <w:color w:val="1E293B"/>
          <w:sz w:val="28"/>
        </w:rPr>
        <w:t>Annexe B : Configuration Nginx sécurisée avec TLS 1.3 (`nginx/default.conf`)</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server {</w:t>
              <w:br/>
              <w:t xml:space="preserve">    listen 80;</w:t>
              <w:br/>
              <w:t xml:space="preserve">    server_name insurflow-app.duckdns.org;</w:t>
              <w:br/>
              <w:t xml:space="preserve">    location /.well-known/acme-challenge/ { root /var/www/certbot; }</w:t>
              <w:br/>
              <w:t xml:space="preserve">    location / { return 301 https://$host$request_uri; }</w:t>
              <w:br/>
              <w:t>}</w:t>
              <w:br/>
              <w:br/>
              <w:t>server {</w:t>
              <w:br/>
              <w:t xml:space="preserve">    listen 443 ssl;</w:t>
              <w:br/>
              <w:t xml:space="preserve">    http2 on;</w:t>
              <w:br/>
              <w:t xml:space="preserve">    server_name insurflow-app.duckdns.org;</w:t>
              <w:br/>
              <w:br/>
              <w:t xml:space="preserve">    ssl_certificate /etc/letsencrypt/live/insurflow-app.duckdns.org/fullchain.pem;</w:t>
              <w:br/>
              <w:t xml:space="preserve">    ssl_certificate_key /etc/letsencrypt/live/insurflow-app.duckdns.org/privkey.pem;</w:t>
              <w:br/>
              <w:t xml:space="preserve">    ssl_protocols TLSv1.2 TLSv1.3;</w:t>
              <w:br/>
              <w:t xml:space="preserve">    ssl_ciphers ECDHE-ECDSA-AES128-GCM-SHA256:ECDHE-RSA-AES128-GCM-SHA256:ECDHE-ECDSA-AES256-GCM-SHA384;</w:t>
              <w:br/>
              <w:br/>
              <w:t xml:space="preserve">    add_header Strict-Transport-Security "max-age=31536000; includeSubDomains" always;</w:t>
              <w:br/>
              <w:t xml:space="preserve">    add_header X-Frame-Options "SAMEORIGIN" always;</w:t>
              <w:br/>
              <w:t xml:space="preserve">    add_header X-Content-Type-Options "nosniff" always;</w:t>
              <w:br/>
              <w:br/>
              <w:t xml:space="preserve">    location /api/ {</w:t>
              <w:br/>
              <w:t xml:space="preserve">        proxy_pass http://backend:8080/api/;</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location / {</w:t>
              <w:br/>
              <w:t xml:space="preserve">        proxy_pass http://frontend:3000/;</w:t>
              <w:br/>
              <w:t xml:space="preserve">        proxy_set_header Host $host;</w:t>
              <w:br/>
              <w:t xml:space="preserve">        proxy_set_header X-Real-IP $remote_addr;</w:t>
              <w:br/>
              <w:t xml:space="preserve">    }</w:t>
              <w:br/>
              <w:t>}</w:t>
            </w:r>
          </w:p>
        </w:tc>
      </w:tr>
    </w:tbl>
    <w:p>
      <w:pPr>
        <w:keepNext/>
        <w:spacing w:before="280" w:after="120"/>
        <w:ind w:firstLine="0"/>
        <w:jc w:val="left"/>
      </w:pPr>
      <w:r>
        <w:rPr>
          <w:rFonts w:ascii="Times New Roman" w:hAnsi="Times New Roman"/>
          <w:b/>
          <w:color w:val="1E293B"/>
          <w:sz w:val="28"/>
        </w:rPr>
        <w:t>Annexe C : Définition d'infrastructure Terraform (`infra/main.tf`)</w:t>
      </w:r>
    </w:p>
    <w:tbl>
      <w:tblPr>
        <w:tblW w:type="auto" w:w="0"/>
        <w:jc w:val="center"/>
        <w:tblLook w:firstColumn="1" w:firstRow="1" w:lastColumn="0" w:lastRow="0" w:noHBand="0" w:noVBand="1" w:val="04A0"/>
      </w:tblPr>
      <w:tblGrid>
        <w:gridCol w:w="9072"/>
      </w:tblGrid>
      <w:tr>
        <w:tc>
          <w:tcPr>
            <w:tcW w:type="dxa" w:w="9071"/>
            <w:tcMar>
              <w:top w:w="120" w:type="dxa"/>
              <w:bottom w:w="120" w:type="dxa"/>
              <w:left w:w="140" w:type="dxa"/>
              <w:right w:w="140" w:type="dxa"/>
            </w:tcMar>
            <w:shd w:fill="F1F5F9"/>
            <w:tcBorders>
              <w:top w:val="single" w:sz="8" w:space="0" w:color="CBD5E1"/>
              <w:left w:val="single" w:sz="8" w:space="0" w:color="3B82F6"/>
              <w:bottom w:val="single" w:sz="8" w:space="0" w:color="CBD5E1"/>
              <w:right w:val="single" w:sz="8" w:space="0" w:color="CBD5E1"/>
            </w:tcBorders>
          </w:tcPr>
          <w:p>
            <w:pPr>
              <w:spacing w:line="240" w:lineRule="auto" w:before="40" w:after="40"/>
              <w:ind w:firstLine="0"/>
              <w:jc w:val="left"/>
            </w:pPr>
            <w:r>
              <w:rPr>
                <w:rFonts w:ascii="Consolas" w:hAnsi="Consolas"/>
                <w:color w:val="1E293B"/>
                <w:sz w:val="16"/>
              </w:rPr>
              <w:t>resource "azurerm_resource_group" "rg" {</w:t>
              <w:br/>
              <w:t xml:space="preserve">  name     = "InsurFlow-RG"</w:t>
              <w:br/>
              <w:t xml:space="preserve">  location = "spaincentral"</w:t>
              <w:br/>
              <w:t>}</w:t>
              <w:br/>
              <w:br/>
              <w:t>resource "azurerm_virtual_network" "vnet" {</w:t>
              <w:br/>
              <w:t xml:space="preserve">  name                = "InsurFlow-VNet"</w:t>
              <w:br/>
              <w:t xml:space="preserve">  address_space       = ["10.0.0.0/16"]</w:t>
              <w:br/>
              <w:t xml:space="preserve">  location            = azurerm_resource_group.rg.location</w:t>
              <w:br/>
              <w:t xml:space="preserve">  resource_group_name = azurerm_resource_group.rg.name</w:t>
              <w:br/>
              <w:t>}</w:t>
              <w:br/>
              <w:br/>
              <w:t>resource "azurerm_linux_virtual_machine" "vm" {</w:t>
              <w:br/>
              <w:t xml:space="preserve">  name                = "InsurFlow-Server"</w:t>
              <w:br/>
              <w:t xml:space="preserve">  resource_group_name = azurerm_resource_group.rg.name</w:t>
              <w:br/>
              <w:t xml:space="preserve">  location            = azurerm_resource_group.rg.location</w:t>
              <w:br/>
              <w:t xml:space="preserve">  size                = "Standard_D2s_v3"</w:t>
              <w:br/>
              <w:t xml:space="preserve">  admin_username      = "adminuser"</w:t>
              <w:br/>
              <w:t xml:space="preserve">  network_interface_ids = [azurerm_network_interface.nic.id]</w:t>
              <w:br/>
              <w:br/>
              <w:t xml:space="preserve">  os_disk {</w:t>
              <w:br/>
              <w:t xml:space="preserve">    caching              = "ReadWrite"</w:t>
              <w:br/>
              <w:t xml:space="preserve">    storage_account_type = "Standard_LRS"</w:t>
              <w:br/>
              <w:t xml:space="preserve">  }</w:t>
              <w:br/>
              <w:br/>
              <w:t xml:space="preserve">  source_image_reference {</w:t>
              <w:br/>
              <w:t xml:space="preserve">    publisher = "Canonical"</w:t>
              <w:br/>
              <w:t xml:space="preserve">    offer     = "0001-com-ubuntu-server-jammy"</w:t>
              <w:br/>
              <w:t xml:space="preserve">    sku       = "22_04-lts"</w:t>
              <w:br/>
              <w:t xml:space="preserve">    version   = "latest"</w:t>
              <w:br/>
              <w:t xml:space="preserve">  }</w:t>
              <w:br/>
              <w:t>}</w:t>
            </w:r>
          </w:p>
        </w:tc>
      </w:tr>
    </w:tbl>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both"/>
    </w:pPr>
    <w:r>
      <w:rPr>
        <w:rFonts w:ascii="Times New Roman" w:hAnsi="Times New Roman"/>
        <w:color w:val="64748B"/>
        <w:sz w:val="18"/>
      </w:rPr>
      <w:t>École Marocaine des Sciences de l'Ingénieur (EMSI)</w:t>
    </w:r>
    <w:r>
      <w:rPr>
        <w:rFonts w:ascii="Times New Roman" w:hAnsi="Times New Roman"/>
        <w:color w:val="64748B"/>
        <w:sz w:val="18"/>
      </w:rPr>
      <w:tab/>
      <w:tab/>
      <w:t xml:space="preserve">Page </w:t>
    </w:r>
    <w:r>
      <w:fldChar w:fldCharType="begin"/>
      <w:instrText xml:space="preserve"> PAGE </w:instrText>
      <w:fldChar w:fldCharType="separate"/>
      <w:fldChar w:fldCharType="end"/>
    </w:r>
    <w:r>
      <w:rPr>
        <w:rFonts w:ascii="Times New Roman" w:hAnsi="Times New Roman"/>
        <w:color w:val="64748B"/>
        <w:sz w:val="18"/>
      </w:rPr>
      <w:t xml:space="preserve"> /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64748B"/>
        <w:sz w:val="18"/>
      </w:rPr>
      <w:t>InsurFlow — Rapport de Projet de Fin d'Année (EMSI 4IIR)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