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del Poder ante notario público mexicano, en su caso; la traducción al español por perito traductor autorizado de los documentos que el Cliente entregue;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el uso que el Cliente o terceros den al RFC, a la e.firma o a la CSF, ni por bloqueos, suspensiones o retenciones en cualquier cuenta o plataforma del Cliente.</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por perito traductor autorizado y, en su caso, la protocolización del Poder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y, en su caso, Poder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Poder ante notario público mexicano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 en el país de origen: a cargo y pago directo del Cliente (no incluido)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al español por perito traductor autorizado (México)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