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y socio principal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y socio principal,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Poder</w:t>
      </w:r>
      <w:r>
        <w:rPr/>
        <w:t>”: poder otorgado por el Cliente a las personas que designe el Prestador, en el texto proporcionado por éste.</w:t>
      </w:r>
    </w:p>
    <w:p>
      <w:pPr>
        <w:spacing w:after="40"/>
        <w:ind w:left="567" w:hanging="397"/>
        <w:jc w:val="both"/>
      </w:pPr>
      <w:r>
        <w:rPr/>
        <w:t>18.</w:t>
        <w:tab/>
        <w:t>“</w:t>
      </w:r>
      <w:r>
        <w:rPr>
          <w:b/>
        </w:rPr>
        <w:t>Servicios</w:t>
      </w:r>
      <w:r>
        <w:rPr/>
        <w:t>”: exclusivamente los de la Cláusula 2.1 y el Anexo A.</w:t>
      </w:r>
    </w:p>
    <w:p>
      <w:pPr>
        <w:spacing w:after="40"/>
        <w:ind w:left="567" w:hanging="397"/>
        <w:jc w:val="both"/>
      </w:pPr>
      <w:r>
        <w:rPr/>
        <w:t>19.</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 la Entrega de la e.firma;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por etapa, conforme al calendario del Anexo B: (a) etapa RFC: cincuenta por ciento (50%) a la firma del Contrato, como condición para iniciar los Servicios, y cincuenta por ciento (50%) a la Entrega del RFC y la CSF; y (b) etapa e.firma: cincuenta por ciento (50%) a la notificación escrita del Prestador del inicio de esa etapa, que no podrá ser anterior a la Entrega del RFC, como condición para iniciarla, y cincuenta por ciento (50%) a la Entrega de la e.firma. Si un Trámite fue presentado y sólo está pendiente por causa imputable al Cliente, el saldo de su etapa será exigible desde la notificación escrita del Prestador.</w:t>
      </w:r>
    </w:p>
    <w:p>
      <w:pPr>
        <w:jc w:val="both"/>
      </w:pPr>
      <w:r>
        <w:rPr/>
        <w:t xml:space="preserve">8.2. </w:t>
      </w:r>
      <w:r>
        <w:rPr>
          <w:b/>
        </w:rPr>
        <w:t>Gastos de Terceros.</w:t>
      </w:r>
      <w:r>
        <w:rPr/>
        <w:t xml:space="preserve"> Se pagan al 100% a la firma del Contrato, junto con el primer pago de Honorarios, conforme al Anexo B. El Prestador no los financia. Si el monto que cotice el tercero excede la estimación, el Cliente pagará la diferencia antes de la gestión. Al terminar los Servicios, el Prestador reembolsará dentro de quince (15) Días Hábiles únicamente los anticipos no devengados (montos no erogados ni comprometidos con el tercero).</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(MXN), desde cuentas a nombre del Cliente, mediante: (i) transferencia nacional SPEI a la CLABE; o (ii) transferencia internacional SWIFT (mensaje MT103) a la cuenta o CLABE, </w:t>
      </w:r>
      <w:r>
        <w:rPr>
          <w:b/>
        </w:rPr>
        <w:t>únicamente a la cuenta a nombre de G&amp;R TAX-LEGAL CONSULTING, S.C. indicada en el Anexo B</w:t>
      </w:r>
      <w:r>
        <w:rPr/>
        <w:t>. Sólo esos pagos liberan al Cliente. En ambos casos: (a) todas las comisiones bancarias, de intermediarios y corresponsales, así como las diferencias cambiarias, son a cargo del Cliente (en SWIFT, instrucción de gastos OUR); (b) el pago se tiene por hecho sólo cuando el monto íntegro y neto se abona en la cuenta del Prestador; (c) el Cliente indicará como referencia la denominación de la empresa y enviará el comprobante (CEP de SPEI o MT103); y (d) cualquier faltante deberá cubrirse antes de continuar los Servicios. El Prestador nunca solicitará pagos a cuentas personales o de terceros; toda solicitud de pago a otra cuenta se considerará fraudulenta y el Cliente deberá confirmarla por correo electrónico con taxgr.interno@gmail.com antes de pagar.</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uno punto cinco por ciento (1.5%) mensual sobre el saldo vencido.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primer pago de la etapa RFC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dos (2)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setenta por ciento (70%) de los Honorarios pagados de las etapas no concluidas; (b) los Gastos Devengados no se reembolsan y los anticipos no devengados sí; y (c) la devolución se paga dentro de quince (15)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concluye en la fecha de Entrega de la e.firma, que constará en el acta o acuse de entrega firmado por el Cliente (la “</w:t>
      </w:r>
      <w:r>
        <w:rPr>
          <w:b/>
        </w:rPr>
        <w:t>Fecha de Entrega de la e.firma</w:t>
      </w:r>
      <w:r>
        <w:rPr/>
        <w:t>”). No hay periodo adicional.</w:t>
      </w:r>
    </w:p>
    <w:p>
      <w:pPr>
        <w:jc w:val="both"/>
      </w:pPr>
      <w:r>
        <w:rPr/>
        <w:t>9.5. A más tardar en la Fecha de Entrega de la e.firma, el Cliente deberá: (a) haber firmado con el Prestador el contrato del servicio mensual de domicilio fiscal, con honorarios independientes (Anexo B); o (b) presentar ante el SAT, en el mismo acto de entrega, el aviso de cambio de domicilio fiscal a un domicilio propio, conforme al artículo 27 del Código Fiscal de la Federación y los artículos 29 y 30 de su Reglamento, y entregar el acuse al Prestador. Para el inciso (b), el Cliente autoriza al Prestador a presentar el aviso en esa fecha con la facultad prevista en la sección 3 del Poder, al domicilio que el Cliente indique por escrito.</w:t>
      </w:r>
    </w:p>
    <w:p>
      <w:pPr>
        <w:jc w:val="both"/>
      </w:pPr>
      <w:r>
        <w:rPr/>
        <w:t>9.6. Si en la Fecha de Entrega de la e.firma el Cliente no cumplió la Cláusula 9.5, a partir de esa fecha: (a) el Prestador podrá presentar el aviso de cambio de domicilio fiscal en nombre del Cliente, en ejercicio de la facultad para presentar avisos de actualización al RFC prevista en la sección 3 del Poder,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equivale a seis (6) meses del salario bruto de la persona contratada.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Juan Pablo Garduño Vilchis</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 y socio principal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dos (2)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RFC (1/2)</w:t>
            </w:r>
          </w:p>
        </w:tc>
        <w:tc>
          <w:tcPr>
            <w:tcW w:type="dxa" w:w="2436"/>
          </w:tcPr>
          <w:p>
            <w:r>
              <w:rPr>
                <w:sz w:val="19"/>
              </w:rPr>
              <w:t>50% RFC</w:t>
            </w:r>
          </w:p>
        </w:tc>
        <w:tc>
          <w:tcPr>
            <w:tcW w:type="dxa" w:w="2436"/>
          </w:tcPr>
          <w:p>
            <w:r>
              <w:rPr>
                <w:sz w:val="19"/>
              </w:rPr>
              <w:t>$6,000.00</w:t>
            </w:r>
          </w:p>
        </w:tc>
        <w:tc>
          <w:tcPr>
            <w:tcW w:type="dxa" w:w="2436"/>
          </w:tcPr>
          <w:p>
            <w:r>
              <w:rPr>
                <w:sz w:val="19"/>
              </w:rPr>
              <w:t>A la firma (8.1(a)).</w:t>
            </w:r>
          </w:p>
        </w:tc>
      </w:tr>
      <w:tr>
        <w:tc>
          <w:tcPr>
            <w:tcW w:type="dxa" w:w="2436"/>
          </w:tcPr>
          <w:p>
            <w:r>
              <w:rPr>
                <w:sz w:val="19"/>
              </w:rPr>
              <w:t>RFC (2/2)</w:t>
            </w:r>
          </w:p>
        </w:tc>
        <w:tc>
          <w:tcPr>
            <w:tcW w:type="dxa" w:w="2436"/>
          </w:tcPr>
          <w:p>
            <w:r>
              <w:rPr>
                <w:sz w:val="19"/>
              </w:rPr>
              <w:t>50% RFC</w:t>
            </w:r>
          </w:p>
        </w:tc>
        <w:tc>
          <w:tcPr>
            <w:tcW w:type="dxa" w:w="2436"/>
          </w:tcPr>
          <w:p>
            <w:r>
              <w:rPr>
                <w:sz w:val="19"/>
              </w:rPr>
              <w:t>$6,000.00</w:t>
            </w:r>
          </w:p>
        </w:tc>
        <w:tc>
          <w:tcPr>
            <w:tcW w:type="dxa" w:w="2436"/>
          </w:tcPr>
          <w:p>
            <w:r>
              <w:rPr>
                <w:sz w:val="19"/>
              </w:rPr>
              <w:t>A la Entrega del RFC y la CSF (8.1(a)).</w:t>
            </w:r>
          </w:p>
        </w:tc>
      </w:tr>
      <w:tr>
        <w:tc>
          <w:tcPr>
            <w:tcW w:type="dxa" w:w="2436"/>
          </w:tcPr>
          <w:p>
            <w:r>
              <w:rPr>
                <w:sz w:val="19"/>
              </w:rPr>
              <w:t>e.firma (1/2)</w:t>
            </w:r>
          </w:p>
        </w:tc>
        <w:tc>
          <w:tcPr>
            <w:tcW w:type="dxa" w:w="2436"/>
          </w:tcPr>
          <w:p>
            <w:r>
              <w:rPr>
                <w:sz w:val="19"/>
              </w:rPr>
              <w:t>50% e.firma</w:t>
            </w:r>
          </w:p>
        </w:tc>
        <w:tc>
          <w:tcPr>
            <w:tcW w:type="dxa" w:w="2436"/>
          </w:tcPr>
          <w:p>
            <w:r>
              <w:rPr>
                <w:sz w:val="19"/>
              </w:rPr>
              <w:t>$6,500.00</w:t>
            </w:r>
          </w:p>
        </w:tc>
        <w:tc>
          <w:tcPr>
            <w:tcW w:type="dxa" w:w="2436"/>
          </w:tcPr>
          <w:p>
            <w:r>
              <w:rPr>
                <w:sz w:val="19"/>
              </w:rPr>
              <w:t>Al inicio de la etapa e.firma (8.1(b)).</w:t>
            </w:r>
          </w:p>
        </w:tc>
      </w:tr>
      <w:tr>
        <w:tc>
          <w:tcPr>
            <w:tcW w:type="dxa" w:w="2436"/>
          </w:tcPr>
          <w:p>
            <w:r>
              <w:rPr>
                <w:sz w:val="19"/>
              </w:rPr>
              <w:t>e.firma (2/2)</w:t>
            </w:r>
          </w:p>
        </w:tc>
        <w:tc>
          <w:tcPr>
            <w:tcW w:type="dxa" w:w="2436"/>
          </w:tcPr>
          <w:p>
            <w:r>
              <w:rPr>
                <w:sz w:val="19"/>
              </w:rPr>
              <w:t>50% e.firma</w:t>
            </w:r>
          </w:p>
        </w:tc>
        <w:tc>
          <w:tcPr>
            <w:tcW w:type="dxa" w:w="2436"/>
          </w:tcPr>
          <w:p>
            <w:r>
              <w:rPr>
                <w:sz w:val="19"/>
              </w:rPr>
              <w:t>$6,500.00</w:t>
            </w:r>
          </w:p>
        </w:tc>
        <w:tc>
          <w:tcPr>
            <w:tcW w:type="dxa" w:w="2436"/>
          </w:tcPr>
          <w:p>
            <w:r>
              <w:rPr>
                <w:sz w:val="19"/>
              </w:rPr>
              <w:t>A la Entrega de la e.firma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jc w:val="both"/>
      </w:pPr>
      <w:r>
        <w:rPr>
          <w:i/>
          <w:sz w:val="19"/>
        </w:rPr>
      </w:r>
      <w:r>
        <w:rPr>
          <w:b/>
          <w:i/>
          <w:sz w:val="19"/>
        </w:rPr>
        <w:t>Pago a la firma: $6,000.00 (50% Honorarios RFC) + $22,200.00 (100% Gastos de Terceros estimados) = $28,200.00.</w:t>
      </w:r>
      <w:r>
        <w:rPr>
          <w:i/>
          <w:sz w:val="19"/>
        </w:rPr>
      </w:r>
    </w:p>
    <w:p>
      <w:pPr>
        <w:keepNext/>
        <w:spacing w:before="160"/>
        <w:jc w:val="left"/>
      </w:pPr>
      <w:r>
        <w:rPr/>
      </w:r>
      <w:r>
        <w:rPr>
          <w:b/>
        </w:rPr>
        <w:t>3. Gastos de Terceros (estimación; 100% a la firma,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50% del importe de esa etapa</w:t>
            </w:r>
          </w:p>
        </w:tc>
      </w:tr>
      <w:tr>
        <w:tc>
          <w:tcPr>
            <w:tcW w:type="dxa" w:w="4873"/>
          </w:tcPr>
          <w:p>
            <w:r>
              <w:rPr>
                <w:sz w:val="19"/>
              </w:rPr>
              <w:t>Domicilio fiscal mensual posterior a la Entrega de la e.firma (Cláusulas 9.4 y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70%</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Dos (2)</w:t>
            </w:r>
          </w:p>
        </w:tc>
      </w:tr>
      <w:tr>
        <w:tc>
          <w:tcPr>
            <w:tcW w:type="dxa" w:w="4873"/>
          </w:tcPr>
          <w:p>
            <w:r>
              <w:rPr>
                <w:sz w:val="19"/>
              </w:rPr>
              <w:t>Plazo de devolución</w:t>
            </w:r>
          </w:p>
        </w:tc>
        <w:tc>
          <w:tcPr>
            <w:tcW w:type="dxa" w:w="4873"/>
          </w:tcPr>
          <w:p>
            <w:r>
              <w:rPr>
                <w:sz w:val="19"/>
              </w:rPr>
              <w:t>15 Días Hábiles</w:t>
            </w:r>
          </w:p>
        </w:tc>
      </w:tr>
    </w:tbl>
    <w:p>
      <w:pPr>
        <w:spacing w:after="0"/>
      </w:pPr>
    </w:p>
    <w:p>
      <w:pPr>
        <w:keepNext/>
        <w:spacing w:before="160"/>
        <w:jc w:val="left"/>
      </w:pPr>
      <w:r>
        <w:rPr/>
      </w:r>
      <w:r>
        <w:rPr>
          <w:b/>
        </w:rPr>
        <w:t>6. Datos para pago (únicos válidos, Cláusula 8.4)</w:t>
      </w:r>
      <w:r>
        <w:rPr/>
      </w:r>
    </w:p>
    <w:p>
      <w:pPr>
        <w:jc w:val="both"/>
      </w:pPr>
      <w:r>
        <w:rPr/>
        <w:t>Banco: BBVA México, S.A. · SWIFT/BIC: BCMRMXMMPYM · Titular: G&amp;R TAX-LEGAL CONSULTING, S.C. · Cuenta de cheques en MXN · CLABE: 012180001153583297 · Cuenta: 0115358329.</w:t>
      </w:r>
    </w:p>
    <w:p>
      <w:pPr>
        <w:jc w:val="both"/>
      </w:pPr>
      <w:r>
        <w:rPr>
          <w:i/>
          <w:sz w:val="19"/>
        </w:rPr>
        <w:t>Desde México: SPEI a la CLABE. Desde el extranjero: SWIFT MT103 en MXN a la cuenta o CLABE, gastos OUR. En ambos casos, comisiones y diferencias cambiarias a cargo del Cliente; referencia: denominación de la empresa; enviar comprobante (CEP de SPEI o MT103). El pago se tiene por hecho sólo con el abono íntegro y neto (Cláusula 8.4).</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