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d)</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ante notario público mexicano del instrumento notarial otorgado en el país de origen, que contiene el Poder; la traducción al español, del inglés o del idioma en que consten, por perito traductor autorizado, de los documentos que el Cliente entregue; la consulta ante la Secretaría de Economía que se requiera para los Trámites; la provisión o facilitación de un domicilio fiscal para la inscripción en el RFC conforme a la Cláusula 9.4;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w:t>
      </w:r>
    </w:p>
    <w:p>
      <w:pPr>
        <w:ind w:left="567" w:hanging="340"/>
        <w:jc w:val="both"/>
      </w:pPr>
      <w:r>
        <w:t>d)</w:t>
        <w:tab/>
      </w:r>
      <w:r>
        <w:rPr/>
        <w:t>La revisión previa del texto del Poder y de los documentos que el Cliente obtenga en su país de origen, y la coordinación de su traducción al español por perito traductor autorizado por el Poder Judicial de la Federación o por el Tribunal Superior de Justicia de la Ciudad de México, así como, en su caso, la protocolización del Poder ante notario público mexicano, en términos de la Cláusula Cuarta; y</w:t>
      </w:r>
    </w:p>
    <w:p>
      <w:pPr>
        <w:ind w:left="567" w:hanging="340"/>
        <w:jc w:val="both"/>
      </w:pPr>
      <w:r>
        <w:t>e)</w:t>
        <w:tab/>
      </w:r>
      <w:r>
        <w:rPr/>
        <w:t>La provisión o facilitación, por parte del Prestador, de un domicilio fiscal en México para efectos de la inscripción del Cliente en el RFC y la obtención de la e.firma, exclusivamente durante el periodo y en los términos previstos en la Cláusula 9.4.</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el uso que el Cliente dé al RFC, a la e.firma o a la CSF, el cual es decisión y responsabilidad exclusiva del Cliente, así como con cuentas del Cliente en plataformas digitales, comercios electrónicos o instituciones financieras;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la apertura de cuentas bancarias, así como el servicio continuo o mensual de domicilio fiscal posterior a la conclusión de los Trámites, el cual se contratará por separado;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Documentos del país de origen y traducción por perito.</w:t>
      </w:r>
    </w:p>
    <w:p>
      <w:pPr>
        <w:jc w:val="both"/>
      </w:pPr>
      <w:r>
        <w:rPr/>
        <w:t>4.1. La firma del Poder ante notario público del país de origen, la emisión del Certificado Notarial, su apostilla o legalización y cualquier traducción realizada en el país de origen son responsabilidad exclusiva del Cliente, quien deberá gestionarlas y pagarlas directamente y entregarlas al Prestador ya concluidas. El Prestador proporcionará el texto del Poder y el modelo de Certificado Notarial y podrá revisar los borradores antes de su firma, pero no coordina, contrata ni responde por los notarios, autoridades de apostilla, traductores ni servicios de mensajería del país de origen.</w:t>
      </w:r>
    </w:p>
    <w:p>
      <w:pPr>
        <w:jc w:val="both"/>
      </w:pPr>
      <w:r>
        <w:rPr/>
        <w:t>4.2. La traducción al español por perito traductor autorizado por el Poder Judicial de la Federación o por el Tribunal Superior de Justicia de la Ciudad de México y, en su caso, la protocolización del Poder ante notario público mexicano se realizarán exclusivamente con o a través del Prestador, con el perito y el notario que éste designe o apruebe por escrito. El Cliente no podrá contratar dichos servicios por su cuenta ni con terceros no aprobados por el Prestador, y el Prestador no asume responsabilidad por traducciones o protocolizaciones realizadas sin su intervención.</w:t>
      </w:r>
    </w:p>
    <w:p>
      <w:pPr/>
      <w:r>
        <w:t>4.3. Si los documentos entregados por el Cliente llegan incompletos o presentan errores, omisiones, inconsistencias o apostilla o legalización defectuosa, no se ajustan al texto del Poder o al modelo proporcionado por el Prestador, o son observados o rechazados por el perito, el notario o la Autoridad: (a) los plazos a cargo del Prestador quedarán suspendidos hasta que el Cliente entregue los documentos corregidos; (b) el costo de rehacer, volver a apostillar, traducir, protocolizar o enviar los documentos, así como los Honorarios adicionales por el trabajo repetido, serán a cargo del Cliente; y (c) si el Cliente no los corrige, el Prestador podrá dar por terminado el Contrato conforme a la Cláusula Décima Cuarta, sin responsabilidad para el Prestador.</w:t>
      </w:r>
    </w:p>
    <w:p>
      <w:pPr>
        <w:jc w:val="both"/>
      </w:pPr>
      <w:r>
        <w:rPr/>
        <w:t>4.4. El Prestador no será responsable por retrasos, costos, rechazos ni cualquier otra consecuencia derivada de los trámites realizados en el país de origen, incluidos los tiempos de notarios, autoridades de apostilla, traductores, autoridades extranjeras y mensajería internacional.</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t>5.3. Sin perjuicio de lo previsto en las Cláusulas 5.5 y 8.8 a 8.12, no constituirá incumplimiento del Prestador ni dará lugar a indemnización, por tratarse de causas ajenas a su control: (a) el rechazo, requerimiento, prevención, suspensión o retraso de la Autoridad no imputable al Prestador;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jc w:val="both"/>
      </w:pPr>
      <w:r>
        <w:t xml:space="preserve">5.5. </w:t>
      </w:r>
      <w:r>
        <w:rPr>
          <w:b/>
        </w:rPr>
        <w:t>Responsabilidad del Prestador por causas imputables.</w:t>
      </w:r>
      <w:r>
        <w:t xml:space="preserve"> Si un rechazo, requerimiento, error u omisión es imputable a negligencia, error o falta de diligencia del Prestador o de su personal, el Prestador: (a) rehará, corregirá o volverá a presentar el trabajo afectado sin Honorarios adicionales, dentro de un plazo razonable; y (b) cubrirá los Gastos de Terceros adicionales que dicho error genere directamente. Si, aun así, el Trámite no pudiera concluirse por esa causa, el Cliente tendrá derecho a la devolución de los Honorarios pagados correspondientes a las etapas no concluidas, conforme a la Cláusula 8.11, sujeto al límite de la Cláusula 11.1.</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t xml:space="preserve">8.3. </w:t>
      </w:r>
      <w:r>
        <w:rPr>
          <w:b/>
        </w:rPr>
        <w:t>No reembolso de Gastos Devengados.</w:t>
      </w:r>
      <w:r>
        <w:t xml:space="preserve"> Los Gastos Devengados, por haber sido ya pagados a terceros, no serán reembolsables, salvo cuando se hayan generado por causa imputable al Prestador (Cláusula 5.5).</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revisión de documentos y coordinación de la traducción por perito), por lo que dicho pago se considera devengado al iniciar los Servicios, salvo lo previsto en la Cláusula 14.4.</w:t>
      </w:r>
      <w:r>
        <w:t xml:space="preserve"> Lo anterior, sin perjuicio de lo previsto en las Cláusulas 5.5 y 8.8 a 8.12.</w:t>
      </w:r>
    </w:p>
    <w:p>
      <w:pPr>
        <w:jc w:val="both"/>
      </w:pPr>
      <w:r>
        <w:t xml:space="preserve">8.8. </w:t>
      </w:r>
      <w:r>
        <w:rPr>
          <w:b/>
        </w:rPr>
        <w:t>Devolución parcial.</w:t>
      </w:r>
      <w:r>
        <w:t xml:space="preserve"> El Cliente tendrá derecho a una devolución parcial de los Honorarios en los siguientes supuestos, siempre que no concurra ninguna de las causas excluidas en la Cláusula 8.9: (a) cuando, con posterioridad a la firma del Contrato, se modifiquen las disposiciones, reglas o requisitos aplicables de manera que los Trámites resulten jurídica o materialmente imposibles; o (b) cuando la Autoridad emita una Negativa Definitiva respecto de la inscripción en el RFC o de la e.firma por causas no imputables al Prestador ni al Cliente.</w:t>
      </w:r>
    </w:p>
    <w:p>
      <w:pPr>
        <w:jc w:val="both"/>
      </w:pPr>
      <w:r>
        <w:t xml:space="preserve">8.9. </w:t>
      </w:r>
      <w:r>
        <w:rPr>
          <w:b/>
        </w:rPr>
        <w:t>Causas excluidas.</w:t>
      </w:r>
      <w:r>
        <w:t xml:space="preserve"> No procederá la devolución cuando la negativa o imposibilidad derive, total o parcialmente, de: (a) documentación o información falsa, incompleta, inconsistente o defectuosa proporcionada por el Cliente; (b) antecedentes fiscales, legales o reputacionales del Cliente, de sus socios, representantes o beneficiarios controladores; (c) la falta de asistencia, firma, comparecencia o respuesta del Cliente o de su representante; (d) el incumplimiento de cualquier otra obligación del Cliente; o (e) la falta de pago.</w:t>
      </w:r>
    </w:p>
    <w:p>
      <w:pPr>
        <w:jc w:val="both"/>
      </w:pPr>
      <w:r>
        <w:t xml:space="preserve">8.10. </w:t>
      </w:r>
      <w:r>
        <w:rPr>
          <w:b/>
        </w:rPr>
        <w:t>Negativa Definitiva.</w:t>
      </w:r>
      <w:r>
        <w:t xml:space="preserve"> Se entenderá por “Negativa Definitiva”: (a) la resolución formal y por escrito de la Autoridad que niegue el Trámite; o (b) el rechazo por escrito de la Autoridad después de que el Prestador haya realizado al menos [___] intentos razonables de presentación o subsanación.</w:t>
      </w:r>
    </w:p>
    <w:p>
      <w:pPr>
        <w:jc w:val="both"/>
      </w:pPr>
      <w:r>
        <w:t xml:space="preserve">8.11. </w:t>
      </w:r>
      <w:r>
        <w:rPr>
          <w:b/>
        </w:rPr>
        <w:t>Monto y forma de la devolución.</w:t>
      </w:r>
      <w:r>
        <w:t xml:space="preserve"> En los supuestos de la Cláusula 8.8: (a) el Prestador conservará los Honorarios correspondientes a las etapas concluidas; (b) devolverá el [___]% de los Honorarios pagados correspondientes a las etapas no concluidas; (c) los Gastos de Terceros ya pagados no serán reembolsables, y el Prestador reembolsará los anticipos de Gastos de Terceros no devengados; y (d) la devolución se realizará dentro de los [___] Días Hábiles siguientes a la Negativa Definitiva o a que se acredite la imposibilidad, mediante transferencia a una cuenta bancaria a nombre del Cliente.</w:t>
      </w:r>
    </w:p>
    <w:p>
      <w:pPr>
        <w:jc w:val="both"/>
      </w:pPr>
      <w:r>
        <w:t xml:space="preserve">8.12. </w:t>
      </w:r>
      <w:r>
        <w:rPr>
          <w:b/>
        </w:rPr>
        <w:t>Nuevo intento sin costo.</w:t>
      </w:r>
      <w:r>
        <w:t xml:space="preserve"> Antes de realizar la devolución, el Prestador podrá ofrecer por escrito al Cliente un nuevo intento del Trámite sin Honorarios adicionales, cuando sea razonablemente viable. Si el Cliente lo acepta, la devolución quedará sujeta al resultado del nuevo intento; si lo rechaza, procederá la devolución conforme a la Cláusula 8.11.</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 En materia de domicilio fiscal, el Prestador únicamente asume lo expresamente previsto en las Cláusulas 2.1(e) y 9.4.</w:t>
      </w:r>
    </w:p>
    <w:p>
      <w:pPr>
        <w:jc w:val="both"/>
      </w:pPr>
      <w:r>
        <w:rPr/>
        <w:t xml:space="preserve">9.4. </w:t>
      </w:r>
      <w:r>
        <w:rPr>
          <w:b/>
        </w:rPr>
        <w:t>Domicilio fiscal para los Trámites.</w:t>
      </w:r>
      <w:r>
        <w:t xml:space="preserve"> El domicilio fiscal que el Prestador proporcione o facilite conforme a la Cláusula 2.1(e) se otorga únicamente para efectos de la inscripción en el RFC y la obtención de la e.firma, y estará vigente sólo durante los Trámites y hasta [___] días naturales posteriores a la Entrega del RFC, la CSF y la e.firma (el “Periodo de Gracia”).</w:t>
      </w:r>
    </w:p>
    <w:p>
      <w:pPr>
        <w:jc w:val="both"/>
      </w:pPr>
      <w:r>
        <w:rPr/>
        <w:t xml:space="preserve">9.5. </w:t>
      </w:r>
      <w:r>
        <w:rPr>
          <w:b/>
        </w:rPr>
        <w:t>Obligaciones del Cliente al concluir el Periodo de Gracia.</w:t>
      </w:r>
      <w:r>
        <w:t xml:space="preserve"> Antes de que concluya el Periodo de Gracia, el Cliente deberá, a su elección: (a) contratar con el Prestador el servicio mensual de domicilio fiscal, mediante contrato y honorarios independientes de este Contrato; o (b) presentar ante el SAT el aviso de cambio de domicilio fiscal a un domicilio propio, en términos del artículo 27 del Código Fiscal de la Federación y de los artículos 29 y 30 de su Reglamento, y entregar al Prestador el acuse correspondiente.</w:t>
      </w:r>
    </w:p>
    <w:p>
      <w:pPr>
        <w:jc w:val="both"/>
      </w:pPr>
      <w:r>
        <w:rPr/>
        <w:t xml:space="preserve">9.6. </w:t>
      </w:r>
      <w:r>
        <w:rPr>
          <w:b/>
        </w:rPr>
        <w:t>Consecuencias del incumplimiento.</w:t>
      </w:r>
      <w:r>
        <w:t xml:space="preserve"> Si al concluir el Periodo de Gracia el Cliente no ha realizado ninguna de las opciones anteriores: (a) el Prestador podrá presentar el aviso de cambio de domicilio en nombre del Cliente, en la medida en que el Poder lo permita, o requerir al Cliente que lo presente de inmediato; (b) el Prestador podrá negarse a recibir visitas, verificaciones o notificaciones del SAT por cuenta del Cliente, limitándose, en su caso, a reenviarle por los Canales Autorizados los documentos que llegue a recibir; (c) el Prestador no será responsable por la condición de “no localizado”, la restricción temporal o cancelación de certificados de sello digital (CSD), la suspensión o restricción en el RFC, multas, recargos ni cualquier otra consecuencia; y (d) el Cliente indemnizará y sacará en paz y a salvo al Prestador de cualquier reclamación, sanción, costo o daño derivado de ello.</w:t>
      </w:r>
    </w:p>
    <w:p>
      <w:pPr>
        <w:jc w:val="both"/>
      </w:pPr>
      <w:r>
        <w:rPr/>
        <w:t xml:space="preserve">9.7. </w:t>
      </w:r>
      <w:r>
        <w:rPr>
          <w:b/>
        </w:rPr>
        <w:t>Uso limitado del domicilio.</w:t>
      </w:r>
      <w:r>
        <w:t xml:space="preserve"> Durante su vigencia, el domicilio proporcionado o facilitado por el Prestador sólo podrá utilizarse para fines fiscales. El Cliente no podrá utilizarlo para fines comerciales, almacenar inventario, recibir mercancía ni anunciarlo o presentarlo como su establecimiento o lugar de negocios. Cualquier actualización, aviso o aclaración posterior ante el SAT constituirá un nuevo servicio, que se cotizará y contratará por separado.</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t xml:space="preserve">11.1. </w:t>
      </w:r>
      <w:r>
        <w:rPr>
          <w:b/>
        </w:rPr>
        <w:t>Límite de responsabilidad.</w:t>
      </w:r>
      <w:r>
        <w:t xml:space="preserve"> El Prestador responderá frente al Cliente por los daños directos que le cause por su culpa o negligencia en la prestación de los Servicios. Conforme a la práctica profesional usual, la responsabilidad total y acumulada del Prestador derivada del presente Contrato no excederá del monto de los Honorarios efectivamente pagados por el Cliente por el Servicio que dio origen a la reclamación, sin incluir los Gastos de Terceros, y sin perjuicio de las obligaciones de corregir el trabajo (Cláusula 5.5) y de devolución (Cláusulas 8.8 a 8.12).</w:t>
      </w:r>
    </w:p>
    <w:p>
      <w:pPr>
        <w:jc w:val="both"/>
      </w:pPr>
      <w:r>
        <w:t>11.2. Salvo dolo o mala fe, el Prestador no será responsable por daños indirectos, consecuenciales o punitivos, lucro cesante, pérdida de ventas, ingresos, oportunidades de negocio, clientes o reputación, ni por el uso que el Cliente o terceros den al RFC, a la e.firma o a la CSF, ni por bloqueos, suspensiones o retenciones en cualquier cuenta o plataforma del Cliente.</w:t>
      </w:r>
    </w:p>
    <w:p>
      <w:pPr>
        <w:jc w:val="both"/>
      </w:pPr>
      <w:r>
        <w:t>11.3. El Prestador no será responsable por los actos u omisiones de la Autoridad ni de terceros que no estén bajo su dirección, ni por la información o documentos proporcionados por el Cliente. Respecto de los peritos traductores, notarios mexicanos y demás terceros que el Prestador designe, éste responderá por la diligencia en su selección y supervisión y gestionará la corrección de cualquier error sin Honorarios adicionales.</w:t>
      </w:r>
    </w:p>
    <w:p>
      <w:pPr>
        <w:jc w:val="both"/>
      </w:pPr>
      <w:r>
        <w:t>11.4. Las limitaciones anteriores no aplicarán en caso de dolo o mala fe del Prestador, ni en los demás casos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conducta del Cliente, debidamente justificada y notificada por escrito,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t xml:space="preserve">14.4. </w:t>
      </w:r>
      <w:r>
        <w:rPr>
          <w:b/>
        </w:rPr>
        <w:t>Efectos de la terminación.</w:t>
      </w:r>
      <w:r>
        <w:t xml:space="preserve"> En cualquier caso de terminación o rescisión, salvo la rescisión por incumplimiento del Prestador: (a) el Cliente pagará los Honorarios de las etapas concluidas y la parte proporcional del trabajo realizado en la etapa en curso, más los Gastos Devengados; (b) el Prestador reembolsará los anticipos de Gastos de Terceros no devengados, previa compensación de cualquier adeudo del Cliente; y (c) el Prestador entregará al Cliente los documentos originales de éste que obren en su poder y los Entregables obtenidos, una vez cubiertas las cantidades adeudadas. En los supuestos de las Cláusulas 8.8 a 8.12 prevalecerán las reglas de devolución parcial ahí previstas. En caso de rescisión por incumplimiento del Prestador, éste reembolsará la totalidad de los Honorarios pagados correspondientes a las etapas no concluidas,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el texto del Poder y el modelo de Certificado Notarial; revisar los documentos del país de origen que entregue el Cliente; coordinar su traducción al español (del inglés o del idioma en que consten) por perito traductor autorizado y la protocolización del instrumento notarial ante notario mexicano.</w:t>
            </w:r>
          </w:p>
        </w:tc>
        <w:tc>
          <w:tcPr>
            <w:tcW w:type="dxa" w:w="2353"/>
          </w:tcPr>
          <w:p>
            <w:r>
              <w:rPr>
                <w:sz w:val="20"/>
              </w:rPr>
              <w:t>Entrega de los documentos firmados ante notario del país de origen, apostillados y, en su caso, con su traducción del país de origen (a cargo y costo del Cliente); pago del 100% de los Gastos de Terceros en México.</w:t>
            </w:r>
          </w:p>
        </w:tc>
        <w:tc>
          <w:tcPr>
            <w:tcW w:type="dxa" w:w="2353"/>
          </w:tcPr>
          <w:p>
            <w:r>
              <w:rPr>
                <w:sz w:val="20"/>
              </w:rPr>
              <w:t>Traducción por perito e instrumento notarial protocolizado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RFC: acuse de inscripción y cédula de identificación fiscal, así como los acuses y oficios del trámite.</w:t>
            </w:r>
          </w:p>
        </w:tc>
      </w:tr>
      <w:tr>
        <w:tc>
          <w:tcPr>
            <w:tcW w:type="dxa" w:w="2353"/>
          </w:tcPr>
          <w:p>
            <w:r>
              <w:rPr>
                <w:sz w:val="20"/>
              </w:rPr>
              <w:t>4</w:t>
            </w:r>
          </w:p>
        </w:tc>
        <w:tc>
          <w:tcPr>
            <w:tcW w:type="dxa" w:w="2353"/>
          </w:tcPr>
          <w:p>
            <w:r>
              <w:rPr>
                <w:sz w:val="20"/>
              </w:rPr>
              <w:t>Gestión del trámite de e.firma del Cliente ante el SAT, incluida la consulta ante la Secretaría de Economía que se requiera.</w:t>
            </w:r>
          </w:p>
        </w:tc>
        <w:tc>
          <w:tcPr>
            <w:tcW w:type="dxa" w:w="2353"/>
          </w:tcPr>
          <w:p>
            <w:r>
              <w:rPr>
                <w:sz w:val="20"/>
              </w:rPr>
              <w:t>Datos y comparecencia o validación que la Autoridad requiera.</w:t>
            </w:r>
          </w:p>
        </w:tc>
        <w:tc>
          <w:tcPr>
            <w:tcW w:type="dxa" w:w="2353"/>
          </w:tcPr>
          <w:p>
            <w:r>
              <w:rPr>
                <w:sz w:val="20"/>
              </w:rPr>
              <w:t>e.firma (archivos .cer y .key y contraseña de la clave privada) entregada por medio seguro conforme a la Cláusula Décima; acuses, oficios y demás documentación del trámite;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Tiempos estimados: RFC, aproximadamente 3 semanas a partir de la recepción en la Ciudad de México de la documentación completa y correcta; e.firma, aproximadamente 13 a 15 semanas, principalmente por la consulta ante la Secretaría de Economía y las gestiones ante el SAT. Son estimaciones para 2026 y pueden variar según las autoridades, el número de empresas y posibles cambios en las reglas para 2027, así como la disponibilidad de citas y la actuación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Gestión y trámite de RFC</w:t>
            </w:r>
          </w:p>
        </w:tc>
        <w:tc>
          <w:tcPr>
            <w:tcW w:type="dxa" w:w="2353"/>
          </w:tcPr>
          <w:p>
            <w:r>
              <w:rPr>
                <w:sz w:val="20"/>
              </w:rPr>
              <w:t>$12,000.00</w:t>
            </w:r>
          </w:p>
        </w:tc>
        <w:tc>
          <w:tcPr>
            <w:tcW w:type="dxa" w:w="2353"/>
          </w:tcPr>
          <w:p>
            <w:r>
              <w:rPr>
                <w:sz w:val="20"/>
              </w:rPr>
              <w:t>Más IVA 16% (Cláusula 8.1)</w:t>
            </w:r>
          </w:p>
        </w:tc>
        <w:tc>
          <w:tcPr>
            <w:tcW w:type="dxa" w:w="2353"/>
          </w:tcPr>
          <w:p>
            <w:r>
              <w:rPr>
                <w:sz w:val="20"/>
              </w:rPr>
              <w:t>$12,000.00 más IVA</w:t>
            </w:r>
          </w:p>
        </w:tc>
      </w:tr>
      <w:tr>
        <w:tc>
          <w:tcPr>
            <w:tcW w:type="dxa" w:w="2353"/>
          </w:tcPr>
          <w:p>
            <w:r>
              <w:rPr>
                <w:sz w:val="20"/>
              </w:rPr>
              <w:t>Gestión y trámite de e.firma</w:t>
            </w:r>
          </w:p>
        </w:tc>
        <w:tc>
          <w:tcPr>
            <w:tcW w:type="dxa" w:w="2353"/>
          </w:tcPr>
          <w:p>
            <w:r>
              <w:rPr>
                <w:sz w:val="20"/>
              </w:rPr>
              <w:t>$13,000.00</w:t>
            </w:r>
          </w:p>
        </w:tc>
        <w:tc>
          <w:tcPr>
            <w:tcW w:type="dxa" w:w="2353"/>
          </w:tcPr>
          <w:p>
            <w:r>
              <w:rPr>
                <w:sz w:val="20"/>
              </w:rPr>
              <w:t>Más IVA 16% (Cláusula 8.1)</w:t>
            </w:r>
          </w:p>
        </w:tc>
        <w:tc>
          <w:tcPr>
            <w:tcW w:type="dxa" w:w="2353"/>
          </w:tcPr>
          <w:p>
            <w:r>
              <w:rPr>
                <w:sz w:val="20"/>
              </w:rPr>
              <w:t>$13,000.00 más IVA</w:t>
            </w:r>
          </w:p>
        </w:tc>
      </w:tr>
      <w:tr>
        <w:tc>
          <w:tcPr>
            <w:tcW w:type="dxa" w:w="2353"/>
          </w:tcPr>
          <w:p>
            <w:r>
              <w:rPr>
                <w:sz w:val="20"/>
              </w:rPr>
              <w:t>Subtotal Honorarios (incluye elaboración del Poder, asesoría jurídica y fiscal, integración del expediente, y gestión y seguimiento de ambos Trámites)</w:t>
            </w:r>
          </w:p>
        </w:tc>
        <w:tc>
          <w:tcPr>
            <w:tcW w:type="dxa" w:w="2353"/>
          </w:tcPr>
          <w:p>
            <w:r>
              <w:rPr>
                <w:sz w:val="20"/>
              </w:rPr>
              <w:t>$25,000.00</w:t>
            </w:r>
          </w:p>
        </w:tc>
        <w:tc>
          <w:tcPr>
            <w:tcW w:type="dxa" w:w="2353"/>
          </w:tcPr>
          <w:p>
            <w:r>
              <w:rPr>
                <w:sz w:val="20"/>
              </w:rPr>
              <w:t>$4,000.00</w:t>
            </w:r>
          </w:p>
        </w:tc>
        <w:tc>
          <w:tcPr>
            <w:tcW w:type="dxa" w:w="2353"/>
          </w:tcPr>
          <w:p>
            <w:r>
              <w:rPr>
                <w:sz w:val="20"/>
              </w:rPr>
              <w:t>$29,000.00</w:t>
            </w:r>
          </w:p>
        </w:tc>
      </w:tr>
      <w:tr>
        <w:tc>
          <w:tcPr>
            <w:tcW w:type="dxa" w:w="2353"/>
          </w:tcPr>
          <w:p>
            <w:r>
              <w:rPr>
                <w:sz w:val="20"/>
              </w:rPr>
              <w:t>Domicilio fiscal mensual posterior al Periodo de Gracia (Cláusula 9.5) – servicio no incluido, se contrata por separado</w:t>
            </w:r>
          </w:p>
        </w:tc>
        <w:tc>
          <w:tcPr>
            <w:tcW w:type="dxa" w:w="2353"/>
          </w:tcPr>
          <w:p>
            <w:r>
              <w:rPr>
                <w:sz w:val="20"/>
              </w:rPr>
              <w:t>$[__________] mensuales</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$25,000.00</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Protocolización del instrumento notarial chino</w:t>
            </w:r>
          </w:p>
        </w:tc>
        <w:tc>
          <w:tcPr>
            <w:tcW w:type="dxa" w:w="2353"/>
          </w:tcPr>
          <w:p>
            <w:r>
              <w:rPr>
                <w:sz w:val="20"/>
              </w:rPr>
              <w:t>Notario público mexicano</w:t>
            </w:r>
          </w:p>
        </w:tc>
        <w:tc>
          <w:tcPr>
            <w:tcW w:type="dxa" w:w="2353"/>
          </w:tcPr>
          <w:p>
            <w:r>
              <w:rPr>
                <w:sz w:val="20"/>
              </w:rPr>
              <w:t>$15,000.00</w:t>
            </w:r>
          </w:p>
        </w:tc>
        <w:tc>
          <w:tcPr>
            <w:tcW w:type="dxa" w:w="2353"/>
          </w:tcPr>
          <w:p>
            <w:r>
              <w:rPr>
                <w:sz w:val="20"/>
              </w:rPr>
              <w:t>Puede variar según la documentación</w:t>
            </w:r>
          </w:p>
        </w:tc>
      </w:tr>
      <w:tr>
        <w:tc>
          <w:tcPr>
            <w:tcW w:type="dxa" w:w="2353"/>
          </w:tcPr>
          <w:p>
            <w:r>
              <w:rPr>
                <w:sz w:val="20"/>
              </w:rPr>
              <w:t>Traducción por perito del inglés al español</w:t>
            </w:r>
          </w:p>
        </w:tc>
        <w:tc>
          <w:tcPr>
            <w:tcW w:type="dxa" w:w="2353"/>
          </w:tcPr>
          <w:p>
            <w:r>
              <w:rPr>
                <w:sz w:val="20"/>
              </w:rPr>
              <w:t>Perito traductor autorizado</w:t>
            </w:r>
          </w:p>
        </w:tc>
        <w:tc>
          <w:tcPr>
            <w:tcW w:type="dxa" w:w="2353"/>
          </w:tcPr>
          <w:p>
            <w:r>
              <w:rPr>
                <w:sz w:val="20"/>
              </w:rPr>
              <w:t>$6,000.00</w:t>
            </w:r>
          </w:p>
        </w:tc>
        <w:tc>
          <w:tcPr>
            <w:tcW w:type="dxa" w:w="2353"/>
          </w:tcPr>
          <w:p>
            <w:r>
              <w:rPr>
                <w:sz w:val="20"/>
              </w:rPr>
              <w:t>Puede variar según el volumen e idioma de los documentos</w:t>
            </w:r>
          </w:p>
        </w:tc>
      </w:tr>
      <w:tr>
        <w:tc>
          <w:tcPr>
            <w:tcW w:type="dxa" w:w="2353"/>
          </w:tcPr>
          <w:p>
            <w:r>
              <w:rPr>
                <w:sz w:val="20"/>
              </w:rPr>
              <w:t>Gastos ante la Secretaría de Economía</w:t>
            </w:r>
          </w:p>
        </w:tc>
        <w:tc>
          <w:tcPr>
            <w:tcW w:type="dxa" w:w="2353"/>
          </w:tcPr>
          <w:p>
            <w:r>
              <w:rPr>
                <w:sz w:val="20"/>
              </w:rPr>
              <w:t>Secretaría de Economía</w:t>
            </w:r>
          </w:p>
        </w:tc>
        <w:tc>
          <w:tcPr>
            <w:tcW w:type="dxa" w:w="2353"/>
          </w:tcPr>
          <w:p>
            <w:r>
              <w:rPr>
                <w:sz w:val="20"/>
              </w:rPr>
              <w:t>$1,200.00</w:t>
            </w:r>
          </w:p>
        </w:tc>
        <w:tc>
          <w:tcPr>
            <w:tcW w:type="dxa" w:w="2353"/>
          </w:tcPr>
          <w:p>
            <w:r>
              <w:rPr>
                <w:sz w:val="20"/>
              </w:rPr>
              <w:t>Puede variar según los costos aplicables</w:t>
            </w:r>
          </w:p>
        </w:tc>
      </w:tr>
      <w:tr>
        <w:tc>
          <w:tcPr>
            <w:tcW w:type="dxa" w:w="2353"/>
          </w:tcPr>
          <w:p>
            <w:r>
              <w:rPr>
                <w:sz w:val="20"/>
              </w:rPr>
              <w:t>Elaboración y apostilla del instrumento notarial en China</w:t>
            </w:r>
          </w:p>
        </w:tc>
        <w:tc>
          <w:tcPr>
            <w:tcW w:type="dxa" w:w="2353"/>
          </w:tcPr>
          <w:p>
            <w:r>
              <w:rPr>
                <w:sz w:val="20"/>
              </w:rPr>
              <w:t>Notaría y autoridad de apostilla en China</w:t>
            </w:r>
          </w:p>
        </w:tc>
        <w:tc>
          <w:tcPr>
            <w:tcW w:type="dxa" w:w="2353"/>
          </w:tcPr>
          <w:p>
            <w:r>
              <w:rPr>
                <w:sz w:val="20"/>
              </w:rPr>
              <w:t>No incluido</w:t>
            </w:r>
          </w:p>
        </w:tc>
        <w:tc>
          <w:tcPr>
            <w:tcW w:type="dxa" w:w="2353"/>
          </w:tcPr>
          <w:p>
            <w:r>
              <w:rPr>
                <w:sz w:val="20"/>
              </w:rPr>
              <w:t>A cargo y pago directo del Cliente (Cláusula Cuarta)</w:t>
            </w:r>
          </w:p>
        </w:tc>
      </w:tr>
      <w:tr>
        <w:tc>
          <w:tcPr>
            <w:tcW w:type="dxa" w:w="4706"/>
            <w:gridSpan w:val="2"/>
          </w:tcPr>
          <w:p>
            <w:r>
              <w:rPr>
                <w:b/>
                <w:sz w:val="20"/>
              </w:rPr>
              <w:t>Total estimado de Gastos de Terceros</w:t>
            </w:r>
          </w:p>
        </w:tc>
        <w:tc>
          <w:tcPr>
            <w:tcW w:type="dxa" w:w="2353"/>
          </w:tcPr>
          <w:p>
            <w:r>
              <w:rPr>
                <w:sz w:val="20"/>
              </w:rPr>
              <w:t>$22,200.00</w:t>
            </w:r>
          </w:p>
        </w:tc>
        <w:tc>
          <w:tcPr>
            <w:tcW w:type="dxa" w:w="2353"/>
          </w:tcPr>
          <w:p/>
        </w:tc>
      </w:tr>
    </w:tbl>
    <w:p/>
    <w:p>
      <w:pPr>
        <w:jc w:val="both"/>
      </w:pPr>
      <w:r>
        <w:rPr>
          <w:i/>
          <w:sz w:val="20"/>
        </w:rPr>
        <w:t>Total por empresa: Honorarios $25,000.00 + Gastos de Terceros estimados $22,200.00 = $47,200.00 MXN, más IVA sobre Honorarios ($4,000.00); total con IVA: $51,200.00 MXN (Cláusula 8.1). Los Gastos de Terceros se cubren según lo cotizado por los terceros, sin que el Prestador les adicione IVA. Los Gastos de Terceros son independientes de los Honorarios y pueden variar según la documentación y los costos aplicables,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pPr>
        <w:keepNext/>
        <w:spacing w:before="160"/>
        <w:jc w:val="left"/>
      </w:pPr>
      <w:r>
        <w:rPr>
          <w:b/>
        </w:rPr>
        <w:t>6. Devolución parcial (Cláusulas 8.8 a 8.12)</w:t>
      </w:r>
    </w:p>
    <w:tbl>
      <w:tblPr>
        <w:tblStyle w:val="TableGrid"/>
        <w:tblW w:type="auto" w:w="0"/>
        <w:tblLook w:firstColumn="1" w:firstRow="1" w:lastColumn="0" w:lastRow="0" w:noHBand="0" w:noVBand="1" w:val="04A0"/>
      </w:tblPr>
      <w:tblGrid>
        <w:gridCol w:w="4706"/>
        <w:gridCol w:w="4706"/>
      </w:tblGrid>
      <w:tr>
        <w:tc>
          <w:tcPr>
            <w:tcW w:type="dxa" w:w="4706"/>
          </w:tcPr>
          <w:p>
            <w:r>
              <w:rPr>
                <w:b/>
              </w:rPr>
              <w:t>Concepto</w:t>
            </w:r>
          </w:p>
        </w:tc>
        <w:tc>
          <w:tcPr>
            <w:tcW w:type="dxa" w:w="4706"/>
          </w:tcPr>
          <w:p>
            <w:r>
              <w:rPr>
                <w:b/>
              </w:rPr>
              <w:t>Regla</w:t>
            </w:r>
          </w:p>
        </w:tc>
      </w:tr>
      <w:tr>
        <w:tc>
          <w:tcPr>
            <w:tcW w:type="dxa" w:w="4706"/>
          </w:tcPr>
          <w:p>
            <w:r>
              <w:t>Etapas concluidas</w:t>
            </w:r>
          </w:p>
        </w:tc>
        <w:tc>
          <w:tcPr>
            <w:tcW w:type="dxa" w:w="4706"/>
          </w:tcPr>
          <w:p>
            <w:r>
              <w:t>Honorarios no reembolsables</w:t>
            </w:r>
          </w:p>
        </w:tc>
      </w:tr>
      <w:tr>
        <w:tc>
          <w:tcPr>
            <w:tcW w:type="dxa" w:w="4706"/>
          </w:tcPr>
          <w:p>
            <w:r>
              <w:t>Etapas no concluidas (supuestos de la Cláusula 8.8)</w:t>
            </w:r>
          </w:p>
        </w:tc>
        <w:tc>
          <w:tcPr>
            <w:tcW w:type="dxa" w:w="4706"/>
          </w:tcPr>
          <w:p>
            <w:r>
              <w:t>Devolución del [___]% de los Honorarios pagados</w:t>
            </w:r>
          </w:p>
        </w:tc>
      </w:tr>
      <w:tr>
        <w:tc>
          <w:tcPr>
            <w:tcW w:type="dxa" w:w="4706"/>
          </w:tcPr>
          <w:p>
            <w:r>
              <w:t>Gastos de Terceros devengados</w:t>
            </w:r>
          </w:p>
        </w:tc>
        <w:tc>
          <w:tcPr>
            <w:tcW w:type="dxa" w:w="4706"/>
          </w:tcPr>
          <w:p>
            <w:r>
              <w:t>No reembolsables</w:t>
            </w:r>
          </w:p>
        </w:tc>
      </w:tr>
      <w:tr>
        <w:tc>
          <w:tcPr>
            <w:tcW w:type="dxa" w:w="4706"/>
          </w:tcPr>
          <w:p>
            <w:r>
              <w:t>Intentos previos a la Negativa Definitiva</w:t>
            </w:r>
          </w:p>
        </w:tc>
        <w:tc>
          <w:tcPr>
            <w:tcW w:type="dxa" w:w="4706"/>
          </w:tcPr>
          <w:p>
            <w:r>
              <w:t>[___]</w:t>
            </w:r>
          </w:p>
        </w:tc>
      </w:tr>
      <w:tr>
        <w:tc>
          <w:tcPr>
            <w:tcW w:type="dxa" w:w="4706"/>
          </w:tcPr>
          <w:p>
            <w:r>
              <w:t>Plazo de devolución</w:t>
            </w:r>
          </w:p>
        </w:tc>
        <w:tc>
          <w:tcPr>
            <w:tcW w:type="dxa" w:w="4706"/>
          </w:tcPr>
          <w:p>
            <w:r>
              <w:t>[___] Días Hábiles</w:t>
            </w:r>
          </w:p>
        </w:tc>
      </w:tr>
    </w:tbl>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Identificación oficial vigente (ID) del representante legal / firmante (p. ej., Tarjeta de Identidad de Residente de la República Popular China).</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firmado ante notario del país de origen y apostillado (a cargo del Cliente)</w:t>
            </w:r>
          </w:p>
        </w:tc>
        <w:tc>
          <w:tcPr>
            <w:tcW w:type="dxa" w:w="2353"/>
          </w:tcPr>
          <w:p>
            <w:r>
              <w:rPr>
                <w:sz w:val="20"/>
              </w:rPr>
              <w:t>☐</w:t>
            </w:r>
          </w:p>
        </w:tc>
      </w:tr>
      <w:tr>
        <w:tc>
          <w:tcPr>
            <w:tcW w:type="dxa" w:w="2353"/>
          </w:tcPr>
          <w:p>
            <w:r>
              <w:rPr>
                <w:sz w:val="20"/>
              </w:rPr>
              <w:t>10</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11</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entregarse ya firmados ante notario, apostillados (o legalizados) y, en su caso, con su traducción realizada en el país de origen, a cargo y costo del Cliente. La traducción al español por perito traductor autorizado en México se realiza con o a través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