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Helvetica" w:hAnsi="Helvetica" w:cs="Helvetica"/>
          <w:sz w:val="28"/>
        </w:rPr>
        <w:t xml:space="preserve">Comparaison</w:t>
      </w:r>
    </w:p>
    <w:p>
      <w:r>
        <w:rPr>
          <w:rFonts w:ascii="Helvetica" w:hAnsi="Helvetica" w:cs="Helvetica"/>
          <w:sz w:val="22"/>
        </w:rPr>
        <w:t xml:space="preserve">Le mode lecture permet</w:t>
      </w:r>
    </w:p>
    <w:p>
      <w:r>
        <w:rPr>
          <w:rFonts w:ascii="Helvetica" w:hAnsi="Helvetica" w:cs="Helvetica"/>
          <w:sz w:val="22"/>
        </w:rPr>
        <w:t xml:space="preserve">Le mode écriture verrouille</w:t>
      </w:r>
      <w:r>
        <w:t xml:space="preserve"> </w:t>
      </w:r>
      <w:r>
        <w:rPr>
          <w:rFonts w:ascii="Helvetica" w:hAnsi="Helvetica" w:cs="Helvetica"/>
          <w:sz w:val="22"/>
        </w:rPr>
        <w:t xml:space="preserve">de consulter les données</w:t>
      </w:r>
    </w:p>
    <w:p>
      <w:r>
        <w:rPr>
          <w:rFonts w:ascii="Helvetica" w:hAnsi="Helvetica" w:cs="Helvetica"/>
          <w:sz w:val="22"/>
        </w:rPr>
        <w:t xml:space="preserve">les lignes concernées jusqu'à</w:t>
      </w:r>
      <w:r>
        <w:t xml:space="preserve"> </w:t>
      </w:r>
      <w:r>
        <w:rPr>
          <w:rFonts w:ascii="Helvetica" w:hAnsi="Helvetica" w:cs="Helvetica"/>
          <w:sz w:val="22"/>
        </w:rPr>
        <w:t xml:space="preserve">sans verrouiller les lignes</w:t>
      </w:r>
    </w:p>
    <w:tbl>
      <w:tblPr>
        <w:tblW w:w="482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"/>
        <w:gridCol w:w="241"/>
      </w:tblGrid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utilisées par les autres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la validation ou l'annulation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transactions en cours.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de la transaction, ce qui peut</w:t>
            </w:r>
          </w:p>
        </w:tc>
      </w:tr>
      <w:tr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Il améliore le débit.</w:t>
            </w:r>
          </w:p>
        </w:tc>
        <w:tc>
          <w:tcPr>
            <w:tcW w:w="241" w:type="dxa"/>
            <w:vAlign w:val="top"/>
          </w:tcPr>
          <w:p>
            <w:r>
              <w:rPr>
                <w:rFonts w:ascii="Helvetica" w:hAnsi="Helvetica" w:cs="Helvetica"/>
                <w:sz w:val="22"/>
              </w:rPr>
              <w:t xml:space="preserve">provoquer des attentes.</w:t>
            </w:r>
          </w:p>
        </w:tc>
      </w:tr>
    </w:tbl>
    <w:p>
      <w:r>
        <w:rPr>
          <w:rFonts w:ascii="Helvetica" w:hAnsi="Helvetica" w:cs="Helvetica"/>
          <w:sz w:val="22"/>
        </w:rPr>
        <w:t xml:space="preserve">Les deux modes répondent à des besoins différents.</w:t>
      </w:r>
    </w:p>
    <w:sectPr>
      <w:pgSz w:w="11900" w:h="16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2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i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docconvert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Columns</dc:title>
  <dc:description>make_fixtures.py</dc:description>
</cp:coreProperties>
</file>