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36"/>
        </w:rPr>
        <w:t xml:space="preserve">Rappel de cours</w:t>
      </w:r>
    </w:p>
    <w:p>
      <w:r>
        <w:rPr>
          <w:rFonts w:ascii="Helvetica" w:hAnsi="Helvetica" w:cs="Helvetica"/>
          <w:sz w:val="22"/>
        </w:rPr>
        <w:t xml:space="preserve">Une transaction est une suite d'opérations qui doit vérifier</w:t>
      </w:r>
      <w:r>
        <w:t xml:space="preserve"> </w:t>
      </w:r>
      <w:r>
        <w:rPr>
          <w:rFonts w:ascii="Helvetica" w:hAnsi="Helvetica" w:cs="Helvetica"/>
          <w:sz w:val="22"/>
        </w:rPr>
        <w:t xml:space="preserve">quatre propriétés, dites ACID, pour être considérée valide.</w:t>
      </w:r>
    </w:p>
    <w:p>
      <w:pPr>
        <w:pStyle w:val="Heading2"/>
      </w:pPr>
      <w:r>
        <w:rPr>
          <w:rFonts w:ascii="Helvetica" w:hAnsi="Helvetica" w:cs="Helvetica"/>
          <w:sz w:val="28"/>
        </w:rPr>
        <w:t xml:space="preserve">Atomicité</w:t>
      </w:r>
    </w:p>
    <w:p>
      <w:r>
        <w:rPr>
          <w:rFonts w:ascii="Helvetica" w:hAnsi="Helvetica" w:cs="Helvetica"/>
          <w:sz w:val="22"/>
        </w:rPr>
        <w:t xml:space="preserve">L'atomicité garantit que la transaction s'exécute entièrement</w:t>
      </w:r>
      <w:r>
        <w:t xml:space="preserve"> </w:t>
      </w:r>
      <w:r>
        <w:rPr>
          <w:rFonts w:ascii="Helvetica" w:hAnsi="Helvetica" w:cs="Helvetica"/>
          <w:sz w:val="22"/>
        </w:rPr>
        <w:t xml:space="preserve">ou pas du tout. Aucun état intermédiaire n'est visible.</w:t>
      </w:r>
    </w:p>
    <w:p>
      <w:pPr>
        <w:pStyle w:val="Heading3"/>
      </w:pPr>
      <w:r>
        <w:rPr>
          <w:rFonts w:ascii="Helvetica" w:hAnsi="Helvetica" w:cs="Helvetica"/>
          <w:sz w:val="25"/>
        </w:rPr>
        <w:t xml:space="preserve">Propriétés ACID</w:t>
      </w:r>
    </w:p>
    <w:p>
      <w:r>
        <w:rPr>
          <w:rFonts w:ascii="Helvetica" w:hAnsi="Helvetica" w:cs="Helvetica"/>
          <w:sz w:val="22"/>
        </w:rPr>
        <w:t xml:space="preserve">La cohérence assure le passage d'un état valide à un autre.</w:t>
      </w:r>
      <w:r>
        <w:t xml:space="preserve"> </w:t>
      </w:r>
      <w:r>
        <w:rPr>
          <w:rFonts w:ascii="Helvetica" w:hAnsi="Helvetica" w:cs="Helvetica"/>
          <w:sz w:val="22"/>
        </w:rPr>
        <w:t xml:space="preserve">L'isolation garantit que les transactions concurrentes ne se</w:t>
      </w:r>
      <w:r>
        <w:t xml:space="preserve"> </w:t>
      </w:r>
      <w:r>
        <w:rPr>
          <w:rFonts w:ascii="Helvetica" w:hAnsi="Helvetica" w:cs="Helvetica"/>
          <w:sz w:val="22"/>
        </w:rPr>
        <w:t xml:space="preserve">perturbent pas mutuellement pendant leur exécution.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</dc:title>
  <dc:description>make_fixtures.py</dc:description>
</cp:coreProperties>
</file>