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Helvetica" w:hAnsi="Helvetica" w:cs="Helvetica"/>
          <w:sz w:val="28"/>
        </w:rPr>
        <w:t xml:space="preserve">Propriétés attendues</w:t>
      </w:r>
    </w:p>
    <w:tbl>
      <w:tblPr>
        <w:tblW w:w="482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"/>
        <w:gridCol w:w="241"/>
      </w:tblGrid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Propriété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Définition</w:t>
            </w:r>
          </w:p>
        </w:tc>
      </w:tr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Atomicité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Tout ou rien</w:t>
            </w:r>
          </w:p>
        </w:tc>
      </w:tr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Cohérence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État valide vers état valide</w:t>
            </w:r>
          </w:p>
        </w:tc>
      </w:tr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Isolation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Transactions indépendantes</w:t>
            </w:r>
          </w:p>
        </w:tc>
      </w:tr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Durabilité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Effet persistant après validation</w:t>
            </w:r>
          </w:p>
        </w:tc>
      </w:tr>
    </w:tbl>
    <w:p>
      <w:r>
        <w:rPr>
          <w:rFonts w:ascii="Helvetica" w:hAnsi="Helvetica" w:cs="Helvetica"/>
          <w:sz w:val="22"/>
        </w:rPr>
        <w:t xml:space="preserve">Le tableau ci-dessus résume les quatre propriétés.</w:t>
      </w:r>
    </w:p>
    <w:sectPr>
      <w:pgSz w:w="11900" w:h="16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32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i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docconvert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</dc:title>
  <dc:description>make_fixtures.py</dc:description>
</cp:coreProperties>
</file>