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drawing>
          <wp:inline distT="0" distB="0" distL="0" distR="0">
            <wp:extent cx="2133600" cy="600075"/>
            <wp:effectExtent t="0" r="0" b="0" l="0"/>
            <wp:docPr id="1" name="logo" descr="logo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60"/>
        <w:jc w:val="center"/>
      </w:pPr>
      <w:r>
        <w:rPr>
          <w:rFonts w:ascii="Arial" w:cs="Arial" w:eastAsia="Arial" w:hAnsi="Arial"/>
          <w:b/>
          <w:bCs/>
          <w:color w:val="0A9E0A"/>
          <w:spacing w:val="40"/>
          <w:sz w:val="18"/>
          <w:szCs w:val="18"/>
        </w:rPr>
        <w:t xml:space="preserve">USER MANUAL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2880" w:sz="2"/>
              <w:left w:val="single" w:color="002880" w:sz="2"/>
              <w:bottom w:val="single" w:color="002880" w:sz="2"/>
              <w:right w:val="single" w:color="002880" w:sz="2"/>
            </w:tcBorders>
            <w:shd w:fill="002880" w:val="clear"/>
            <w:tcMar>
              <w:top w:type="dxa" w:w="460"/>
              <w:left w:type="dxa" w:w="380"/>
              <w:bottom w:type="dxa" w:w="460"/>
              <w:right w:type="dxa" w:w="38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50"/>
                <w:szCs w:val="50"/>
              </w:rPr>
              <w:t xml:space="preserve">PALLET MERGE ENHANCEMENT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FFFFFF"/>
                <w:sz w:val="30"/>
                <w:szCs w:val="30"/>
              </w:rPr>
              <w:t xml:space="preserve">User Manual</w:t>
            </w:r>
          </w:p>
          <w:p>
            <w:r>
              <w:rPr>
                <w:rFonts w:ascii="Arial" w:cs="Arial" w:eastAsia="Arial" w:hAnsi="Arial"/>
                <w:color w:val="C7D0EE"/>
                <w:spacing w:val="20"/>
                <w:sz w:val="18"/>
                <w:szCs w:val="18"/>
              </w:rPr>
              <w:t xml:space="preserve">Inventory Supervisor &amp; Documentation Staff Guide</w:t>
            </w:r>
          </w:p>
        </w:tc>
      </w:tr>
    </w:tbl>
    <w:p>
      <w:pPr>
        <w:spacing w:after="520"/>
      </w:pPr>
      <w:r>
        <w:rPr>
          <w:rFonts w:ascii="Arial" w:cs="Arial" w:eastAsia="Arial" w:hAnsi="Arial"/>
        </w:rP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5A5A5A"/>
          <w:spacing w:val="60"/>
          <w:sz w:val="17"/>
          <w:szCs w:val="17"/>
        </w:rPr>
        <w:t xml:space="preserve">PREPARED FOR</w:t>
      </w:r>
    </w:p>
    <w:p>
      <w:pPr>
        <w:spacing w:after="80"/>
        <w:jc w:val="center"/>
      </w:pPr>
      <w:r>
        <w:drawing>
          <wp:inline distT="0" distB="0" distL="0" distR="0">
            <wp:extent cx="2209800" cy="1028700"/>
            <wp:effectExtent t="0" r="0" b="0" l="0"/>
            <wp:docPr id="1" name="logo" descr="logo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560"/>
        <w:jc w:val="center"/>
      </w:pPr>
      <w:r>
        <w:rPr>
          <w:rFonts w:ascii="Arial" w:cs="Arial" w:eastAsia="Arial" w:hAnsi="Arial"/>
          <w:b/>
          <w:bCs/>
          <w:color w:val="002880"/>
          <w:sz w:val="24"/>
          <w:szCs w:val="24"/>
        </w:rPr>
        <w:t xml:space="preserve">Vifel Ice Plant &amp; Cold Storage, Inc.</w:t>
      </w:r>
    </w:p>
    <w:p>
      <w:pPr>
        <w:pBdr>
          <w:top w:val="single" w:color="002880" w:sz="10" w:space="12"/>
        </w:pBdr>
        <w:spacing w:after="30" w:before="80"/>
        <w:jc w:val="center"/>
      </w:pPr>
      <w:r>
        <w:rPr>
          <w:rFonts w:ascii="Arial" w:cs="Arial" w:eastAsia="Arial" w:hAnsi="Arial"/>
          <w:b/>
          <w:bCs/>
          <w:color w:val="002880"/>
          <w:sz w:val="20"/>
          <w:szCs w:val="20"/>
        </w:rPr>
        <w:t xml:space="preserve">05 August 2026</w:t>
      </w:r>
    </w:p>
    <w:p>
      <w:pPr>
        <w:spacing w:after="120"/>
      </w:pPr>
      <w:r>
        <w:rPr>
          <w:rFonts w:ascii="Arial" w:cs="Arial" w:eastAsia="Arial" w:hAnsi="Arial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5A5A5A"/>
          <w:sz w:val="18"/>
          <w:szCs w:val="18"/>
        </w:rPr>
        <w:t xml:space="preserve">Prepared by </w:t>
      </w:r>
      <w:r>
        <w:rPr>
          <w:rFonts w:ascii="Arial" w:cs="Arial" w:eastAsia="Arial" w:hAnsi="Arial"/>
          <w:b/>
          <w:bCs/>
          <w:color w:val="1E1E1E"/>
          <w:sz w:val="18"/>
          <w:szCs w:val="18"/>
        </w:rPr>
        <w:t xml:space="preserve">Elyon Solutions International Inc.</w:t>
      </w:r>
    </w:p>
    <w:p>
      <w:pPr>
        <w:sectPr>
          <w:pgSz w:w="12240" w:h="15840" w:orient="portrait"/>
          <w:pgMar w:top="1080" w:right="1440" w:bottom="1080" w:left="1440" w:header="708" w:footer="708" w:gutter="0"/>
          <w:pgNumType/>
          <w:docGrid w:linePitch="360"/>
        </w:sectPr>
      </w:pPr>
    </w:p>
    <w:p>
      <w:pPr>
        <w:pBdr>
          <w:bottom w:val="single" w:color="002880" w:sz="10" w:space="6"/>
        </w:pBdr>
        <w:spacing w:after="200" w:before="60"/>
      </w:pPr>
      <w:r>
        <w:rPr>
          <w:rFonts w:ascii="Arial" w:cs="Arial" w:eastAsia="Arial" w:hAnsi="Arial"/>
          <w:b/>
          <w:bCs/>
          <w:color w:val="002880"/>
          <w:sz w:val="30"/>
          <w:szCs w:val="30"/>
        </w:rPr>
        <w:t xml:space="preserve">Contents</w:t>
      </w:r>
    </w:p>
    <w:p>
      <w:pPr>
        <w:tabs>
          <w:tab w:val="left" w:pos="720"/>
        </w:tabs>
        <w:spacing w:after="70" w:line="276"/>
      </w:pPr>
      <w:r>
        <w:rPr>
          <w:rFonts w:ascii="Arial" w:cs="Arial" w:eastAsia="Arial" w:hAnsi="Arial"/>
          <w:b/>
          <w:bCs/>
          <w:color w:val="002880"/>
          <w:sz w:val="22"/>
          <w:szCs w:val="22"/>
        </w:rPr>
        <w:t xml:space="preserve"/>
      </w:r>
      <w:r>
        <w:rPr>
          <w:rFonts w:ascii="Arial" w:cs="Arial" w:eastAsia="Arial" w:hAnsi="Arial"/>
          <w:color w:val="1E1E1E"/>
          <w:sz w:val="22"/>
          <w:szCs w:val="22"/>
        </w:rPr>
        <w:t xml:space="preserve">	How to use this manual</w:t>
      </w:r>
    </w:p>
    <w:p>
      <w:pPr>
        <w:tabs>
          <w:tab w:val="left" w:pos="720"/>
        </w:tabs>
        <w:spacing w:after="70" w:line="276"/>
      </w:pPr>
      <w:r>
        <w:rPr>
          <w:rFonts w:ascii="Arial" w:cs="Arial" w:eastAsia="Arial" w:hAnsi="Arial"/>
          <w:b/>
          <w:bCs/>
          <w:color w:val="002880"/>
          <w:sz w:val="22"/>
          <w:szCs w:val="22"/>
        </w:rPr>
        <w:t xml:space="preserve">2</w:t>
      </w:r>
      <w:r>
        <w:rPr>
          <w:rFonts w:ascii="Arial" w:cs="Arial" w:eastAsia="Arial" w:hAnsi="Arial"/>
          <w:color w:val="1E1E1E"/>
          <w:sz w:val="22"/>
          <w:szCs w:val="22"/>
        </w:rPr>
        <w:t xml:space="preserve">	Client Configuration</w:t>
      </w:r>
    </w:p>
    <w:p>
      <w:pPr>
        <w:tabs>
          <w:tab w:val="left" w:pos="1320"/>
        </w:tabs>
        <w:spacing w:after="46" w:line="264"/>
        <w:ind w:left="72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2.1</w:t>
      </w:r>
      <w:r>
        <w:rPr>
          <w:rFonts w:ascii="Arial" w:cs="Arial" w:eastAsia="Arial" w:hAnsi="Arial"/>
          <w:color w:val="5A5A5A"/>
          <w:sz w:val="20"/>
          <w:szCs w:val="20"/>
        </w:rPr>
        <w:t xml:space="preserve">	Open the client</w:t>
      </w:r>
    </w:p>
    <w:p>
      <w:pPr>
        <w:tabs>
          <w:tab w:val="left" w:pos="1320"/>
        </w:tabs>
        <w:spacing w:after="46" w:line="264"/>
        <w:ind w:left="72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2.2</w:t>
      </w:r>
      <w:r>
        <w:rPr>
          <w:rFonts w:ascii="Arial" w:cs="Arial" w:eastAsia="Arial" w:hAnsi="Arial"/>
          <w:color w:val="5A5A5A"/>
          <w:sz w:val="20"/>
          <w:szCs w:val="20"/>
        </w:rPr>
        <w:t xml:space="preserve">	Open the VIFEL Configuration tab</w:t>
      </w:r>
    </w:p>
    <w:p>
      <w:pPr>
        <w:tabs>
          <w:tab w:val="left" w:pos="1320"/>
        </w:tabs>
        <w:spacing w:after="46" w:line="264"/>
        <w:ind w:left="72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2.3</w:t>
      </w:r>
      <w:r>
        <w:rPr>
          <w:rFonts w:ascii="Arial" w:cs="Arial" w:eastAsia="Arial" w:hAnsi="Arial"/>
          <w:color w:val="5A5A5A"/>
          <w:sz w:val="20"/>
          <w:szCs w:val="20"/>
        </w:rPr>
        <w:t xml:space="preserve">	Turn on merging</w:t>
      </w:r>
    </w:p>
    <w:p>
      <w:pPr>
        <w:tabs>
          <w:tab w:val="left" w:pos="1320"/>
        </w:tabs>
        <w:spacing w:after="46" w:line="264"/>
        <w:ind w:left="72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2.4</w:t>
      </w:r>
      <w:r>
        <w:rPr>
          <w:rFonts w:ascii="Arial" w:cs="Arial" w:eastAsia="Arial" w:hAnsi="Arial"/>
          <w:color w:val="5A5A5A"/>
          <w:sz w:val="20"/>
          <w:szCs w:val="20"/>
        </w:rPr>
        <w:t xml:space="preserve">	Choose how the client merges</w:t>
      </w:r>
    </w:p>
    <w:p>
      <w:pPr>
        <w:tabs>
          <w:tab w:val="left" w:pos="1320"/>
        </w:tabs>
        <w:spacing w:after="46" w:line="264"/>
        <w:ind w:left="72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2.5</w:t>
      </w:r>
      <w:r>
        <w:rPr>
          <w:rFonts w:ascii="Arial" w:cs="Arial" w:eastAsia="Arial" w:hAnsi="Arial"/>
          <w:color w:val="5A5A5A"/>
          <w:sz w:val="20"/>
          <w:szCs w:val="20"/>
        </w:rPr>
        <w:t xml:space="preserve">	Document options (Lot No. / Batch # / Prodcode)</w:t>
      </w:r>
    </w:p>
    <w:p>
      <w:pPr>
        <w:tabs>
          <w:tab w:val="left" w:pos="1320"/>
        </w:tabs>
        <w:spacing w:after="46" w:line="264"/>
        <w:ind w:left="72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2.6</w:t>
      </w:r>
      <w:r>
        <w:rPr>
          <w:rFonts w:ascii="Arial" w:cs="Arial" w:eastAsia="Arial" w:hAnsi="Arial"/>
          <w:color w:val="5A5A5A"/>
          <w:sz w:val="20"/>
          <w:szCs w:val="20"/>
        </w:rPr>
        <w:t xml:space="preserve">	Save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tabs>
          <w:tab w:val="left" w:pos="720"/>
        </w:tabs>
        <w:spacing w:after="70" w:line="276"/>
      </w:pPr>
      <w:r>
        <w:rPr>
          <w:rFonts w:ascii="Arial" w:cs="Arial" w:eastAsia="Arial" w:hAnsi="Arial"/>
          <w:b/>
          <w:bCs/>
          <w:color w:val="002880"/>
          <w:sz w:val="22"/>
          <w:szCs w:val="22"/>
        </w:rPr>
        <w:t xml:space="preserve">3</w:t>
      </w:r>
      <w:r>
        <w:rPr>
          <w:rFonts w:ascii="Arial" w:cs="Arial" w:eastAsia="Arial" w:hAnsi="Arial"/>
          <w:color w:val="1E1E1E"/>
          <w:sz w:val="22"/>
          <w:szCs w:val="22"/>
        </w:rPr>
        <w:t xml:space="preserve">	Encoding Lot No. &amp; Batch # (→ Prodcode)</w:t>
      </w:r>
    </w:p>
    <w:p>
      <w:pPr>
        <w:tabs>
          <w:tab w:val="left" w:pos="1320"/>
        </w:tabs>
        <w:spacing w:after="46" w:line="264"/>
        <w:ind w:left="72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3.1</w:t>
      </w:r>
      <w:r>
        <w:rPr>
          <w:rFonts w:ascii="Arial" w:cs="Arial" w:eastAsia="Arial" w:hAnsi="Arial"/>
          <w:color w:val="5A5A5A"/>
          <w:sz w:val="20"/>
          <w:szCs w:val="20"/>
        </w:rPr>
        <w:t xml:space="preserve">	Before you start</w:t>
      </w:r>
    </w:p>
    <w:p>
      <w:pPr>
        <w:tabs>
          <w:tab w:val="left" w:pos="1320"/>
        </w:tabs>
        <w:spacing w:after="46" w:line="264"/>
        <w:ind w:left="72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3.2</w:t>
      </w:r>
      <w:r>
        <w:rPr>
          <w:rFonts w:ascii="Arial" w:cs="Arial" w:eastAsia="Arial" w:hAnsi="Arial"/>
          <w:color w:val="5A5A5A"/>
          <w:sz w:val="20"/>
          <w:szCs w:val="20"/>
        </w:rPr>
        <w:t xml:space="preserve">	Open a new Receiving Report</w:t>
      </w:r>
    </w:p>
    <w:p>
      <w:pPr>
        <w:tabs>
          <w:tab w:val="left" w:pos="1320"/>
        </w:tabs>
        <w:spacing w:after="46" w:line="264"/>
        <w:ind w:left="72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3.3</w:t>
      </w:r>
      <w:r>
        <w:rPr>
          <w:rFonts w:ascii="Arial" w:cs="Arial" w:eastAsia="Arial" w:hAnsi="Arial"/>
          <w:color w:val="5A5A5A"/>
          <w:sz w:val="20"/>
          <w:szCs w:val="20"/>
        </w:rPr>
        <w:t xml:space="preserve">	Enter Lot No. &amp; Batch #</w:t>
      </w:r>
    </w:p>
    <w:p>
      <w:pPr>
        <w:tabs>
          <w:tab w:val="left" w:pos="1320"/>
        </w:tabs>
        <w:spacing w:after="46" w:line="264"/>
        <w:ind w:left="72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3.4</w:t>
      </w:r>
      <w:r>
        <w:rPr>
          <w:rFonts w:ascii="Arial" w:cs="Arial" w:eastAsia="Arial" w:hAnsi="Arial"/>
          <w:color w:val="5A5A5A"/>
          <w:sz w:val="20"/>
          <w:szCs w:val="20"/>
        </w:rPr>
        <w:t xml:space="preserve">	Validate - the Prodcode is generated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tabs>
          <w:tab w:val="left" w:pos="720"/>
        </w:tabs>
        <w:spacing w:after="70" w:line="276"/>
      </w:pPr>
      <w:r>
        <w:rPr>
          <w:rFonts w:ascii="Arial" w:cs="Arial" w:eastAsia="Arial" w:hAnsi="Arial"/>
          <w:b/>
          <w:bCs/>
          <w:color w:val="002880"/>
          <w:sz w:val="22"/>
          <w:szCs w:val="22"/>
        </w:rPr>
        <w:t xml:space="preserve">4</w:t>
      </w:r>
      <w:r>
        <w:rPr>
          <w:rFonts w:ascii="Arial" w:cs="Arial" w:eastAsia="Arial" w:hAnsi="Arial"/>
          <w:color w:val="1E1E1E"/>
          <w:sz w:val="22"/>
          <w:szCs w:val="22"/>
        </w:rPr>
        <w:t xml:space="preserve">	Receiving &amp; Merge</w:t>
      </w:r>
    </w:p>
    <w:p>
      <w:pPr>
        <w:tabs>
          <w:tab w:val="left" w:pos="1320"/>
        </w:tabs>
        <w:spacing w:after="46" w:line="264"/>
        <w:ind w:left="72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4.1</w:t>
      </w:r>
      <w:r>
        <w:rPr>
          <w:rFonts w:ascii="Arial" w:cs="Arial" w:eastAsia="Arial" w:hAnsi="Arial"/>
          <w:color w:val="5A5A5A"/>
          <w:sz w:val="20"/>
          <w:szCs w:val="20"/>
        </w:rPr>
        <w:t xml:space="preserve">	Start a merge</w:t>
      </w:r>
    </w:p>
    <w:p>
      <w:pPr>
        <w:tabs>
          <w:tab w:val="left" w:pos="1320"/>
        </w:tabs>
        <w:spacing w:after="46" w:line="264"/>
        <w:ind w:left="72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4.2</w:t>
      </w:r>
      <w:r>
        <w:rPr>
          <w:rFonts w:ascii="Arial" w:cs="Arial" w:eastAsia="Arial" w:hAnsi="Arial"/>
          <w:color w:val="5A5A5A"/>
          <w:sz w:val="20"/>
          <w:szCs w:val="20"/>
        </w:rPr>
        <w:t xml:space="preserve">	Merge Type 1 - Fixed Merge Pallet</w:t>
      </w:r>
    </w:p>
    <w:p>
      <w:pPr>
        <w:tabs>
          <w:tab w:val="left" w:pos="1320"/>
        </w:tabs>
        <w:spacing w:after="46" w:line="264"/>
        <w:ind w:left="72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4.3</w:t>
      </w:r>
      <w:r>
        <w:rPr>
          <w:rFonts w:ascii="Arial" w:cs="Arial" w:eastAsia="Arial" w:hAnsi="Arial"/>
          <w:color w:val="5A5A5A"/>
          <w:sz w:val="20"/>
          <w:szCs w:val="20"/>
        </w:rPr>
        <w:t xml:space="preserve">	Merge Type 2 - Multiple Special Pallets</w:t>
      </w:r>
    </w:p>
    <w:p>
      <w:pPr>
        <w:tabs>
          <w:tab w:val="left" w:pos="1320"/>
        </w:tabs>
        <w:spacing w:after="46" w:line="264"/>
        <w:ind w:left="72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4.4</w:t>
      </w:r>
      <w:r>
        <w:rPr>
          <w:rFonts w:ascii="Arial" w:cs="Arial" w:eastAsia="Arial" w:hAnsi="Arial"/>
          <w:color w:val="5A5A5A"/>
          <w:sz w:val="20"/>
          <w:szCs w:val="20"/>
        </w:rPr>
        <w:t xml:space="preserve">	Un-merge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tabs>
          <w:tab w:val="left" w:pos="720"/>
        </w:tabs>
        <w:spacing w:after="70" w:line="276"/>
      </w:pPr>
      <w:r>
        <w:rPr>
          <w:rFonts w:ascii="Arial" w:cs="Arial" w:eastAsia="Arial" w:hAnsi="Arial"/>
          <w:b/>
          <w:bCs/>
          <w:color w:val="002880"/>
          <w:sz w:val="22"/>
          <w:szCs w:val="22"/>
        </w:rPr>
        <w:t xml:space="preserve">5</w:t>
      </w:r>
      <w:r>
        <w:rPr>
          <w:rFonts w:ascii="Arial" w:cs="Arial" w:eastAsia="Arial" w:hAnsi="Arial"/>
          <w:color w:val="1E1E1E"/>
          <w:sz w:val="22"/>
          <w:szCs w:val="22"/>
        </w:rPr>
        <w:t xml:space="preserve">	Withdrawal &amp; Pallet Counting</w:t>
      </w:r>
    </w:p>
    <w:p>
      <w:pPr>
        <w:tabs>
          <w:tab w:val="left" w:pos="1320"/>
        </w:tabs>
        <w:spacing w:after="46" w:line="264"/>
        <w:ind w:left="72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5.1</w:t>
      </w:r>
      <w:r>
        <w:rPr>
          <w:rFonts w:ascii="Arial" w:cs="Arial" w:eastAsia="Arial" w:hAnsi="Arial"/>
          <w:color w:val="5A5A5A"/>
          <w:sz w:val="20"/>
          <w:szCs w:val="20"/>
        </w:rPr>
        <w:t xml:space="preserve">	How pallets are counted</w:t>
      </w:r>
    </w:p>
    <w:p>
      <w:pPr>
        <w:tabs>
          <w:tab w:val="left" w:pos="1320"/>
        </w:tabs>
        <w:spacing w:after="46" w:line="264"/>
        <w:ind w:left="720"/>
      </w:pPr>
      <w:r>
        <w:rPr>
          <w:rFonts w:ascii="Arial" w:cs="Arial" w:eastAsia="Arial" w:hAnsi="Arial"/>
          <w:color w:val="5A5A5A"/>
          <w:sz w:val="20"/>
          <w:szCs w:val="20"/>
        </w:rPr>
        <w:t xml:space="preserve">5.2</w:t>
      </w:r>
      <w:r>
        <w:rPr>
          <w:rFonts w:ascii="Arial" w:cs="Arial" w:eastAsia="Arial" w:hAnsi="Arial"/>
          <w:color w:val="5A5A5A"/>
          <w:sz w:val="20"/>
          <w:szCs w:val="20"/>
        </w:rPr>
        <w:t xml:space="preserve">	Lot No., Batch # &amp; Prodcode on the withdrawal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How to use this manual</w:t>
      </w:r>
    </w:p>
    <w:p>
      <w:pPr>
        <w:spacing w:after="120" w:line="268"/>
      </w:pPr>
      <w:r>
        <w:rPr>
          <w:rFonts w:ascii="Arial" w:cs="Arial" w:eastAsia="Arial" w:hAnsi="Arial"/>
          <w:color w:val="1E1E1E"/>
          <w:sz w:val="21"/>
          <w:szCs w:val="21"/>
        </w:rPr>
        <w:t xml:space="preserve">This manual walks you through the Merge Pallet feature one screen at a time. It is written for the Inventory Supervisor and Documentation Staff - each task is broken into short, numbered steps with a matching screenshot, so you can follow along directly on your own screen.</w:t>
      </w:r>
    </w:p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2880" w:sz="14"/>
              <w:left w:val="single" w:color="C9CFE4" w:sz="1"/>
              <w:bottom w:val="single" w:color="C9CFE4" w:sz="1"/>
              <w:right w:val="single" w:color="C9CFE4" w:sz="1"/>
            </w:tcBorders>
            <w:shd w:fill="EEF1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aps/>
                <w:color w:val="002880"/>
                <w:sz w:val="20"/>
                <w:szCs w:val="20"/>
              </w:rPr>
              <w:t xml:space="preserve">Reading the screenshots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 red box shows exactly where to look or click on the screen.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A blue numbered circle matches the numbered Step in the text beside 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Screens are cropped to the part that matters - your screen shows more around 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Labels in bold (e.g. Can Merge Pallets) are the exact words you will see in the system.</w:t>
            </w:r>
          </w:p>
        </w:tc>
      </w:tr>
    </w:tbl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2880" w:sz="14"/>
              <w:left w:val="single" w:color="C9CFE4" w:sz="1"/>
              <w:bottom w:val="single" w:color="C9CFE4" w:sz="1"/>
              <w:right w:val="single" w:color="C9CFE4" w:sz="1"/>
            </w:tcBorders>
            <w:shd w:fill="EEF1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aps/>
                <w:color w:val="002880"/>
                <w:sz w:val="20"/>
                <w:szCs w:val="20"/>
              </w:rPr>
              <w:t xml:space="preserve">Who does what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Client configuration (Chapter 2) is set up by the Inventory Supervisor.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Encoding receipts (RR) and withdrawals (WR) is done by Documentation Staff.</w:t>
            </w:r>
          </w:p>
        </w:tc>
      </w:tr>
    </w:tbl>
    <w:p>
      <w:pPr>
        <w:spacing w:after="60"/>
      </w:pPr>
      <w:r>
        <w:rPr>
          <w:rFonts w:ascii="Arial" w:cs="Arial" w:eastAsia="Arial" w:hAnsi="Arial"/>
        </w:rPr>
        <w:t xml:space="preserve"/>
      </w:r>
    </w:p>
    <w:p>
      <w:pPr>
        <w:spacing w:after="120" w:line="268"/>
      </w:pPr>
      <w:r>
        <w:rPr>
          <w:rFonts w:ascii="Arial" w:cs="Arial" w:eastAsia="Arial" w:hAnsi="Arial"/>
          <w:color w:val="1E1E1E"/>
          <w:sz w:val="21"/>
          <w:szCs w:val="21"/>
        </w:rPr>
        <w:t xml:space="preserve">Chapter 2 below - Client Configuration - is the one-time setup that turns merging on for a client. The chapters that follow cover encoding Lot No. &amp; Batch #, merging during receiving, withdrawal, and reporting.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Chapter 2 · Client Configuration</w:t>
      </w:r>
    </w:p>
    <w:p>
      <w:pPr>
        <w:spacing w:after="120" w:line="268"/>
      </w:pPr>
      <w:r>
        <w:rPr>
          <w:rFonts w:ascii="Arial" w:cs="Arial" w:eastAsia="Arial" w:hAnsi="Arial"/>
          <w:color w:val="1E1E1E"/>
          <w:sz w:val="21"/>
          <w:szCs w:val="21"/>
        </w:rPr>
        <w:t xml:space="preserve">Merging is set up per client. Nothing changes for a client until it is switched on here - so this is where every merge client begins. It is done once, and only revisited if the client's setup changes.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2880" w:sz="14"/>
              <w:left w:val="single" w:color="C9CFE4" w:sz="1"/>
              <w:bottom w:val="single" w:color="C9CFE4" w:sz="1"/>
              <w:right w:val="single" w:color="C9CFE4" w:sz="1"/>
            </w:tcBorders>
            <w:shd w:fill="EEF1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aps/>
                <w:color w:val="002880"/>
                <w:sz w:val="20"/>
                <w:szCs w:val="20"/>
              </w:rPr>
              <w:t xml:space="preserve">Who does this · before you start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Responsible role: the Inventory Supervisor sets up client configuration. Documentation Staff who need a client configured should ask the Inventory Supervisor.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It is done once per client (and again only if the client's setup changes).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Have the client's merge details ready: whether they use one fixed pallet or several special pallet types, and whether they track Lot No. / Batch #.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2.1  Open the client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002880"/>
          <w:sz w:val="22"/>
          <w:szCs w:val="22"/>
        </w:rPr>
        <w:t xml:space="preserve">Step 1  </w:t>
      </w:r>
      <w:r>
        <w:rPr>
          <w:rFonts w:ascii="Arial" w:cs="Arial" w:eastAsia="Arial" w:hAnsi="Arial"/>
          <w:b/>
          <w:bCs/>
          <w:color w:val="001B57"/>
          <w:sz w:val="22"/>
          <w:szCs w:val="22"/>
        </w:rPr>
        <w:t xml:space="preserve">· Open Contacts</w:t>
      </w:r>
    </w:p>
    <w:p>
      <w:pPr>
        <w:spacing w:after="120" w:line="268"/>
      </w:pPr>
      <w:r>
        <w:rPr>
          <w:rFonts w:ascii="Arial" w:cs="Arial" w:eastAsia="Arial" w:hAnsi="Arial"/>
          <w:color w:val="1E1E1E"/>
          <w:sz w:val="21"/>
          <w:szCs w:val="21"/>
        </w:rPr>
        <w:t xml:space="preserve">From the Odoo home screen, click Contacts.</w:t>
      </w:r>
    </w:p>
    <w:p>
      <w:pPr>
        <w:spacing w:after="40" w:before="40"/>
        <w:jc w:val="center"/>
      </w:pPr>
      <w:r>
        <w:drawing>
          <wp:inline distT="0" distB="0" distL="0" distR="0">
            <wp:extent cx="5676900" cy="1895475"/>
            <wp:effectExtent t="0" r="0" b="0" l="0"/>
            <wp:docPr id="1" name="02-01a_open_contacts.png" descr="02-01a_open_contacts.png" title="02-01a_open_contac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Figure 2.1 - The Contacts app on the Odoo home screen.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002880"/>
          <w:sz w:val="22"/>
          <w:szCs w:val="22"/>
        </w:rPr>
        <w:t xml:space="preserve">Step 2  </w:t>
      </w:r>
      <w:r>
        <w:rPr>
          <w:rFonts w:ascii="Arial" w:cs="Arial" w:eastAsia="Arial" w:hAnsi="Arial"/>
          <w:b/>
          <w:bCs/>
          <w:color w:val="001B57"/>
          <w:sz w:val="22"/>
          <w:szCs w:val="22"/>
        </w:rPr>
        <w:t xml:space="preserve">· Open the client you want to set up</w:t>
      </w:r>
    </w:p>
    <w:p>
      <w:pPr>
        <w:spacing w:after="120" w:line="268"/>
      </w:pPr>
      <w:r>
        <w:rPr>
          <w:rFonts w:ascii="Arial" w:cs="Arial" w:eastAsia="Arial" w:hAnsi="Arial"/>
          <w:color w:val="1E1E1E"/>
          <w:sz w:val="21"/>
          <w:szCs w:val="21"/>
        </w:rPr>
        <w:t xml:space="preserve">Search for the client by name, then click their card to open it.</w:t>
      </w:r>
    </w:p>
    <w:p>
      <w:pPr>
        <w:spacing w:after="40" w:before="40"/>
        <w:jc w:val="center"/>
      </w:pPr>
      <w:r>
        <w:drawing>
          <wp:inline distT="0" distB="0" distL="0" distR="0">
            <wp:extent cx="5676900" cy="1181100"/>
            <wp:effectExtent t="0" r="0" b="0" l="0"/>
            <wp:docPr id="1" name="02-01b_pick_client.png" descr="02-01b_pick_client.png" title="02-01b_pick_cli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Figure 2.2 - Search for the client in the Contacts list.</w:t>
      </w:r>
    </w:p>
    <w:p>
      <w:pPr>
        <w:pStyle w:val="Heading2"/>
      </w:pPr>
      <w:r>
        <w:rPr>
          <w:rFonts w:ascii="Arial" w:cs="Arial" w:eastAsia="Arial" w:hAnsi="Arial"/>
        </w:rPr>
        <w:t xml:space="preserve">2.2  Open the VIFEL Configuration tab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002880"/>
          <w:sz w:val="22"/>
          <w:szCs w:val="22"/>
        </w:rPr>
        <w:t xml:space="preserve">Step 3  </w:t>
      </w:r>
      <w:r>
        <w:rPr>
          <w:rFonts w:ascii="Arial" w:cs="Arial" w:eastAsia="Arial" w:hAnsi="Arial"/>
          <w:b/>
          <w:bCs/>
          <w:color w:val="001B57"/>
          <w:sz w:val="22"/>
          <w:szCs w:val="22"/>
        </w:rPr>
        <w:t xml:space="preserve">· Go to VIFEL Configuration</w:t>
      </w:r>
    </w:p>
    <w:p>
      <w:pPr>
        <w:spacing w:after="120" w:line="268"/>
      </w:pPr>
      <w:r>
        <w:rPr>
          <w:rFonts w:ascii="Arial" w:cs="Arial" w:eastAsia="Arial" w:hAnsi="Arial"/>
          <w:color w:val="1E1E1E"/>
          <w:sz w:val="21"/>
          <w:szCs w:val="21"/>
        </w:rPr>
        <w:t xml:space="preserve">On the client form, scroll down to the row of tabs and click VIFEL Configuration. All merge settings live on this tab.</w:t>
      </w:r>
    </w:p>
    <w:p>
      <w:pPr>
        <w:spacing w:after="40" w:before="40"/>
        <w:jc w:val="center"/>
      </w:pPr>
      <w:r>
        <w:drawing>
          <wp:inline distT="0" distB="0" distL="0" distR="0">
            <wp:extent cx="5676900" cy="1447800"/>
            <wp:effectExtent t="0" r="0" b="0" l="0"/>
            <wp:docPr id="1" name="02-02_config_tab.png" descr="02-02_config_tab.png" title="02-02_config_ta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Figure 2.3 - The VIFEL Configuration tab on the client form.</w:t>
      </w:r>
    </w:p>
    <w:p>
      <w:pPr>
        <w:pStyle w:val="Heading2"/>
      </w:pPr>
      <w:r>
        <w:rPr>
          <w:rFonts w:ascii="Arial" w:cs="Arial" w:eastAsia="Arial" w:hAnsi="Arial"/>
        </w:rPr>
        <w:t xml:space="preserve">2.3  Turn on merging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002880"/>
          <w:sz w:val="22"/>
          <w:szCs w:val="22"/>
        </w:rPr>
        <w:t xml:space="preserve">Step 4  </w:t>
      </w:r>
      <w:r>
        <w:rPr>
          <w:rFonts w:ascii="Arial" w:cs="Arial" w:eastAsia="Arial" w:hAnsi="Arial"/>
          <w:b/>
          <w:bCs/>
          <w:color w:val="001B57"/>
          <w:sz w:val="22"/>
          <w:szCs w:val="22"/>
        </w:rPr>
        <w:t xml:space="preserve">· Tick Can Merge Pallets</w:t>
      </w:r>
    </w:p>
    <w:p>
      <w:pPr>
        <w:spacing w:after="120" w:line="268"/>
      </w:pPr>
      <w:r>
        <w:rPr>
          <w:rFonts w:ascii="Arial" w:cs="Arial" w:eastAsia="Arial" w:hAnsi="Arial"/>
          <w:color w:val="1E1E1E"/>
          <w:sz w:val="21"/>
          <w:szCs w:val="21"/>
        </w:rPr>
        <w:t xml:space="preserve">Under PALLET MERGING, tick Can Merge Pallets. A new section, HOW THIS CLIENT MERGES, appears below - that is where you choose the merge style.</w:t>
      </w:r>
    </w:p>
    <w:p>
      <w:pPr>
        <w:spacing w:after="40" w:before="40"/>
        <w:jc w:val="center"/>
      </w:pPr>
      <w:r>
        <w:drawing>
          <wp:inline distT="0" distB="0" distL="0" distR="0">
            <wp:extent cx="5676900" cy="2143125"/>
            <wp:effectExtent t="0" r="0" b="0" l="0"/>
            <wp:docPr id="1" name="02-03_can_merge.png" descr="02-03_can_merge.png" title="02-03_can_mer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Figure 2.4 - Turning on Can Merge Pallets reveals the merge options.</w:t>
      </w:r>
    </w:p>
    <w:p>
      <w:pPr>
        <w:pStyle w:val="Heading2"/>
      </w:pPr>
      <w:r>
        <w:rPr>
          <w:rFonts w:ascii="Arial" w:cs="Arial" w:eastAsia="Arial" w:hAnsi="Arial"/>
        </w:rPr>
        <w:t xml:space="preserve">2.4  Choose how the client merges</w:t>
      </w:r>
    </w:p>
    <w:p>
      <w:pPr>
        <w:spacing w:after="120" w:line="268"/>
      </w:pPr>
      <w:r>
        <w:rPr>
          <w:rFonts w:ascii="Arial" w:cs="Arial" w:eastAsia="Arial" w:hAnsi="Arial"/>
          <w:color w:val="1E1E1E"/>
          <w:sz w:val="21"/>
          <w:szCs w:val="21"/>
        </w:rPr>
        <w:t xml:space="preserve">There are two merge styles. The Multiple Pallet Support switch decides which one this client uses - follow Option A or Option B, not both.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2880"/>
          <w:sz w:val="22"/>
          <w:szCs w:val="22"/>
        </w:rPr>
        <w:t xml:space="preserve">Option A - Fixed Merge Pallet  (switch OFF)</w:t>
      </w:r>
    </w:p>
    <w:p>
      <w:pPr>
        <w:spacing w:after="120" w:line="268"/>
      </w:pPr>
      <w:r>
        <w:rPr>
          <w:rFonts w:ascii="Arial" w:cs="Arial" w:eastAsia="Arial" w:hAnsi="Arial"/>
          <w:color w:val="1E1E1E"/>
          <w:sz w:val="21"/>
          <w:szCs w:val="21"/>
        </w:rPr>
        <w:t xml:space="preserve">Leave Multiple Pallet Support unticked. Every merge for this client goes onto one dedicated pallet.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002880"/>
          <w:sz w:val="22"/>
          <w:szCs w:val="22"/>
        </w:rPr>
        <w:t xml:space="preserve">Step 5  </w:t>
      </w:r>
      <w:r>
        <w:rPr>
          <w:rFonts w:ascii="Arial" w:cs="Arial" w:eastAsia="Arial" w:hAnsi="Arial"/>
          <w:b/>
          <w:bCs/>
          <w:color w:val="001B57"/>
          <w:sz w:val="22"/>
          <w:szCs w:val="22"/>
        </w:rPr>
        <w:t xml:space="preserve">· Leave Multiple Pallet Support OFF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002880"/>
          <w:sz w:val="22"/>
          <w:szCs w:val="22"/>
        </w:rPr>
        <w:t xml:space="preserve">Step 6  </w:t>
      </w:r>
      <w:r>
        <w:rPr>
          <w:rFonts w:ascii="Arial" w:cs="Arial" w:eastAsia="Arial" w:hAnsi="Arial"/>
          <w:b/>
          <w:bCs/>
          <w:color w:val="001B57"/>
          <w:sz w:val="22"/>
          <w:szCs w:val="22"/>
        </w:rPr>
        <w:t xml:space="preserve">· Enter the Fixed Merge Pallet and Fixed Merge PSI</w:t>
      </w:r>
    </w:p>
    <w:p>
      <w:pPr>
        <w:spacing w:after="120" w:line="268"/>
      </w:pPr>
      <w:r>
        <w:rPr>
          <w:rFonts w:ascii="Arial" w:cs="Arial" w:eastAsia="Arial" w:hAnsi="Arial"/>
          <w:color w:val="1E1E1E"/>
          <w:sz w:val="21"/>
          <w:szCs w:val="21"/>
        </w:rPr>
        <w:t xml:space="preserve">Type the client's dedicated pallet number in Fixed Merge Pallet, and its series in Fixed Merge PSI.</w:t>
      </w:r>
    </w:p>
    <w:p>
      <w:pPr>
        <w:spacing w:after="40" w:before="40"/>
        <w:jc w:val="center"/>
      </w:pPr>
      <w:r>
        <w:drawing>
          <wp:inline distT="0" distB="0" distL="0" distR="0">
            <wp:extent cx="5676900" cy="1171575"/>
            <wp:effectExtent t="0" r="0" b="0" l="0"/>
            <wp:docPr id="1" name="02-05_fixed_mode.png" descr="02-05_fixed_mode.png" title="02-05_fixed_mo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Figure 2.5 - Fixed mode: one dedicated pallet and its PSI.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2880"/>
          <w:sz w:val="22"/>
          <w:szCs w:val="22"/>
        </w:rPr>
        <w:t xml:space="preserve">Option B - Multiple Special Pallets  (switch ON)</w:t>
      </w:r>
    </w:p>
    <w:p>
      <w:pPr>
        <w:spacing w:after="120" w:line="268"/>
      </w:pPr>
      <w:r>
        <w:rPr>
          <w:rFonts w:ascii="Arial" w:cs="Arial" w:eastAsia="Arial" w:hAnsi="Arial"/>
          <w:color w:val="1E1E1E"/>
          <w:sz w:val="21"/>
          <w:szCs w:val="21"/>
        </w:rPr>
        <w:t xml:space="preserve">Tick Multiple Pallet Support. The client's special pallet types appear in the Pallet Types table, each with its own prefix and running number (for example MDGM, SDMG, TDMG, BOC).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002880"/>
          <w:sz w:val="22"/>
          <w:szCs w:val="22"/>
        </w:rPr>
        <w:t xml:space="preserve">Step 5  </w:t>
      </w:r>
      <w:r>
        <w:rPr>
          <w:rFonts w:ascii="Arial" w:cs="Arial" w:eastAsia="Arial" w:hAnsi="Arial"/>
          <w:b/>
          <w:bCs/>
          <w:color w:val="001B57"/>
          <w:sz w:val="22"/>
          <w:szCs w:val="22"/>
        </w:rPr>
        <w:t xml:space="preserve">· Tick Multiple Pallet Support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002880"/>
          <w:sz w:val="22"/>
          <w:szCs w:val="22"/>
        </w:rPr>
        <w:t xml:space="preserve">Step 6  </w:t>
      </w:r>
      <w:r>
        <w:rPr>
          <w:rFonts w:ascii="Arial" w:cs="Arial" w:eastAsia="Arial" w:hAnsi="Arial"/>
          <w:b/>
          <w:bCs/>
          <w:color w:val="001B57"/>
          <w:sz w:val="22"/>
          <w:szCs w:val="22"/>
        </w:rPr>
        <w:t xml:space="preserve">· Review the Pallet Types</w:t>
      </w:r>
    </w:p>
    <w:p>
      <w:pPr>
        <w:spacing w:after="120" w:line="268"/>
      </w:pPr>
      <w:r>
        <w:rPr>
          <w:rFonts w:ascii="Arial" w:cs="Arial" w:eastAsia="Arial" w:hAnsi="Arial"/>
          <w:color w:val="1E1E1E"/>
          <w:sz w:val="21"/>
          <w:szCs w:val="21"/>
        </w:rPr>
        <w:t xml:space="preserve">The standard types are created automatically. You normally do not need to change them.</w:t>
      </w:r>
    </w:p>
    <w:p>
      <w:pPr>
        <w:spacing w:after="40" w:before="40"/>
        <w:jc w:val="center"/>
      </w:pPr>
      <w:r>
        <w:drawing>
          <wp:inline distT="0" distB="0" distL="0" distR="0">
            <wp:extent cx="5676900" cy="2533650"/>
            <wp:effectExtent t="0" r="0" b="0" l="0"/>
            <wp:docPr id="1" name="02-06_multiple_mode.png" descr="02-06_multiple_mode.png" title="02-06_multiple_mo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Figure 2.6 - Multiple mode: the client's special pallet types.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002880"/>
          <w:sz w:val="22"/>
          <w:szCs w:val="22"/>
        </w:rPr>
        <w:t xml:space="preserve">Step 7  </w:t>
      </w:r>
      <w:r>
        <w:rPr>
          <w:rFonts w:ascii="Arial" w:cs="Arial" w:eastAsia="Arial" w:hAnsi="Arial"/>
          <w:b/>
          <w:bCs/>
          <w:color w:val="001B57"/>
          <w:sz w:val="22"/>
          <w:szCs w:val="22"/>
        </w:rPr>
        <w:t xml:space="preserve">· Optional - Include Regular Pallets</w:t>
      </w:r>
    </w:p>
    <w:p>
      <w:pPr>
        <w:spacing w:after="120" w:line="268"/>
      </w:pPr>
      <w:r>
        <w:rPr>
          <w:rFonts w:ascii="Arial" w:cs="Arial" w:eastAsia="Arial" w:hAnsi="Arial"/>
          <w:color w:val="1E1E1E"/>
          <w:sz w:val="21"/>
          <w:szCs w:val="21"/>
        </w:rPr>
        <w:t xml:space="preserve">Tick Include Regular Pallets only if this client may also merge onto ordinary stock pallets, not just their special ones.</w:t>
      </w:r>
    </w:p>
    <w:p>
      <w:pPr>
        <w:spacing w:after="40" w:before="40"/>
        <w:jc w:val="center"/>
      </w:pPr>
      <w:r>
        <w:drawing>
          <wp:inline distT="0" distB="0" distL="0" distR="0">
            <wp:extent cx="5676900" cy="1352550"/>
            <wp:effectExtent t="0" r="0" b="0" l="0"/>
            <wp:docPr id="1" name="02-07_include_regular.png" descr="02-07_include_regular.png" title="02-07_include_regula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Figure 2.7 - Include Regular Pallets (optional).</w:t>
      </w:r>
    </w:p>
    <w:p>
      <w:pPr>
        <w:pStyle w:val="Heading2"/>
      </w:pPr>
      <w:r>
        <w:rPr>
          <w:rFonts w:ascii="Arial" w:cs="Arial" w:eastAsia="Arial" w:hAnsi="Arial"/>
        </w:rPr>
        <w:t xml:space="preserve">2.5  Document options (Lot No. / Batch # / Prodcode)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002880"/>
          <w:sz w:val="22"/>
          <w:szCs w:val="22"/>
        </w:rPr>
        <w:t xml:space="preserve">Step 8  </w:t>
      </w:r>
      <w:r>
        <w:rPr>
          <w:rFonts w:ascii="Arial" w:cs="Arial" w:eastAsia="Arial" w:hAnsi="Arial"/>
          <w:b/>
          <w:bCs/>
          <w:color w:val="001B57"/>
          <w:sz w:val="22"/>
          <w:szCs w:val="22"/>
        </w:rPr>
        <w:t xml:space="preserve">· Set the DOCUMENTS options</w:t>
      </w:r>
    </w:p>
    <w:p>
      <w:pPr>
        <w:spacing w:after="120" w:line="268"/>
      </w:pPr>
      <w:r>
        <w:rPr>
          <w:rFonts w:ascii="Arial" w:cs="Arial" w:eastAsia="Arial" w:hAnsi="Arial"/>
          <w:color w:val="1E1E1E"/>
          <w:sz w:val="21"/>
          <w:szCs w:val="21"/>
        </w:rPr>
        <w:t xml:space="preserve">Under DOCUMENTS, tick Show Lot No. and Show Batch # / Prodcode if this client tracks them. These control the fields you will encode during receiving (covered in Chapter 3).</w:t>
      </w:r>
    </w:p>
    <w:p>
      <w:pPr>
        <w:spacing w:after="40" w:before="40"/>
        <w:jc w:val="center"/>
      </w:pPr>
      <w:r>
        <w:drawing>
          <wp:inline distT="0" distB="0" distL="0" distR="0">
            <wp:extent cx="5486400" cy="2286000"/>
            <wp:effectExtent t="0" r="0" b="0" l="0"/>
            <wp:docPr id="1" name="02-08a_documents.png" descr="02-08a_documents.png" title="02-08a_documen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Figure 2.8 - Document tracking options for the client.</w:t>
      </w:r>
    </w:p>
    <w:p>
      <w:pPr>
        <w:pStyle w:val="Heading2"/>
      </w:pPr>
      <w:r>
        <w:rPr>
          <w:rFonts w:ascii="Arial" w:cs="Arial" w:eastAsia="Arial" w:hAnsi="Arial"/>
        </w:rPr>
        <w:t xml:space="preserve">2.6  Save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002880"/>
          <w:sz w:val="22"/>
          <w:szCs w:val="22"/>
        </w:rPr>
        <w:t xml:space="preserve">Step 9  </w:t>
      </w:r>
      <w:r>
        <w:rPr>
          <w:rFonts w:ascii="Arial" w:cs="Arial" w:eastAsia="Arial" w:hAnsi="Arial"/>
          <w:b/>
          <w:bCs/>
          <w:color w:val="001B57"/>
          <w:sz w:val="22"/>
          <w:szCs w:val="22"/>
        </w:rPr>
        <w:t xml:space="preserve">· Save the client</w:t>
      </w:r>
    </w:p>
    <w:p>
      <w:pPr>
        <w:spacing w:after="120" w:line="268"/>
      </w:pPr>
      <w:r>
        <w:rPr>
          <w:rFonts w:ascii="Arial" w:cs="Arial" w:eastAsia="Arial" w:hAnsi="Arial"/>
          <w:color w:val="1E1E1E"/>
          <w:sz w:val="21"/>
          <w:szCs w:val="21"/>
        </w:rPr>
        <w:t xml:space="preserve">Click the save (cloud) icon at the top of the form. The client is now ready to use merging.</w:t>
      </w:r>
    </w:p>
    <w:p>
      <w:pPr>
        <w:spacing w:after="40" w:before="40"/>
        <w:jc w:val="center"/>
      </w:pPr>
      <w:r>
        <w:drawing>
          <wp:inline distT="0" distB="0" distL="0" distR="0">
            <wp:extent cx="5676900" cy="828675"/>
            <wp:effectExtent t="0" r="0" b="0" l="0"/>
            <wp:docPr id="1" name="02-08b_save.png" descr="02-08b_save.png" title="02-08b_sav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Figure 2.9 - Save the client with the cloud icon.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2880" w:sz="14"/>
              <w:left w:val="single" w:color="C9CFE4" w:sz="1"/>
              <w:bottom w:val="single" w:color="C9CFE4" w:sz="1"/>
              <w:right w:val="single" w:color="C9CFE4" w:sz="1"/>
            </w:tcBorders>
            <w:shd w:fill="EEF1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aps/>
                <w:color w:val="002880"/>
                <w:sz w:val="20"/>
                <w:szCs w:val="20"/>
              </w:rPr>
              <w:t xml:space="preserve">What's next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Chapter 3 - Encoding Lot No. &amp; Batch # (→ Prodcode).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Chapter 3 · Encoding Lot No. &amp; Batch # (→ Prodcode)</w:t>
      </w:r>
    </w:p>
    <w:p>
      <w:pPr>
        <w:spacing w:after="120" w:line="268"/>
      </w:pPr>
      <w:r>
        <w:rPr>
          <w:rFonts w:ascii="Arial" w:cs="Arial" w:eastAsia="Arial" w:hAnsi="Arial"/>
          <w:color w:val="1E1E1E"/>
          <w:sz w:val="21"/>
          <w:szCs w:val="21"/>
        </w:rPr>
        <w:t xml:space="preserve">Some clients track a Lot No. and a Batch # on every pallet they receive. You type these while encoding the Receiving Report; when the receipt is validated, the system automatically builds a Prodcode from them and keeps it with the stock. This chapter shows the whole flow.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2880" w:sz="14"/>
              <w:left w:val="single" w:color="C9CFE4" w:sz="1"/>
              <w:bottom w:val="single" w:color="C9CFE4" w:sz="1"/>
              <w:right w:val="single" w:color="C9CFE4" w:sz="1"/>
            </w:tcBorders>
            <w:shd w:fill="EEF1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aps/>
                <w:color w:val="002880"/>
                <w:sz w:val="20"/>
                <w:szCs w:val="20"/>
              </w:rPr>
              <w:t xml:space="preserve">Who does this · before you start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Responsible role: encoding receipts (RR) and withdrawals (WR) is done by Documentation Staff. Client configuration (Chapter 2) is the Inventory Supervisor's task.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The client must have Show Lot No. and Show Batch # / Prodcode switched on - set once by the Inventory Supervisor in the client's VIFEL Configuration (Chapter 2).</w:t>
            </w:r>
          </w:p>
        </w:tc>
      </w:tr>
    </w:tbl>
    <w:p>
      <w:pPr>
        <w:spacing w:after="40" w:before="40"/>
        <w:jc w:val="center"/>
      </w:pPr>
      <w:r>
        <w:drawing>
          <wp:inline distT="0" distB="0" distL="0" distR="0">
            <wp:extent cx="3429000" cy="1428750"/>
            <wp:effectExtent t="0" r="0" b="0" l="0"/>
            <wp:docPr id="1" name="02-08a_documents_ctx.png" descr="02-08a_documents_ctx.png" title="02-08a_documents_ctx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Reminder - the client's Lot No. / Batch # options, set in Chapter 2.</w:t>
      </w:r>
    </w:p>
    <w:p>
      <w:pPr>
        <w:pStyle w:val="Heading2"/>
      </w:pPr>
      <w:r>
        <w:rPr>
          <w:rFonts w:ascii="Arial" w:cs="Arial" w:eastAsia="Arial" w:hAnsi="Arial"/>
        </w:rPr>
        <w:t xml:space="preserve">3.1  Before you start</w:t>
      </w:r>
    </w:p>
    <w:p>
      <w:pPr>
        <w:spacing w:after="120" w:line="268"/>
      </w:pPr>
      <w:r>
        <w:rPr>
          <w:rFonts w:ascii="Arial" w:cs="Arial" w:eastAsia="Arial" w:hAnsi="Arial"/>
          <w:color w:val="1E1E1E"/>
          <w:sz w:val="21"/>
          <w:szCs w:val="21"/>
        </w:rPr>
        <w:t xml:space="preserve">Make sure the receipt is for a client that has Lot No. / Batch # enabled. If it is not, ask your Inventory Supervisor to switch it on (see Chapter 2).</w:t>
      </w:r>
    </w:p>
    <w:p>
      <w:pPr>
        <w:pStyle w:val="Heading2"/>
      </w:pPr>
      <w:r>
        <w:rPr>
          <w:rFonts w:ascii="Arial" w:cs="Arial" w:eastAsia="Arial" w:hAnsi="Arial"/>
        </w:rPr>
        <w:t xml:space="preserve">3.2  Open a new Receiving Report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002880"/>
          <w:sz w:val="22"/>
          <w:szCs w:val="22"/>
        </w:rPr>
        <w:t xml:space="preserve">Step 1  </w:t>
      </w:r>
      <w:r>
        <w:rPr>
          <w:rFonts w:ascii="Arial" w:cs="Arial" w:eastAsia="Arial" w:hAnsi="Arial"/>
          <w:b/>
          <w:bCs/>
          <w:color w:val="001B57"/>
          <w:sz w:val="22"/>
          <w:szCs w:val="22"/>
        </w:rPr>
        <w:t xml:space="preserve">· Open Inventory</w:t>
      </w:r>
    </w:p>
    <w:p>
      <w:pPr>
        <w:spacing w:after="120" w:line="268"/>
      </w:pPr>
      <w:r>
        <w:rPr>
          <w:rFonts w:ascii="Arial" w:cs="Arial" w:eastAsia="Arial" w:hAnsi="Arial"/>
          <w:color w:val="1E1E1E"/>
          <w:sz w:val="21"/>
          <w:szCs w:val="21"/>
        </w:rPr>
        <w:t xml:space="preserve">From the Odoo home screen, click Inventory.</w:t>
      </w:r>
    </w:p>
    <w:p>
      <w:pPr>
        <w:spacing w:after="40" w:before="40"/>
        <w:jc w:val="center"/>
      </w:pPr>
      <w:r>
        <w:drawing>
          <wp:inline distT="0" distB="0" distL="0" distR="0">
            <wp:extent cx="5676900" cy="2343150"/>
            <wp:effectExtent t="0" r="0" b="0" l="0"/>
            <wp:docPr id="1" name="03-00a_open_inventory.png" descr="03-00a_open_inventory.png" title="03-00a_open_invento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Figure 3.1 - The Inventory app.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002880"/>
          <w:sz w:val="22"/>
          <w:szCs w:val="22"/>
        </w:rPr>
        <w:t xml:space="preserve">Step 2  </w:t>
      </w:r>
      <w:r>
        <w:rPr>
          <w:rFonts w:ascii="Arial" w:cs="Arial" w:eastAsia="Arial" w:hAnsi="Arial"/>
          <w:b/>
          <w:bCs/>
          <w:color w:val="001B57"/>
          <w:sz w:val="22"/>
          <w:szCs w:val="22"/>
        </w:rPr>
        <w:t xml:space="preserve">· Open RECEIVING</w:t>
      </w:r>
    </w:p>
    <w:p>
      <w:pPr>
        <w:spacing w:after="120" w:line="268"/>
      </w:pPr>
      <w:r>
        <w:rPr>
          <w:rFonts w:ascii="Arial" w:cs="Arial" w:eastAsia="Arial" w:hAnsi="Arial"/>
          <w:color w:val="1E1E1E"/>
          <w:sz w:val="21"/>
          <w:szCs w:val="21"/>
        </w:rPr>
        <w:t xml:space="preserve">On the Inventory Overview, click the RECEIVING operation type.</w:t>
      </w:r>
    </w:p>
    <w:p>
      <w:pPr>
        <w:spacing w:after="40" w:before="40"/>
        <w:jc w:val="center"/>
      </w:pPr>
      <w:r>
        <w:drawing>
          <wp:inline distT="0" distB="0" distL="0" distR="0">
            <wp:extent cx="4476750" cy="1895475"/>
            <wp:effectExtent t="0" r="0" b="0" l="0"/>
            <wp:docPr id="1" name="03-00b_receiving.png" descr="03-00b_receiving.png" title="03-00b_receiv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Figure 3.2 - The RECEIVING operations card.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002880"/>
          <w:sz w:val="22"/>
          <w:szCs w:val="22"/>
        </w:rPr>
        <w:t xml:space="preserve">Step 3  </w:t>
      </w:r>
      <w:r>
        <w:rPr>
          <w:rFonts w:ascii="Arial" w:cs="Arial" w:eastAsia="Arial" w:hAnsi="Arial"/>
          <w:b/>
          <w:bCs/>
          <w:color w:val="001B57"/>
          <w:sz w:val="22"/>
          <w:szCs w:val="22"/>
        </w:rPr>
        <w:t xml:space="preserve">· Create a new receipt</w:t>
      </w:r>
    </w:p>
    <w:p>
      <w:pPr>
        <w:spacing w:after="120" w:line="268"/>
      </w:pPr>
      <w:r>
        <w:rPr>
          <w:rFonts w:ascii="Arial" w:cs="Arial" w:eastAsia="Arial" w:hAnsi="Arial"/>
          <w:color w:val="1E1E1E"/>
          <w:sz w:val="21"/>
          <w:szCs w:val="21"/>
        </w:rPr>
        <w:t xml:space="preserve">Click New to start a new Receiving Report.</w:t>
      </w:r>
    </w:p>
    <w:p>
      <w:pPr>
        <w:spacing w:after="40" w:before="40"/>
        <w:jc w:val="center"/>
      </w:pPr>
      <w:r>
        <w:drawing>
          <wp:inline distT="0" distB="0" distL="0" distR="0">
            <wp:extent cx="5676900" cy="1495425"/>
            <wp:effectExtent t="0" r="0" b="0" l="0"/>
            <wp:docPr id="1" name="03-00c_new_rr.png" descr="03-00c_new_rr.png" title="03-00c_new_r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Figure 3.3 - Start a new Receiving Report.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002880"/>
          <w:sz w:val="22"/>
          <w:szCs w:val="22"/>
        </w:rPr>
        <w:t xml:space="preserve">Step 4  </w:t>
      </w:r>
      <w:r>
        <w:rPr>
          <w:rFonts w:ascii="Arial" w:cs="Arial" w:eastAsia="Arial" w:hAnsi="Arial"/>
          <w:b/>
          <w:bCs/>
          <w:color w:val="001B57"/>
          <w:sz w:val="22"/>
          <w:szCs w:val="22"/>
        </w:rPr>
        <w:t xml:space="preserve">· Select the client and encode as usual</w:t>
      </w:r>
    </w:p>
    <w:p>
      <w:pPr>
        <w:spacing w:after="120" w:line="268"/>
      </w:pPr>
      <w:r>
        <w:rPr>
          <w:rFonts w:ascii="Arial" w:cs="Arial" w:eastAsia="Arial" w:hAnsi="Arial"/>
          <w:color w:val="1E1E1E"/>
          <w:sz w:val="21"/>
          <w:szCs w:val="21"/>
        </w:rPr>
        <w:t xml:space="preserve">Choose the client in the Customer field, then fill in the Receiving Report as you normally would. Follow the on-screen “Steps to Begin” note - set the Destination Location and remember to save (Alt + S).</w:t>
      </w:r>
    </w:p>
    <w:p>
      <w:pPr>
        <w:spacing w:after="40" w:before="40"/>
        <w:jc w:val="center"/>
      </w:pPr>
      <w:r>
        <w:drawing>
          <wp:inline distT="0" distB="0" distL="0" distR="0">
            <wp:extent cx="5676900" cy="2305050"/>
            <wp:effectExtent t="0" r="0" b="0" l="0"/>
            <wp:docPr id="1" name="03-00d_select_client.png" descr="03-00d_select_client.png" title="03-00d_select_clie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Figure 3.4 - Select the client, then encode the receipt as usual.</w:t>
      </w:r>
    </w:p>
    <w:p>
      <w:pPr>
        <w:pStyle w:val="Heading2"/>
      </w:pPr>
      <w:r>
        <w:rPr>
          <w:rFonts w:ascii="Arial" w:cs="Arial" w:eastAsia="Arial" w:hAnsi="Arial"/>
        </w:rPr>
        <w:t xml:space="preserve">3.3  Enter Lot No. &amp; Batch #</w:t>
      </w:r>
    </w:p>
    <w:p>
      <w:pPr>
        <w:spacing w:after="120" w:line="268"/>
      </w:pPr>
      <w:r>
        <w:rPr>
          <w:rFonts w:ascii="Arial" w:cs="Arial" w:eastAsia="Arial" w:hAnsi="Arial"/>
          <w:color w:val="1E1E1E"/>
          <w:sz w:val="21"/>
          <w:szCs w:val="21"/>
        </w:rPr>
        <w:t xml:space="preserve">You can enter Lot No. and Batch # in either of two places - use whichever you prefer. Both write to the same lines.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2880"/>
          <w:sz w:val="22"/>
          <w:szCs w:val="22"/>
        </w:rPr>
        <w:t xml:space="preserve">Option A - in the Pallet Breakdown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002880"/>
          <w:sz w:val="22"/>
          <w:szCs w:val="22"/>
        </w:rPr>
        <w:t xml:space="preserve">Step 5  </w:t>
      </w:r>
      <w:r>
        <w:rPr>
          <w:rFonts w:ascii="Arial" w:cs="Arial" w:eastAsia="Arial" w:hAnsi="Arial"/>
          <w:b/>
          <w:bCs/>
          <w:color w:val="001B57"/>
          <w:sz w:val="22"/>
          <w:szCs w:val="22"/>
        </w:rPr>
        <w:t xml:space="preserve">· Type Lot No. and Batch # on each line</w:t>
      </w:r>
    </w:p>
    <w:p>
      <w:pPr>
        <w:spacing w:after="120" w:line="268"/>
      </w:pPr>
      <w:r>
        <w:rPr>
          <w:rFonts w:ascii="Arial" w:cs="Arial" w:eastAsia="Arial" w:hAnsi="Arial"/>
          <w:color w:val="1E1E1E"/>
          <w:sz w:val="21"/>
          <w:szCs w:val="21"/>
        </w:rPr>
        <w:t xml:space="preserve">In the Detailed Operations (Pallet Breakdown) grid, fill the Lot No. and Batch # columns for each pallet line.</w:t>
      </w:r>
    </w:p>
    <w:p>
      <w:pPr>
        <w:spacing w:after="40" w:before="40"/>
        <w:jc w:val="center"/>
      </w:pPr>
      <w:r>
        <w:drawing>
          <wp:inline distT="0" distB="0" distL="0" distR="0">
            <wp:extent cx="5676900" cy="1428750"/>
            <wp:effectExtent t="0" r="0" b="0" l="0"/>
            <wp:docPr id="1" name="03-02_lot_batch_breakdown.png" descr="03-02_lot_batch_breakdown.png" title="03-02_lot_batch_breakdow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Figure 3.5 - Lot No. and Batch # columns in the Pallet Breakdown.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2880"/>
          <w:sz w:val="22"/>
          <w:szCs w:val="22"/>
        </w:rPr>
        <w:t xml:space="preserve">Option B - in the Magic Wizard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002880"/>
          <w:sz w:val="22"/>
          <w:szCs w:val="22"/>
        </w:rPr>
        <w:t xml:space="preserve">Step 6  </w:t>
      </w:r>
      <w:r>
        <w:rPr>
          <w:rFonts w:ascii="Arial" w:cs="Arial" w:eastAsia="Arial" w:hAnsi="Arial"/>
          <w:b/>
          <w:bCs/>
          <w:color w:val="001B57"/>
          <w:sz w:val="22"/>
          <w:szCs w:val="22"/>
        </w:rPr>
        <w:t xml:space="preserve">· Enter them in the Magic Wizard</w:t>
      </w:r>
    </w:p>
    <w:p>
      <w:pPr>
        <w:spacing w:after="120" w:line="268"/>
      </w:pPr>
      <w:r>
        <w:rPr>
          <w:rFonts w:ascii="Arial" w:cs="Arial" w:eastAsia="Arial" w:hAnsi="Arial"/>
          <w:color w:val="1E1E1E"/>
          <w:sz w:val="21"/>
          <w:szCs w:val="21"/>
        </w:rPr>
        <w:t xml:space="preserve">Click Magic Wizard to open Fast Encode RR Lines, then fill the Lot No. and Batch # columns there. Click Confirm when done.</w:t>
      </w:r>
    </w:p>
    <w:p>
      <w:pPr>
        <w:spacing w:after="40" w:before="40"/>
        <w:jc w:val="center"/>
      </w:pPr>
      <w:r>
        <w:drawing>
          <wp:inline distT="0" distB="0" distL="0" distR="0">
            <wp:extent cx="5676900" cy="2219325"/>
            <wp:effectExtent t="0" r="0" b="0" l="0"/>
            <wp:docPr id="1" name="03-04_magic_wizard.png" descr="03-04_magic_wizard.png" title="03-04_magic_wizar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Figure 3.6 - Lot No. and Batch # in the Magic Wizard.</w:t>
      </w:r>
    </w:p>
    <w:p>
      <w:pPr>
        <w:pStyle w:val="Heading2"/>
      </w:pPr>
      <w:r>
        <w:rPr>
          <w:rFonts w:ascii="Arial" w:cs="Arial" w:eastAsia="Arial" w:hAnsi="Arial"/>
        </w:rPr>
        <w:t xml:space="preserve">3.4  Validate - the Prodcode is generated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002880"/>
          <w:sz w:val="22"/>
          <w:szCs w:val="22"/>
        </w:rPr>
        <w:t xml:space="preserve">Step 7  </w:t>
      </w:r>
      <w:r>
        <w:rPr>
          <w:rFonts w:ascii="Arial" w:cs="Arial" w:eastAsia="Arial" w:hAnsi="Arial"/>
          <w:b/>
          <w:bCs/>
          <w:color w:val="001B57"/>
          <w:sz w:val="22"/>
          <w:szCs w:val="22"/>
        </w:rPr>
        <w:t xml:space="preserve">· Validate the receipt</w:t>
      </w:r>
    </w:p>
    <w:p>
      <w:pPr>
        <w:spacing w:after="120" w:line="268"/>
      </w:pPr>
      <w:r>
        <w:rPr>
          <w:rFonts w:ascii="Arial" w:cs="Arial" w:eastAsia="Arial" w:hAnsi="Arial"/>
          <w:color w:val="1E1E1E"/>
          <w:sz w:val="21"/>
          <w:szCs w:val="21"/>
        </w:rPr>
        <w:t xml:space="preserve">Finish and validate the Receiving Report. Once it reaches Done, the stock is created.</w:t>
      </w:r>
    </w:p>
    <w:p>
      <w:pPr>
        <w:spacing w:after="40" w:before="40"/>
        <w:jc w:val="center"/>
      </w:pPr>
      <w:r>
        <w:drawing>
          <wp:inline distT="0" distB="0" distL="0" distR="0">
            <wp:extent cx="5676900" cy="962025"/>
            <wp:effectExtent t="0" r="0" b="0" l="0"/>
            <wp:docPr id="1" name="03-06_validate_done.png" descr="03-06_validate_done.png" title="03-06_validate_do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Figure 3.7 - The receipt validated (Done); the stock is created.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002880"/>
          <w:sz w:val="22"/>
          <w:szCs w:val="22"/>
        </w:rPr>
        <w:t xml:space="preserve">Step 8  </w:t>
      </w:r>
      <w:r>
        <w:rPr>
          <w:rFonts w:ascii="Arial" w:cs="Arial" w:eastAsia="Arial" w:hAnsi="Arial"/>
          <w:b/>
          <w:bCs/>
          <w:color w:val="001B57"/>
          <w:sz w:val="22"/>
          <w:szCs w:val="22"/>
        </w:rPr>
        <w:t xml:space="preserve">· Open Location Related Stocks to see the Prodcode</w:t>
      </w:r>
    </w:p>
    <w:p>
      <w:pPr>
        <w:spacing w:after="120" w:line="268"/>
      </w:pPr>
      <w:r>
        <w:rPr>
          <w:rFonts w:ascii="Arial" w:cs="Arial" w:eastAsia="Arial" w:hAnsi="Arial"/>
          <w:color w:val="1E1E1E"/>
          <w:sz w:val="21"/>
          <w:szCs w:val="21"/>
        </w:rPr>
        <w:t xml:space="preserve">Click Location Related Stocks on the receipt. Each stored pallet now carries its Prodcode, built automatically from the Expiration Date and the Batch #, followed by a fixed letter M - for example 01JAN2027 + 25 + M.</w:t>
      </w:r>
    </w:p>
    <w:p>
      <w:pPr>
        <w:spacing w:after="40" w:before="40"/>
        <w:jc w:val="center"/>
      </w:pPr>
      <w:r>
        <w:drawing>
          <wp:inline distT="0" distB="0" distL="0" distR="0">
            <wp:extent cx="5676900" cy="2057400"/>
            <wp:effectExtent t="0" r="0" b="0" l="0"/>
            <wp:docPr id="1" name="03-06b_quant_prodcode.png" descr="03-06b_quant_prodcode.png" title="03-06b_quant_prodco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Figure 3.8 - The Prodcode stored on each pallet (Location Related Stocks).</w:t>
      </w:r>
    </w:p>
    <w:p>
      <w:pPr>
        <w:spacing w:after="120" w:line="268"/>
      </w:pPr>
      <w:r>
        <w:rPr>
          <w:rFonts w:ascii="Arial" w:cs="Arial" w:eastAsia="Arial" w:hAnsi="Arial"/>
          <w:color w:val="1E1E1E"/>
          <w:sz w:val="21"/>
          <w:szCs w:val="21"/>
        </w:rPr>
        <w:t xml:space="preserve">The Prodcode stays with the stock and is also shown, read-only, on the withdrawal's Pallet Breakdown.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002880"/>
          <w:sz w:val="22"/>
          <w:szCs w:val="22"/>
        </w:rPr>
        <w:t xml:space="preserve">Step 9  </w:t>
      </w:r>
      <w:r>
        <w:rPr>
          <w:rFonts w:ascii="Arial" w:cs="Arial" w:eastAsia="Arial" w:hAnsi="Arial"/>
          <w:b/>
          <w:bCs/>
          <w:color w:val="001B57"/>
          <w:sz w:val="22"/>
          <w:szCs w:val="22"/>
        </w:rPr>
        <w:t xml:space="preserve">· See the Prodcode on a withdrawal</w:t>
      </w:r>
    </w:p>
    <w:p>
      <w:pPr>
        <w:spacing w:after="40" w:before="40"/>
        <w:jc w:val="center"/>
      </w:pPr>
      <w:r>
        <w:drawing>
          <wp:inline distT="0" distB="0" distL="0" distR="0">
            <wp:extent cx="5676900" cy="1152525"/>
            <wp:effectExtent t="0" r="0" b="0" l="0"/>
            <wp:docPr id="1" name="03-07_prodcode_wr.png" descr="03-07_prodcode_wr.png" title="03-07_prodcode_w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Figure 3.9 - The Prodcode (read-only) on a later withdrawal.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2880" w:sz="14"/>
              <w:left w:val="single" w:color="C9CFE4" w:sz="1"/>
              <w:bottom w:val="single" w:color="C9CFE4" w:sz="1"/>
              <w:right w:val="single" w:color="C9CFE4" w:sz="1"/>
            </w:tcBorders>
            <w:shd w:fill="EEF1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aps/>
                <w:color w:val="002880"/>
                <w:sz w:val="20"/>
                <w:szCs w:val="20"/>
              </w:rPr>
              <w:t xml:space="preserve">What's next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Chapter 4 - Receiving &amp; Merge (Fixed and Multiple).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Chapter 4 · Receiving &amp; Merge</w:t>
      </w:r>
    </w:p>
    <w:p>
      <w:pPr>
        <w:spacing w:after="120" w:line="268"/>
      </w:pPr>
      <w:r>
        <w:rPr>
          <w:rFonts w:ascii="Arial" w:cs="Arial" w:eastAsia="Arial" w:hAnsi="Arial"/>
          <w:color w:val="1E1E1E"/>
          <w:sz w:val="21"/>
          <w:szCs w:val="21"/>
        </w:rPr>
        <w:t xml:space="preserve">During receiving you can merge a pallet line onto another pallet, so several products or batches share one physical pallet. How the merge behaves depends on the client's setup (Chapter 2): a Fixed client uses one dedicated pallet; a Multiple client has several special pallets. Either way the merge starts the same, and any merge can be reversed with Un-merge.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2880" w:sz="14"/>
              <w:left w:val="single" w:color="C9CFE4" w:sz="1"/>
              <w:bottom w:val="single" w:color="C9CFE4" w:sz="1"/>
              <w:right w:val="single" w:color="C9CFE4" w:sz="1"/>
            </w:tcBorders>
            <w:shd w:fill="EEF1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aps/>
                <w:color w:val="002880"/>
                <w:sz w:val="20"/>
                <w:szCs w:val="20"/>
              </w:rPr>
              <w:t xml:space="preserve">Who does this · before you start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Responsible role: Documentation Staff merge pallets while encoding the receipt.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The client must have Can Merge Pallets switched on (set by the Inventory Supervisor - Chapter 2).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Merging onto a pallet that already holds stock does not add to the pallet count (+0). The first stock on an empty pallet, or a brand-new special pallet, counts as one received pallet (+1).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4.1  Start a merge</w:t>
      </w:r>
    </w:p>
    <w:p>
      <w:pPr>
        <w:spacing w:after="120" w:line="268"/>
      </w:pPr>
      <w:r>
        <w:rPr>
          <w:rFonts w:ascii="Arial" w:cs="Arial" w:eastAsia="Arial" w:hAnsi="Arial"/>
          <w:color w:val="1E1E1E"/>
          <w:sz w:val="21"/>
          <w:szCs w:val="21"/>
        </w:rPr>
        <w:t xml:space="preserve">The merge starts the same way for every client. On the receipt's Pallet Breakdown, find the line you want to merge and click Merge Pallet.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002880"/>
          <w:sz w:val="22"/>
          <w:szCs w:val="22"/>
        </w:rPr>
        <w:t xml:space="preserve">Step 1  </w:t>
      </w:r>
      <w:r>
        <w:rPr>
          <w:rFonts w:ascii="Arial" w:cs="Arial" w:eastAsia="Arial" w:hAnsi="Arial"/>
          <w:b/>
          <w:bCs/>
          <w:color w:val="001B57"/>
          <w:sz w:val="22"/>
          <w:szCs w:val="22"/>
        </w:rPr>
        <w:t xml:space="preserve">· Click Merge Pallet on the line</w:t>
      </w:r>
    </w:p>
    <w:p>
      <w:pPr>
        <w:spacing w:after="40" w:before="40"/>
        <w:jc w:val="center"/>
      </w:pPr>
      <w:r>
        <w:drawing>
          <wp:inline distT="0" distB="0" distL="0" distR="0">
            <wp:extent cx="5676900" cy="1209675"/>
            <wp:effectExtent t="0" r="0" b="0" l="0"/>
            <wp:docPr id="1" name="04-01_merge_button.png" descr="04-01_merge_button.png" title="04-01_merge_butt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Figure 4.1 - The Merge Pallet button on a receipt line.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002880"/>
          <w:sz w:val="22"/>
          <w:szCs w:val="22"/>
        </w:rPr>
        <w:t xml:space="preserve">Step 2  </w:t>
      </w:r>
      <w:r>
        <w:rPr>
          <w:rFonts w:ascii="Arial" w:cs="Arial" w:eastAsia="Arial" w:hAnsi="Arial"/>
          <w:b/>
          <w:bCs/>
          <w:color w:val="001B57"/>
          <w:sz w:val="22"/>
          <w:szCs w:val="22"/>
        </w:rPr>
        <w:t xml:space="preserve">· Or start it from the Magic Wizard</w:t>
      </w:r>
    </w:p>
    <w:p>
      <w:pPr>
        <w:spacing w:after="120" w:line="268"/>
      </w:pPr>
      <w:r>
        <w:rPr>
          <w:rFonts w:ascii="Arial" w:cs="Arial" w:eastAsia="Arial" w:hAnsi="Arial"/>
          <w:color w:val="1E1E1E"/>
          <w:sz w:val="21"/>
          <w:szCs w:val="21"/>
        </w:rPr>
        <w:t xml:space="preserve">You can also open the Magic Wizard and click Merge on the line - it opens the same dialog.</w:t>
      </w:r>
    </w:p>
    <w:p>
      <w:pPr>
        <w:spacing w:after="40" w:before="40"/>
        <w:jc w:val="center"/>
      </w:pPr>
      <w:r>
        <w:drawing>
          <wp:inline distT="0" distB="0" distL="0" distR="0">
            <wp:extent cx="5676900" cy="1885950"/>
            <wp:effectExtent t="0" r="0" b="0" l="0"/>
            <wp:docPr id="1" name="04-03_magic_merge.png" descr="04-03_magic_merge.png" title="04-03_magic_mer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Figure 4.2 - Starting a merge from the Magic Wizard.</w:t>
      </w:r>
    </w:p>
    <w:p>
      <w:pPr>
        <w:pStyle w:val="Heading2"/>
      </w:pPr>
      <w:r>
        <w:rPr>
          <w:rFonts w:ascii="Arial" w:cs="Arial" w:eastAsia="Arial" w:hAnsi="Arial"/>
        </w:rPr>
        <w:t xml:space="preserve">4.2  Merge Type 1 - Fixed Merge Pallet</w:t>
      </w:r>
    </w:p>
    <w:p>
      <w:pPr>
        <w:spacing w:after="120" w:line="268"/>
      </w:pPr>
      <w:r>
        <w:rPr>
          <w:rFonts w:ascii="Arial" w:cs="Arial" w:eastAsia="Arial" w:hAnsi="Arial"/>
          <w:color w:val="1E1E1E"/>
          <w:sz w:val="21"/>
          <w:szCs w:val="21"/>
        </w:rPr>
        <w:t xml:space="preserve">For a Fixed client, the dialog already has the client's one dedicated pallet set to Merge Here - you just confirm.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002880"/>
          <w:sz w:val="22"/>
          <w:szCs w:val="22"/>
        </w:rPr>
        <w:t xml:space="preserve">Step 3  </w:t>
      </w:r>
      <w:r>
        <w:rPr>
          <w:rFonts w:ascii="Arial" w:cs="Arial" w:eastAsia="Arial" w:hAnsi="Arial"/>
          <w:b/>
          <w:bCs/>
          <w:color w:val="001B57"/>
          <w:sz w:val="22"/>
          <w:szCs w:val="22"/>
        </w:rPr>
        <w:t xml:space="preserve">· Review and Confirm</w:t>
      </w:r>
    </w:p>
    <w:p>
      <w:pPr>
        <w:spacing w:after="120" w:line="268"/>
      </w:pPr>
      <w:r>
        <w:rPr>
          <w:rFonts w:ascii="Arial" w:cs="Arial" w:eastAsia="Arial" w:hAnsi="Arial"/>
          <w:color w:val="1E1E1E"/>
          <w:sz w:val="21"/>
          <w:szCs w:val="21"/>
        </w:rPr>
        <w:t xml:space="preserve">Check that Merge Here is on for the fixed pallet, then click Confirm. If the pallet is still empty, this first line counts as one received pallet; later lines merging onto it (once it holds stock) do not.</w:t>
      </w:r>
    </w:p>
    <w:p>
      <w:pPr>
        <w:spacing w:after="40" w:before="40"/>
        <w:jc w:val="center"/>
      </w:pPr>
      <w:r>
        <w:drawing>
          <wp:inline distT="0" distB="0" distL="0" distR="0">
            <wp:extent cx="5676900" cy="2019300"/>
            <wp:effectExtent t="0" r="0" b="0" l="0"/>
            <wp:docPr id="1" name="04A-01_fixed_dialog.png" descr="04A-01_fixed_dialog.png" title="04A-01_fixed_dialo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Figure 4.3 - Fixed mode: the dedicated pallet is pre-selected.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002880"/>
          <w:sz w:val="22"/>
          <w:szCs w:val="22"/>
        </w:rPr>
        <w:t xml:space="preserve">Step 4  </w:t>
      </w:r>
      <w:r>
        <w:rPr>
          <w:rFonts w:ascii="Arial" w:cs="Arial" w:eastAsia="Arial" w:hAnsi="Arial"/>
          <w:b/>
          <w:bCs/>
          <w:color w:val="001B57"/>
          <w:sz w:val="22"/>
          <w:szCs w:val="22"/>
        </w:rPr>
        <w:t xml:space="preserve">· The line is now merged</w:t>
      </w:r>
    </w:p>
    <w:p>
      <w:pPr>
        <w:spacing w:after="120" w:line="268"/>
      </w:pPr>
      <w:r>
        <w:rPr>
          <w:rFonts w:ascii="Arial" w:cs="Arial" w:eastAsia="Arial" w:hAnsi="Arial"/>
          <w:color w:val="1E1E1E"/>
          <w:sz w:val="21"/>
          <w:szCs w:val="21"/>
        </w:rPr>
        <w:t xml:space="preserve">The line adopts the fixed pallet's series and now shows Un-merge.</w:t>
      </w:r>
    </w:p>
    <w:p>
      <w:pPr>
        <w:spacing w:after="40" w:before="40"/>
        <w:jc w:val="center"/>
      </w:pPr>
      <w:r>
        <w:drawing>
          <wp:inline distT="0" distB="0" distL="0" distR="0">
            <wp:extent cx="5676900" cy="2143125"/>
            <wp:effectExtent t="0" r="0" b="0" l="0"/>
            <wp:docPr id="1" name="04A-03_fixed_result.png" descr="04A-03_fixed_result.png" title="04A-03_fixed_resul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Figure 4.4 - The merged line on the fixed pallet (WM-32423 / 00001 B).</w:t>
      </w:r>
    </w:p>
    <w:p>
      <w:pPr>
        <w:pStyle w:val="Heading2"/>
      </w:pPr>
      <w:r>
        <w:rPr>
          <w:rFonts w:ascii="Arial" w:cs="Arial" w:eastAsia="Arial" w:hAnsi="Arial"/>
        </w:rPr>
        <w:t xml:space="preserve">4.3  Merge Type 2 - Multiple Special Pallets</w:t>
      </w:r>
    </w:p>
    <w:p>
      <w:pPr>
        <w:spacing w:after="120" w:line="268"/>
      </w:pPr>
      <w:r>
        <w:rPr>
          <w:rFonts w:ascii="Arial" w:cs="Arial" w:eastAsia="Arial" w:hAnsi="Arial"/>
          <w:color w:val="1E1E1E"/>
          <w:sz w:val="21"/>
          <w:szCs w:val="21"/>
        </w:rPr>
        <w:t xml:space="preserve">For a Multiple client, click Merge Pallet on the line the same way - but the dialog now offers two choices: merge onto a pallet already stocked, or start a new special pallet.</w:t>
      </w:r>
    </w:p>
    <w:p>
      <w:pPr>
        <w:spacing w:after="40" w:before="40"/>
        <w:jc w:val="center"/>
      </w:pPr>
      <w:r>
        <w:drawing>
          <wp:inline distT="0" distB="0" distL="0" distR="0">
            <wp:extent cx="4762500" cy="990600"/>
            <wp:effectExtent t="0" r="0" b="0" l="0"/>
            <wp:docPr id="1" name="04B-01_multiple_lines.png" descr="04B-01_multiple_lines.png" title="04B-01_multiple_lin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Figure 4.5 - A Multiple client's receipt; start the same way with Merge Pallet.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02880"/>
          <w:sz w:val="22"/>
          <w:szCs w:val="22"/>
        </w:rPr>
        <w:t xml:space="preserve">Option A - Merge onto a pallet already stocked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002880"/>
          <w:sz w:val="22"/>
          <w:szCs w:val="22"/>
        </w:rPr>
        <w:t xml:space="preserve">Step 5  </w:t>
      </w:r>
      <w:r>
        <w:rPr>
          <w:rFonts w:ascii="Arial" w:cs="Arial" w:eastAsia="Arial" w:hAnsi="Arial"/>
          <w:b/>
          <w:bCs/>
          <w:color w:val="001B57"/>
          <w:sz w:val="22"/>
          <w:szCs w:val="22"/>
        </w:rPr>
        <w:t xml:space="preserve">· Pick the pallet to merge onto</w:t>
      </w:r>
    </w:p>
    <w:p>
      <w:pPr>
        <w:spacing w:after="120" w:line="268"/>
      </w:pPr>
      <w:r>
        <w:rPr>
          <w:rFonts w:ascii="Arial" w:cs="Arial" w:eastAsia="Arial" w:hAnsi="Arial"/>
          <w:color w:val="1E1E1E"/>
          <w:sz w:val="21"/>
          <w:szCs w:val="21"/>
        </w:rPr>
        <w:t xml:space="preserve">Choose Merge onto a pallet already stocked. The client's special pallets currently in storage are listed. Turn on Merge Here for the one you want - its current contents appear under On the selected pallet - then click Confirm.</w:t>
      </w:r>
    </w:p>
    <w:p>
      <w:pPr>
        <w:spacing w:after="40" w:before="40"/>
        <w:jc w:val="center"/>
      </w:pPr>
      <w:r>
        <w:drawing>
          <wp:inline distT="0" distB="0" distL="0" distR="0">
            <wp:extent cx="5676900" cy="2190750"/>
            <wp:effectExtent t="0" r="0" b="0" l="0"/>
            <wp:docPr id="1" name="04B-02_merge_existing.png" descr="04B-02_merge_existing.png" title="04B-02_merge_exist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Figure 4.6 - Choosing an existing special pallet to merge onto.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002880"/>
          <w:sz w:val="22"/>
          <w:szCs w:val="22"/>
        </w:rPr>
        <w:t xml:space="preserve">Option B - Start a NEW special pallet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002880"/>
          <w:sz w:val="22"/>
          <w:szCs w:val="22"/>
        </w:rPr>
        <w:t xml:space="preserve">Step 6  </w:t>
      </w:r>
      <w:r>
        <w:rPr>
          <w:rFonts w:ascii="Arial" w:cs="Arial" w:eastAsia="Arial" w:hAnsi="Arial"/>
          <w:b/>
          <w:bCs/>
          <w:color w:val="001B57"/>
          <w:sz w:val="22"/>
          <w:szCs w:val="22"/>
        </w:rPr>
        <w:t xml:space="preserve">· Fill the three details</w:t>
      </w:r>
    </w:p>
    <w:p>
      <w:pPr>
        <w:spacing w:after="120" w:line="268"/>
      </w:pPr>
      <w:r>
        <w:rPr>
          <w:rFonts w:ascii="Arial" w:cs="Arial" w:eastAsia="Arial" w:hAnsi="Arial"/>
          <w:color w:val="1E1E1E"/>
          <w:sz w:val="21"/>
          <w:szCs w:val="21"/>
        </w:rPr>
        <w:t xml:space="preserve">Choose Start a NEW special pallet, then fill all three: PSI Type, New Empty Pallet, and New Location. Click Confirm - the pallet is created and assigned to the line. A new special pallet counts as one received pallet (+1).</w:t>
      </w:r>
    </w:p>
    <w:p>
      <w:pPr>
        <w:spacing w:after="40" w:before="40"/>
        <w:jc w:val="center"/>
      </w:pPr>
      <w:r>
        <w:drawing>
          <wp:inline distT="0" distB="0" distL="0" distR="0">
            <wp:extent cx="4953000" cy="1838325"/>
            <wp:effectExtent t="0" r="0" b="0" l="0"/>
            <wp:docPr id="1" name="04B-04_new_special.png" descr="04B-04_new_special.png" title="04B-04_new_speci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Figure 4.7 - Starting a new special pallet.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002880"/>
          <w:sz w:val="22"/>
          <w:szCs w:val="22"/>
        </w:rPr>
        <w:t xml:space="preserve">Step 7  </w:t>
      </w:r>
      <w:r>
        <w:rPr>
          <w:rFonts w:ascii="Arial" w:cs="Arial" w:eastAsia="Arial" w:hAnsi="Arial"/>
          <w:b/>
          <w:bCs/>
          <w:color w:val="001B57"/>
          <w:sz w:val="22"/>
          <w:szCs w:val="22"/>
        </w:rPr>
        <w:t xml:space="preserve">· Confirmation</w:t>
      </w:r>
    </w:p>
    <w:p>
      <w:pPr>
        <w:spacing w:after="120" w:line="268"/>
      </w:pPr>
      <w:r>
        <w:rPr>
          <w:rFonts w:ascii="Arial" w:cs="Arial" w:eastAsia="Arial" w:hAnsi="Arial"/>
          <w:color w:val="1E1E1E"/>
          <w:sz w:val="21"/>
          <w:szCs w:val="21"/>
        </w:rPr>
        <w:t xml:space="preserve">A notification confirms the new pallet, and the line now shows Un-merge on it.</w:t>
      </w:r>
    </w:p>
    <w:p>
      <w:pPr>
        <w:spacing w:after="40" w:before="40"/>
        <w:jc w:val="center"/>
      </w:pPr>
      <w:r>
        <w:drawing>
          <wp:inline distT="0" distB="0" distL="0" distR="0">
            <wp:extent cx="5676900" cy="1695450"/>
            <wp:effectExtent t="0" r="0" b="0" l="0"/>
            <wp:docPr id="1" name="04B-05_result.png" descr="04B-05_result.png" title="04B-05_resul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Figure 4.8 - The new special pallet created and assigned to the line.</w:t>
      </w:r>
    </w:p>
    <w:p>
      <w:pPr>
        <w:pStyle w:val="Heading2"/>
      </w:pPr>
      <w:r>
        <w:rPr>
          <w:rFonts w:ascii="Arial" w:cs="Arial" w:eastAsia="Arial" w:hAnsi="Arial"/>
        </w:rPr>
        <w:t xml:space="preserve">4.4  Un-merge</w:t>
      </w:r>
    </w:p>
    <w:p>
      <w:pPr>
        <w:spacing w:after="120" w:line="268"/>
      </w:pPr>
      <w:r>
        <w:rPr>
          <w:rFonts w:ascii="Arial" w:cs="Arial" w:eastAsia="Arial" w:hAnsi="Arial"/>
          <w:color w:val="1E1E1E"/>
          <w:sz w:val="21"/>
          <w:szCs w:val="21"/>
        </w:rPr>
        <w:t xml:space="preserve">Any merged line can be reversed. Click Un-merge on the line - its original Pallet Series comes back, and the pallet count self-corrects.</w:t>
      </w:r>
    </w:p>
    <w:p>
      <w:pPr>
        <w:spacing w:after="60" w:before="140"/>
      </w:pPr>
      <w:r>
        <w:rPr>
          <w:rFonts w:ascii="Arial" w:cs="Arial" w:eastAsia="Arial" w:hAnsi="Arial"/>
          <w:b/>
          <w:bCs/>
          <w:color w:val="002880"/>
          <w:sz w:val="22"/>
          <w:szCs w:val="22"/>
        </w:rPr>
        <w:t xml:space="preserve">Step 8  </w:t>
      </w:r>
      <w:r>
        <w:rPr>
          <w:rFonts w:ascii="Arial" w:cs="Arial" w:eastAsia="Arial" w:hAnsi="Arial"/>
          <w:b/>
          <w:bCs/>
          <w:color w:val="001B57"/>
          <w:sz w:val="22"/>
          <w:szCs w:val="22"/>
        </w:rPr>
        <w:t xml:space="preserve">· Click Un-merge</w:t>
      </w:r>
    </w:p>
    <w:p>
      <w:pPr>
        <w:spacing w:after="40" w:before="40"/>
        <w:jc w:val="center"/>
      </w:pPr>
      <w:r>
        <w:drawing>
          <wp:inline distT="0" distB="0" distL="0" distR="0">
            <wp:extent cx="3429000" cy="876300"/>
            <wp:effectExtent t="0" r="0" b="0" l="0"/>
            <wp:docPr id="1" name="04C_unmerge.png" descr="04C_unmerge.png" title="04C_unmer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Figure 4.9 - Un-merge returns the line's original pallet.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2880" w:sz="14"/>
              <w:left w:val="single" w:color="C9CFE4" w:sz="1"/>
              <w:bottom w:val="single" w:color="C9CFE4" w:sz="1"/>
              <w:right w:val="single" w:color="C9CFE4" w:sz="1"/>
            </w:tcBorders>
            <w:shd w:fill="EEF1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aps/>
                <w:color w:val="002880"/>
                <w:sz w:val="20"/>
                <w:szCs w:val="20"/>
              </w:rPr>
              <w:t xml:space="preserve">What's next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Chapter 5 - Withdrawal &amp; Pallet Counting.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Chapter 5 · Withdrawal &amp; Pallet Counting</w:t>
      </w:r>
    </w:p>
    <w:p>
      <w:pPr>
        <w:spacing w:after="120" w:line="268"/>
      </w:pPr>
      <w:r>
        <w:rPr>
          <w:rFonts w:ascii="Arial" w:cs="Arial" w:eastAsia="Arial" w:hAnsi="Arial"/>
          <w:color w:val="1E1E1E"/>
          <w:sz w:val="21"/>
          <w:szCs w:val="21"/>
        </w:rPr>
        <w:t xml:space="preserve">Withdrawing merged stock is done exactly like any other withdrawal - the merge feature adds no extra steps here. What is worth knowing is how a merge pallet is counted on your printouts, and that the Lot No., Batch #, and Prodcode stay visible when you withdraw.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2880" w:sz="14"/>
              <w:left w:val="single" w:color="C9CFE4" w:sz="1"/>
              <w:bottom w:val="single" w:color="C9CFE4" w:sz="1"/>
              <w:right w:val="single" w:color="C9CFE4" w:sz="1"/>
            </w:tcBorders>
            <w:shd w:fill="EEF1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aps/>
                <w:color w:val="002880"/>
                <w:sz w:val="20"/>
                <w:szCs w:val="20"/>
              </w:rPr>
              <w:t xml:space="preserve">Who does this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Responsible role: Documentation Staff encode withdrawals (WR) - the same as any withdrawal.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5.1  How pallets are counted</w:t>
      </w:r>
    </w:p>
    <w:p>
      <w:pPr>
        <w:spacing w:after="120" w:line="268"/>
      </w:pPr>
      <w:r>
        <w:rPr>
          <w:rFonts w:ascii="Arial" w:cs="Arial" w:eastAsia="Arial" w:hAnsi="Arial"/>
          <w:color w:val="1E1E1E"/>
          <w:sz w:val="21"/>
          <w:szCs w:val="21"/>
        </w:rPr>
        <w:t xml:space="preserve">One physical pallet is always counted once. This table shows how each scenario is counted on the receiving and withdrawal printouts.</w:t>
      </w:r>
    </w:p>
    <w:p>
      <w:pPr>
        <w:spacing w:after="4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60"/>
        <w:gridCol w:w="2600"/>
      </w:tblGrid>
      <w:tr>
        <w:trPr>
          <w:tblHeader/>
        </w:trPr>
        <w:tc>
          <w:tcPr>
            <w:tcW w:type="dxa" w:w="6760"/>
            <w:tcBorders>
              <w:top w:val="single" w:color="C9CFE4" w:sz="1"/>
              <w:left w:val="single" w:color="C9CFE4" w:sz="1"/>
              <w:bottom w:val="single" w:color="C9CFE4" w:sz="1"/>
              <w:right w:val="single" w:color="C9CFE4" w:sz="1"/>
            </w:tcBorders>
            <w:shd w:fill="E9EC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/>
                <w:bCs/>
                <w:color w:val="002880"/>
                <w:sz w:val="20"/>
                <w:szCs w:val="20"/>
              </w:rPr>
              <w:t xml:space="preserve">Scenario</w:t>
            </w:r>
          </w:p>
        </w:tc>
        <w:tc>
          <w:tcPr>
            <w:tcW w:type="dxa" w:w="2600"/>
            <w:tcBorders>
              <w:top w:val="single" w:color="C9CFE4" w:sz="1"/>
              <w:left w:val="single" w:color="C9CFE4" w:sz="1"/>
              <w:bottom w:val="single" w:color="C9CFE4" w:sz="1"/>
              <w:right w:val="single" w:color="C9CFE4" w:sz="1"/>
            </w:tcBorders>
            <w:shd w:fill="E9ECF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002880"/>
                <w:sz w:val="20"/>
                <w:szCs w:val="20"/>
              </w:rPr>
              <w:t xml:space="preserve">Counts as</w:t>
            </w:r>
          </w:p>
        </w:tc>
      </w:tr>
      <w:tr>
        <w:trPr>
          <w:tblHeader w:val="false"/>
        </w:trPr>
        <w:tc>
          <w:tcPr>
            <w:tcW w:type="dxa" w:w="6760"/>
            <w:tcBorders>
              <w:top w:val="single" w:color="C9CFE4" w:sz="1"/>
              <w:left w:val="single" w:color="C9CFE4" w:sz="1"/>
              <w:bottom w:val="single" w:color="C9CFE4" w:sz="1"/>
              <w:right w:val="single" w:color="C9CF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Receiving - merge onto a pallet that already holds stock</w:t>
            </w:r>
          </w:p>
        </w:tc>
        <w:tc>
          <w:tcPr>
            <w:tcW w:type="dxa" w:w="2600"/>
            <w:tcBorders>
              <w:top w:val="single" w:color="C9CFE4" w:sz="1"/>
              <w:left w:val="single" w:color="C9CFE4" w:sz="1"/>
              <w:bottom w:val="single" w:color="C9CFE4" w:sz="1"/>
              <w:right w:val="single" w:color="C9CF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002880"/>
                <w:sz w:val="20"/>
                <w:szCs w:val="20"/>
              </w:rPr>
              <w:t xml:space="preserve">+0  (no new pallet)</w:t>
            </w:r>
          </w:p>
        </w:tc>
      </w:tr>
      <w:tr>
        <w:trPr>
          <w:tblHeader w:val="false"/>
        </w:trPr>
        <w:tc>
          <w:tcPr>
            <w:tcW w:type="dxa" w:w="6760"/>
            <w:tcBorders>
              <w:top w:val="single" w:color="C9CFE4" w:sz="1"/>
              <w:left w:val="single" w:color="C9CFE4" w:sz="1"/>
              <w:bottom w:val="single" w:color="C9CFE4" w:sz="1"/>
              <w:right w:val="single" w:color="C9CFE4" w:sz="1"/>
            </w:tcBorders>
            <w:shd w:fill="F5F7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Receiving - first stock on an empty pallet, or a new special pallet</w:t>
            </w:r>
          </w:p>
        </w:tc>
        <w:tc>
          <w:tcPr>
            <w:tcW w:type="dxa" w:w="2600"/>
            <w:tcBorders>
              <w:top w:val="single" w:color="C9CFE4" w:sz="1"/>
              <w:left w:val="single" w:color="C9CFE4" w:sz="1"/>
              <w:bottom w:val="single" w:color="C9CFE4" w:sz="1"/>
              <w:right w:val="single" w:color="C9CFE4" w:sz="1"/>
            </w:tcBorders>
            <w:shd w:fill="F5F7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+1</w:t>
            </w:r>
          </w:p>
        </w:tc>
      </w:tr>
      <w:tr>
        <w:trPr>
          <w:tblHeader w:val="false"/>
        </w:trPr>
        <w:tc>
          <w:tcPr>
            <w:tcW w:type="dxa" w:w="6760"/>
            <w:tcBorders>
              <w:top w:val="single" w:color="C9CFE4" w:sz="1"/>
              <w:left w:val="single" w:color="C9CFE4" w:sz="1"/>
              <w:bottom w:val="single" w:color="C9CFE4" w:sz="1"/>
              <w:right w:val="single" w:color="C9CF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Withdrawal - partial (stock still left on the pallet)</w:t>
            </w:r>
          </w:p>
        </w:tc>
        <w:tc>
          <w:tcPr>
            <w:tcW w:type="dxa" w:w="2600"/>
            <w:tcBorders>
              <w:top w:val="single" w:color="C9CFE4" w:sz="1"/>
              <w:left w:val="single" w:color="C9CFE4" w:sz="1"/>
              <w:bottom w:val="single" w:color="C9CFE4" w:sz="1"/>
              <w:right w:val="single" w:color="C9CFE4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002880"/>
                <w:sz w:val="20"/>
                <w:szCs w:val="20"/>
              </w:rPr>
              <w:t xml:space="preserve">−0  (pallet stays)</w:t>
            </w:r>
          </w:p>
        </w:tc>
      </w:tr>
      <w:tr>
        <w:trPr>
          <w:tblHeader w:val="false"/>
        </w:trPr>
        <w:tc>
          <w:tcPr>
            <w:tcW w:type="dxa" w:w="6760"/>
            <w:tcBorders>
              <w:top w:val="single" w:color="C9CFE4" w:sz="1"/>
              <w:left w:val="single" w:color="C9CFE4" w:sz="1"/>
              <w:bottom w:val="single" w:color="C9CFE4" w:sz="1"/>
              <w:right w:val="single" w:color="C9CFE4" w:sz="1"/>
            </w:tcBorders>
            <w:shd w:fill="F5F7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52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Withdrawal - full (pallet emptied)</w:t>
            </w:r>
          </w:p>
        </w:tc>
        <w:tc>
          <w:tcPr>
            <w:tcW w:type="dxa" w:w="2600"/>
            <w:tcBorders>
              <w:top w:val="single" w:color="C9CFE4" w:sz="1"/>
              <w:left w:val="single" w:color="C9CFE4" w:sz="1"/>
              <w:bottom w:val="single" w:color="C9CFE4" w:sz="1"/>
              <w:right w:val="single" w:color="C9CFE4" w:sz="1"/>
            </w:tcBorders>
            <w:shd w:fill="F5F7FC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−1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p>
      <w:pPr>
        <w:spacing w:after="120" w:line="268"/>
      </w:pPr>
      <w:r>
        <w:rPr>
          <w:rFonts w:ascii="Arial" w:cs="Arial" w:eastAsia="Arial" w:hAnsi="Arial"/>
          <w:color w:val="1E1E1E"/>
          <w:sz w:val="21"/>
          <w:szCs w:val="21"/>
        </w:rPr>
        <w:t xml:space="preserve">If a shared pallet is split across several trucks, it is counted on the withdrawal that empties it - not on the first truck that draws from it.</w:t>
      </w:r>
    </w:p>
    <w:p>
      <w:pPr>
        <w:pStyle w:val="Heading2"/>
      </w:pPr>
      <w:r>
        <w:rPr>
          <w:rFonts w:ascii="Arial" w:cs="Arial" w:eastAsia="Arial" w:hAnsi="Arial"/>
        </w:rPr>
        <w:t xml:space="preserve">5.2  Lot No., Batch # &amp; Prodcode on the withdrawal</w:t>
      </w:r>
    </w:p>
    <w:p>
      <w:pPr>
        <w:spacing w:after="120" w:line="268"/>
      </w:pPr>
      <w:r>
        <w:rPr>
          <w:rFonts w:ascii="Arial" w:cs="Arial" w:eastAsia="Arial" w:hAnsi="Arial"/>
          <w:color w:val="1E1E1E"/>
          <w:sz w:val="21"/>
          <w:szCs w:val="21"/>
        </w:rPr>
        <w:t xml:space="preserve">When you withdraw, the Lot No. and the stored Prodcode (which already includes the Batch #) are shown, read-only, on the withdrawal's Pallet Breakdown, so the same identifiers follow the stock all the way out.</w:t>
      </w:r>
    </w:p>
    <w:p>
      <w:pPr>
        <w:spacing w:after="40" w:before="40"/>
        <w:jc w:val="center"/>
      </w:pPr>
      <w:r>
        <w:drawing>
          <wp:inline distT="0" distB="0" distL="0" distR="0">
            <wp:extent cx="5676900" cy="1152525"/>
            <wp:effectExtent t="0" r="0" b="0" l="0"/>
            <wp:docPr id="1" name="05_wr_readonly.png" descr="05_wr_readonly.png" title="05_wr_readonl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Arial" w:cs="Arial" w:eastAsia="Arial" w:hAnsi="Arial"/>
          <w:i/>
          <w:iCs/>
          <w:color w:val="5A5A5A"/>
          <w:sz w:val="17"/>
          <w:szCs w:val="17"/>
        </w:rPr>
        <w:t xml:space="preserve">Figure 5.1 - Lot No. and Prodcode shown (read-only) on a withdrawal.</w:t>
      </w:r>
    </w:p>
    <w:p>
      <w:pPr>
        <w:spacing w:after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2880" w:sz="14"/>
              <w:left w:val="single" w:color="C9CFE4" w:sz="1"/>
              <w:bottom w:val="single" w:color="C9CFE4" w:sz="1"/>
              <w:right w:val="single" w:color="C9CFE4" w:sz="1"/>
            </w:tcBorders>
            <w:shd w:fill="EEF1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aps/>
                <w:color w:val="002880"/>
                <w:sz w:val="20"/>
                <w:szCs w:val="20"/>
              </w:rPr>
              <w:t xml:space="preserve">That's the whole 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Client Configuration → Lot / Batch encoding → Merge on receiving → Withdrawal &amp; counting.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line="252"/>
            </w:pPr>
            <w:r>
              <w:rPr>
                <w:rFonts w:ascii="Arial" w:cs="Arial" w:eastAsia="Arial" w:hAnsi="Arial"/>
                <w:color w:val="1E1E1E"/>
                <w:sz w:val="20"/>
                <w:szCs w:val="20"/>
              </w:rPr>
              <w:t xml:space="preserve">One physical pallet, counted once - from receiving all the way to withdrawal.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260" w:left="144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2880" w:sz="6" w:space="4"/>
      </w:pBdr>
      <w:tabs>
        <w:tab w:val="right" w:pos="9360"/>
      </w:tabs>
      <w:spacing w:before="40"/>
    </w:pPr>
    <w:r>
      <w:rPr>
        <w:rFonts w:ascii="Arial" w:cs="Arial" w:eastAsia="Arial" w:hAnsi="Arial"/>
        <w:color w:val="5A5A5A"/>
        <w:sz w:val="15"/>
        <w:szCs w:val="15"/>
      </w:rPr>
      <w:t xml:space="preserve">© 2026 Elyon Solutions International Inc.</w:t>
    </w:r>
    <w:r>
      <w:rPr>
        <w:rFonts w:ascii="Arial" w:cs="Arial" w:eastAsia="Arial" w:hAnsi="Arial"/>
        <w:color w:val="5A5A5A"/>
        <w:sz w:val="15"/>
        <w:szCs w:val="15"/>
      </w:rPr>
      <w:t xml:space="preserve">	Page </w:t>
    </w:r>
    <w:r>
      <w:rPr>
        <w:rFonts w:ascii="Arial" w:cs="Arial" w:eastAsia="Arial" w:hAnsi="Arial"/>
        <w:color w:val="5A5A5A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2880" w:sz="6" w:space="4"/>
      </w:pBdr>
      <w:tabs>
        <w:tab w:val="right" w:pos="9360"/>
      </w:tabs>
      <w:spacing w:after="60"/>
    </w:pPr>
    <w:r>
      <w:rPr>
        <w:rFonts w:ascii="Arial" w:cs="Arial" w:eastAsia="Arial" w:hAnsi="Arial"/>
        <w:b/>
        <w:bCs/>
        <w:color w:val="002880"/>
        <w:sz w:val="16"/>
        <w:szCs w:val="16"/>
      </w:rPr>
      <w:t xml:space="preserve">Merge Pallet - User Manual</w:t>
    </w:r>
    <w:r>
      <w:rPr>
        <w:rFonts w:ascii="Arial" w:cs="Arial" w:eastAsia="Arial" w:hAnsi="Arial"/>
        <w:color w:val="5A5A5A"/>
        <w:sz w:val="16"/>
        <w:szCs w:val="16"/>
      </w:rPr>
      <w:t xml:space="preserve">	Elyon Solutions × Vifel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20"/>
      </w:pPr>
      <w:rPr>
        <w:color w:val="00288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1E1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CFE4" w:sz="8" w:space="6"/>
      </w:pBdr>
      <w:spacing w:after="160" w:before="300"/>
      <w:outlineLvl w:val="0"/>
    </w:pPr>
    <w:rPr>
      <w:rFonts w:ascii="Arial" w:cs="Arial" w:eastAsia="Arial" w:hAnsi="Arial"/>
      <w:b/>
      <w:bCs/>
      <w:color w:val="00288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01B5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12ec40aa0e2de45bfa856140d68d0ffa52df2e2.png"/><Relationship Id="rId10" Type="http://schemas.openxmlformats.org/officeDocument/2006/relationships/image" Target="media/cd1a07b1ff8f7c4c08edff28560fc2755f29f183.png"/><Relationship Id="rId11" Type="http://schemas.openxmlformats.org/officeDocument/2006/relationships/image" Target="media/f8c03e60f1c126cabab2bca43ccbb245bf1574ee.png"/><Relationship Id="rId12" Type="http://schemas.openxmlformats.org/officeDocument/2006/relationships/image" Target="media/9898e07e820eeab621f86212d78f5d9fa705052c.png"/><Relationship Id="rId13" Type="http://schemas.openxmlformats.org/officeDocument/2006/relationships/image" Target="media/92addea6a367e6fc97d06fe914e922e0c8d3f1fa.png"/><Relationship Id="rId14" Type="http://schemas.openxmlformats.org/officeDocument/2006/relationships/image" Target="media/62c2b57d61bb0aa6e233ac5400ecaa9434803654.png"/><Relationship Id="rId15" Type="http://schemas.openxmlformats.org/officeDocument/2006/relationships/image" Target="media/fc3580d9b60215390820d67fb10dcbb9758558cd.png"/><Relationship Id="rId16" Type="http://schemas.openxmlformats.org/officeDocument/2006/relationships/image" Target="media/8d5e87ef9ae3e90d9764e80c50c79684f1e128e6.png"/><Relationship Id="rId17" Type="http://schemas.openxmlformats.org/officeDocument/2006/relationships/image" Target="media/f7499f79d92f589ae0d6298d75ca994d3bfbc734.png"/><Relationship Id="rId18" Type="http://schemas.openxmlformats.org/officeDocument/2006/relationships/image" Target="media/1f68eefaea57ee7e5db5abccf8a33a12df7836e4.png"/><Relationship Id="rId19" Type="http://schemas.openxmlformats.org/officeDocument/2006/relationships/image" Target="media/bef4ce53ba0182786216aa5e3444c5a714f343bb.png"/><Relationship Id="rId20" Type="http://schemas.openxmlformats.org/officeDocument/2006/relationships/image" Target="media/85eab101df76efeb6f978c5953b84c482ec90bd1.png"/><Relationship Id="rId21" Type="http://schemas.openxmlformats.org/officeDocument/2006/relationships/image" Target="media/c3d6bdbc0a59575f765836904f719d9f9ef9024a.png"/><Relationship Id="rId22" Type="http://schemas.openxmlformats.org/officeDocument/2006/relationships/image" Target="media/e921d0b196f1581c0195a54b5b3188ecb5eb095b.png"/><Relationship Id="rId23" Type="http://schemas.openxmlformats.org/officeDocument/2006/relationships/image" Target="media/c7505611d465549d654a536a5dce80d2f6915b0e.png"/><Relationship Id="rId24" Type="http://schemas.openxmlformats.org/officeDocument/2006/relationships/image" Target="media/7b1b6245fc52c38282a6d053ab4984776d697ad9.png"/><Relationship Id="rId25" Type="http://schemas.openxmlformats.org/officeDocument/2006/relationships/image" Target="media/abbc3e7303c6a777866f27972b7eb452cd16b1e3.png"/><Relationship Id="rId26" Type="http://schemas.openxmlformats.org/officeDocument/2006/relationships/image" Target="media/92ec589e44375e82b7b767fea6ad10331feabcf5.png"/><Relationship Id="rId27" Type="http://schemas.openxmlformats.org/officeDocument/2006/relationships/image" Target="media/ad84e0f9b97de4f452b820f693e677cc3a6e5c85.png"/><Relationship Id="rId28" Type="http://schemas.openxmlformats.org/officeDocument/2006/relationships/image" Target="media/4d5ce9a34973420ada47303283e6cdef2170f67b.png"/><Relationship Id="rId29" Type="http://schemas.openxmlformats.org/officeDocument/2006/relationships/image" Target="media/3fe7b60d955dddb34d3b84ff0e71ef3d2db05642.png"/><Relationship Id="rId30" Type="http://schemas.openxmlformats.org/officeDocument/2006/relationships/image" Target="media/1fcd3ca641553ca062a076fb092dd5f7698bf8f0.png"/><Relationship Id="rId31" Type="http://schemas.openxmlformats.org/officeDocument/2006/relationships/image" Target="media/b6165a253f472ee5ad44d6753ba1c9e34cf57e5a.png"/><Relationship Id="rId32" Type="http://schemas.openxmlformats.org/officeDocument/2006/relationships/image" Target="media/d9e9fb1a92fff947e013014e0b6b841518163500.png"/><Relationship Id="rId33" Type="http://schemas.openxmlformats.org/officeDocument/2006/relationships/image" Target="media/42b35bb100427be3fa6f56e9cbe5c073ba110261.png"/><Relationship Id="rId34" Type="http://schemas.openxmlformats.org/officeDocument/2006/relationships/image" Target="media/2632d158b311f8fd3e0df247111bb5d67f48aee2.png"/><Relationship Id="rId35" Type="http://schemas.openxmlformats.org/officeDocument/2006/relationships/image" Target="media/530bf12dc8601f144acc251ec14493a659fde499.png"/><Relationship Id="rId36" Type="http://schemas.openxmlformats.org/officeDocument/2006/relationships/image" Target="media/c24d95b095ee97e797242bfac801537884dc6375.png"/><Relationship Id="rId37" Type="http://schemas.openxmlformats.org/officeDocument/2006/relationships/image" Target="media/ba3749237d015a90c4d31f7f9801a1b5c5b1ccb4.png"/><Relationship Id="rId38" Type="http://schemas.openxmlformats.org/officeDocument/2006/relationships/image" Target="media/80585571de59934552336486e0641ae29a76f654.png"/><Relationship Id="rId39" Type="http://schemas.openxmlformats.org/officeDocument/2006/relationships/image" Target="media/032e1e934253a4ac16ea12113ff6e8af095ed1dc.png"/><Relationship Id="rId4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Pallet Merge Enhancement - User Manual</dc:title>
  <dc:creator>Elyon Solutions International Inc.</dc:creator>
  <cp:lastModifiedBy>Un-named</cp:lastModifiedBy>
  <cp:revision>1</cp:revision>
  <dcterms:created xsi:type="dcterms:W3CDTF">2026-08-04T18:14:06.479Z</dcterms:created>
  <dcterms:modified xsi:type="dcterms:W3CDTF">2026-08-04T18:14:06.479Z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