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1780"/>
      </w:tblGrid>
      <w:tr w:rsidR="00DD411E" w:rsidRPr="00DD411E" w:rsidTr="00DD411E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</w:pPr>
            <w:r w:rsidRPr="00A3082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u w:val="single"/>
                <w:lang w:eastAsia="fr-FR"/>
              </w:rPr>
              <w:t>DOC N°9</w:t>
            </w: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fr-FR"/>
              </w:rPr>
              <w:t>: Fiche de détermination du niveau de risques</w:t>
            </w:r>
          </w:p>
        </w:tc>
      </w:tr>
      <w:tr w:rsidR="00DD411E" w:rsidRPr="00DD411E" w:rsidTr="00DD411E">
        <w:trPr>
          <w:trHeight w:val="300"/>
        </w:trPr>
        <w:tc>
          <w:tcPr>
            <w:tcW w:w="13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11E" w:rsidRPr="00DD411E" w:rsidRDefault="00DD411E" w:rsidP="00DD4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(Date de mise à jour: 25 Aout 2021)</w:t>
            </w:r>
          </w:p>
        </w:tc>
      </w:tr>
    </w:tbl>
    <w:p w:rsidR="00AB05C5" w:rsidRDefault="00AB05C5" w:rsidP="00AB05C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AB05C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2764"/>
        <w:tblW w:w="13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3560"/>
        <w:gridCol w:w="2008"/>
        <w:gridCol w:w="2026"/>
        <w:gridCol w:w="1626"/>
        <w:gridCol w:w="2560"/>
      </w:tblGrid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Processus</w:t>
            </w:r>
          </w:p>
        </w:tc>
        <w:tc>
          <w:tcPr>
            <w:tcW w:w="3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Sous processus</w:t>
            </w:r>
          </w:p>
        </w:tc>
        <w:tc>
          <w:tcPr>
            <w:tcW w:w="5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Niveau de risques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Commentaires éventuels</w:t>
            </w: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3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Elevé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I- Organisation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Activités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Gouvernance &amp; Organigramme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Définitions de fonctions (rôles et responsabilités)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4. Gestion de la clientèle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5. Gestion de la trésorerie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6. Gestion des autres actifs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7. Gestion des fournisseurs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8. Gestion des autres passifs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 Historique fiscal et social du client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10. Organisation comptable</w:t>
            </w:r>
          </w:p>
        </w:tc>
        <w:tc>
          <w:tcPr>
            <w:tcW w:w="2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II- Documentation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Lois &amp; Règlements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Procédures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III- Système d'information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Matériel informatique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Logiciel Informatique utilisé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Sécurité informatique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E170E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Total des </w:t>
            </w:r>
            <w:r w:rsidR="00AB05C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Fréquence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Fréquence</w:t>
            </w:r>
            <w:r w:rsidR="00E170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en %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AB05C5" w:rsidRPr="00DD411E" w:rsidTr="00F67E80">
        <w:trPr>
          <w:trHeight w:val="2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SYNTHESE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05C5" w:rsidRPr="00DD411E" w:rsidRDefault="00AB05C5" w:rsidP="00F67E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</w:tbl>
    <w:p w:rsidR="00DD411E" w:rsidRPr="00AB05C5" w:rsidRDefault="00832A21" w:rsidP="00E170E5">
      <w:pPr>
        <w:tabs>
          <w:tab w:val="left" w:pos="3633"/>
        </w:tabs>
        <w:rPr>
          <w:rFonts w:ascii="Times New Roman" w:hAnsi="Times New Roman" w:cs="Times New Roman"/>
          <w:sz w:val="24"/>
          <w:szCs w:val="24"/>
        </w:rPr>
        <w:sectPr w:rsidR="00DD411E" w:rsidRPr="00AB05C5" w:rsidSect="00DD411E">
          <w:footerReference w:type="default" r:id="rId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u w:val="single"/>
        </w:rPr>
        <w:t>Nota bene</w:t>
      </w:r>
      <w:r>
        <w:rPr>
          <w:rFonts w:ascii="Times New Roman" w:hAnsi="Times New Roman" w:cs="Times New Roman"/>
          <w:sz w:val="24"/>
          <w:szCs w:val="24"/>
        </w:rPr>
        <w:t> : Vous trouverez à la page 2 ci-après le mode d’emploi du tableau ci-dessus</w:t>
      </w:r>
      <w:r>
        <w:t>.</w:t>
      </w:r>
    </w:p>
    <w:p w:rsidR="009C345D" w:rsidRDefault="00AB05C5" w:rsidP="00C66D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 D’EMPLOI</w:t>
      </w:r>
      <w:r w:rsidR="00C66DE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DU DOCUMENT N°9</w:t>
      </w:r>
    </w:p>
    <w:p w:rsidR="00AB05C5" w:rsidRPr="00AB05C5" w:rsidRDefault="00AB05C5" w:rsidP="00E170E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(Fiche de détermination du niveau de risque)</w:t>
      </w:r>
    </w:p>
    <w:p w:rsidR="00AB05C5" w:rsidRDefault="00832A21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document est à utiliser lors de l’entretien de prise de connaissance avec l’entreprise.</w:t>
      </w:r>
    </w:p>
    <w:p w:rsidR="00A3082C" w:rsidRPr="00AB05C5" w:rsidRDefault="00A3082C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I- Organisation</w:t>
      </w:r>
    </w:p>
    <w:p w:rsidR="00AB05C5" w:rsidRDefault="00AB05C5" w:rsidP="00E170E5">
      <w:pPr>
        <w:pStyle w:val="Paragraphedeliste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5B1274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Activités : il s’agira d’appréhender les risques autour de l’activité de l’entreprise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, </w:t>
      </w:r>
      <w:r w:rsidR="00E170E5">
        <w:rPr>
          <w:rFonts w:ascii="Times New Roman" w:hAnsi="Times New Roman" w:cs="Times New Roman"/>
          <w:sz w:val="24"/>
          <w:szCs w:val="24"/>
        </w:rPr>
        <w:t>spécificités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 du marché, obsolescence et conditions technologiques…</w:t>
      </w:r>
    </w:p>
    <w:p w:rsid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5B1274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0E5">
        <w:rPr>
          <w:rFonts w:ascii="Times New Roman" w:hAnsi="Times New Roman" w:cs="Times New Roman"/>
          <w:sz w:val="24"/>
          <w:szCs w:val="24"/>
        </w:rPr>
        <w:t xml:space="preserve">Gouvernance &amp; Organigramme : </w:t>
      </w:r>
      <w:r w:rsidR="007E34E9" w:rsidRPr="00E170E5">
        <w:rPr>
          <w:rFonts w:ascii="Times New Roman" w:hAnsi="Times New Roman" w:cs="Times New Roman"/>
          <w:sz w:val="24"/>
          <w:szCs w:val="24"/>
        </w:rPr>
        <w:t>l’</w:t>
      </w:r>
      <w:r w:rsidR="00517E6D" w:rsidRPr="00E170E5">
        <w:rPr>
          <w:rFonts w:ascii="Times New Roman" w:hAnsi="Times New Roman" w:cs="Times New Roman"/>
          <w:sz w:val="24"/>
          <w:szCs w:val="24"/>
        </w:rPr>
        <w:t>utilisateur de ce docu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ment doit chercher un lien entre ces deux termes c’est-à-dire </w:t>
      </w:r>
      <w:proofErr w:type="gramStart"/>
      <w:r w:rsidR="00E170E5" w:rsidRPr="00E170E5">
        <w:rPr>
          <w:rFonts w:ascii="Times New Roman" w:hAnsi="Times New Roman" w:cs="Times New Roman"/>
          <w:sz w:val="24"/>
          <w:szCs w:val="24"/>
        </w:rPr>
        <w:t>vérifier</w:t>
      </w:r>
      <w:proofErr w:type="gramEnd"/>
      <w:r w:rsidR="007E34E9" w:rsidRPr="00E170E5">
        <w:rPr>
          <w:rFonts w:ascii="Times New Roman" w:hAnsi="Times New Roman" w:cs="Times New Roman"/>
          <w:sz w:val="24"/>
          <w:szCs w:val="24"/>
        </w:rPr>
        <w:t xml:space="preserve"> si la gouvernance est </w:t>
      </w:r>
      <w:r w:rsidR="006856A6" w:rsidRPr="00E170E5">
        <w:rPr>
          <w:rFonts w:ascii="Times New Roman" w:hAnsi="Times New Roman" w:cs="Times New Roman"/>
          <w:sz w:val="24"/>
          <w:szCs w:val="24"/>
        </w:rPr>
        <w:t>définie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 de man</w:t>
      </w:r>
      <w:r w:rsidR="00366F3B" w:rsidRPr="00E170E5">
        <w:rPr>
          <w:rFonts w:ascii="Times New Roman" w:hAnsi="Times New Roman" w:cs="Times New Roman"/>
          <w:sz w:val="24"/>
          <w:szCs w:val="24"/>
        </w:rPr>
        <w:t>ière cohérente par rapport à l’organigramme</w:t>
      </w:r>
      <w:r w:rsidR="007E34E9" w:rsidRPr="00E170E5">
        <w:rPr>
          <w:rFonts w:ascii="Times New Roman" w:hAnsi="Times New Roman" w:cs="Times New Roman"/>
          <w:sz w:val="24"/>
          <w:szCs w:val="24"/>
        </w:rPr>
        <w:t xml:space="preserve"> de </w:t>
      </w:r>
      <w:r w:rsidR="00370770" w:rsidRPr="00E170E5">
        <w:rPr>
          <w:rFonts w:ascii="Times New Roman" w:hAnsi="Times New Roman" w:cs="Times New Roman"/>
          <w:sz w:val="24"/>
          <w:szCs w:val="24"/>
        </w:rPr>
        <w:t xml:space="preserve">l’entité. </w:t>
      </w:r>
      <w:r w:rsidR="00E170E5" w:rsidRPr="00E170E5">
        <w:rPr>
          <w:rFonts w:ascii="Times New Roman" w:hAnsi="Times New Roman" w:cs="Times New Roman"/>
          <w:sz w:val="24"/>
          <w:szCs w:val="24"/>
        </w:rPr>
        <w:t>Obtenir  l’organigramme formel de l’entreprise</w:t>
      </w:r>
      <w:r w:rsidR="00E170E5">
        <w:rPr>
          <w:rFonts w:ascii="Times New Roman" w:hAnsi="Times New Roman" w:cs="Times New Roman"/>
          <w:sz w:val="24"/>
          <w:szCs w:val="24"/>
        </w:rPr>
        <w:t>, les personnes qui la gouvernent, leurs CV, etc….</w:t>
      </w:r>
    </w:p>
    <w:p w:rsidR="00E170E5" w:rsidRPr="00E170E5" w:rsidRDefault="00E170E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120B66" w:rsidRDefault="00120B66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 xml:space="preserve">Définitions de fonctions (rôles et responsabilités) : </w:t>
      </w:r>
      <w:r w:rsidR="00E170E5">
        <w:rPr>
          <w:rFonts w:ascii="Times New Roman" w:hAnsi="Times New Roman" w:cs="Times New Roman"/>
          <w:sz w:val="24"/>
          <w:szCs w:val="24"/>
        </w:rPr>
        <w:t>vérifiez</w:t>
      </w:r>
      <w:r w:rsidRPr="00AB05C5">
        <w:rPr>
          <w:rFonts w:ascii="Times New Roman" w:hAnsi="Times New Roman" w:cs="Times New Roman"/>
          <w:sz w:val="24"/>
          <w:szCs w:val="24"/>
        </w:rPr>
        <w:t xml:space="preserve"> si des responsabilités sont liées à chaque poste</w:t>
      </w:r>
      <w:r w:rsidR="00832A21">
        <w:rPr>
          <w:rFonts w:ascii="Times New Roman" w:hAnsi="Times New Roman" w:cs="Times New Roman"/>
          <w:sz w:val="24"/>
          <w:szCs w:val="24"/>
        </w:rPr>
        <w:t xml:space="preserve"> et si les postes ou les fonctions sont </w:t>
      </w:r>
      <w:proofErr w:type="gramStart"/>
      <w:r w:rsidR="00832A21">
        <w:rPr>
          <w:rFonts w:ascii="Times New Roman" w:hAnsi="Times New Roman" w:cs="Times New Roman"/>
          <w:sz w:val="24"/>
          <w:szCs w:val="24"/>
        </w:rPr>
        <w:t>dotés</w:t>
      </w:r>
      <w:proofErr w:type="gramEnd"/>
      <w:r w:rsidR="00832A21">
        <w:rPr>
          <w:rFonts w:ascii="Times New Roman" w:hAnsi="Times New Roman" w:cs="Times New Roman"/>
          <w:sz w:val="24"/>
          <w:szCs w:val="24"/>
        </w:rPr>
        <w:t xml:space="preserve"> de cahiers de charges ou de fiches de postes</w:t>
      </w:r>
      <w:r w:rsidR="00E170E5">
        <w:rPr>
          <w:rFonts w:ascii="Times New Roman" w:hAnsi="Times New Roman" w:cs="Times New Roman"/>
          <w:sz w:val="24"/>
          <w:szCs w:val="24"/>
        </w:rPr>
        <w:t>, s’il y a eu des échanges sur ces fiches avec le personnel, etc..</w:t>
      </w:r>
      <w:r w:rsidRPr="00AB05C5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517E6D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Gestion de la clientèle :</w:t>
      </w:r>
      <w:r w:rsidR="00120B66" w:rsidRPr="00AB05C5">
        <w:rPr>
          <w:rFonts w:ascii="Times New Roman" w:hAnsi="Times New Roman" w:cs="Times New Roman"/>
          <w:sz w:val="24"/>
          <w:szCs w:val="24"/>
        </w:rPr>
        <w:t xml:space="preserve"> </w:t>
      </w:r>
      <w:r w:rsidR="006856A6" w:rsidRPr="00AB05C5">
        <w:rPr>
          <w:rFonts w:ascii="Times New Roman" w:hAnsi="Times New Roman" w:cs="Times New Roman"/>
          <w:sz w:val="24"/>
          <w:szCs w:val="24"/>
        </w:rPr>
        <w:t>à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travers la prise de connaissance générale du client, on devra </w:t>
      </w:r>
      <w:r w:rsidR="006856A6" w:rsidRPr="00AB05C5">
        <w:rPr>
          <w:rFonts w:ascii="Times New Roman" w:hAnsi="Times New Roman" w:cs="Times New Roman"/>
          <w:sz w:val="24"/>
          <w:szCs w:val="24"/>
        </w:rPr>
        <w:t>être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en mesure de don</w:t>
      </w:r>
      <w:r w:rsidR="006856A6" w:rsidRPr="00AB05C5">
        <w:rPr>
          <w:rFonts w:ascii="Times New Roman" w:hAnsi="Times New Roman" w:cs="Times New Roman"/>
          <w:sz w:val="24"/>
          <w:szCs w:val="24"/>
        </w:rPr>
        <w:t>ner tous les risques qui tournent</w:t>
      </w:r>
      <w:r w:rsidR="006239CD" w:rsidRPr="00AB05C5">
        <w:rPr>
          <w:rFonts w:ascii="Times New Roman" w:hAnsi="Times New Roman" w:cs="Times New Roman"/>
          <w:sz w:val="24"/>
          <w:szCs w:val="24"/>
        </w:rPr>
        <w:t xml:space="preserve"> autour</w:t>
      </w:r>
      <w:r w:rsidR="00832A21">
        <w:rPr>
          <w:rFonts w:ascii="Times New Roman" w:hAnsi="Times New Roman" w:cs="Times New Roman"/>
          <w:sz w:val="24"/>
          <w:szCs w:val="24"/>
        </w:rPr>
        <w:t xml:space="preserve"> de la gestion de la clientèle de l’entreprise : les procédures de vente et de règlements des clients dans l’entreprise</w:t>
      </w:r>
      <w:r w:rsidR="00E170E5">
        <w:rPr>
          <w:rFonts w:ascii="Times New Roman" w:hAnsi="Times New Roman" w:cs="Times New Roman"/>
          <w:sz w:val="24"/>
          <w:szCs w:val="24"/>
        </w:rPr>
        <w:t>. Recenser l</w:t>
      </w:r>
      <w:r w:rsidR="00832A21">
        <w:rPr>
          <w:rFonts w:ascii="Times New Roman" w:hAnsi="Times New Roman" w:cs="Times New Roman"/>
          <w:sz w:val="24"/>
          <w:szCs w:val="24"/>
        </w:rPr>
        <w:t>es principaux clients</w:t>
      </w:r>
      <w:r w:rsidR="00E170E5">
        <w:rPr>
          <w:rFonts w:ascii="Times New Roman" w:hAnsi="Times New Roman" w:cs="Times New Roman"/>
          <w:sz w:val="24"/>
          <w:szCs w:val="24"/>
        </w:rPr>
        <w:t xml:space="preserve"> de l’entreprise,</w:t>
      </w:r>
      <w:r w:rsidR="007D5EDB">
        <w:rPr>
          <w:rFonts w:ascii="Times New Roman" w:hAnsi="Times New Roman" w:cs="Times New Roman"/>
          <w:sz w:val="24"/>
          <w:szCs w:val="24"/>
        </w:rPr>
        <w:t xml:space="preserve"> les monnaies et les langues dans lesquelles les factures sont émises, les litiges connues ou en cours</w:t>
      </w:r>
      <w:r w:rsidR="00E170E5">
        <w:rPr>
          <w:rFonts w:ascii="Times New Roman" w:hAnsi="Times New Roman" w:cs="Times New Roman"/>
          <w:sz w:val="24"/>
          <w:szCs w:val="24"/>
        </w:rPr>
        <w:t xml:space="preserve"> etc…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239CD" w:rsidRDefault="006239CD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 xml:space="preserve">Gestion de la </w:t>
      </w:r>
      <w:r w:rsidR="006856A6" w:rsidRPr="00AB05C5">
        <w:rPr>
          <w:rFonts w:ascii="Times New Roman" w:hAnsi="Times New Roman" w:cs="Times New Roman"/>
          <w:sz w:val="24"/>
          <w:szCs w:val="24"/>
        </w:rPr>
        <w:t>trésorerie</w:t>
      </w:r>
      <w:r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6856A6" w:rsidRPr="00AB05C5">
        <w:rPr>
          <w:rFonts w:ascii="Times New Roman" w:hAnsi="Times New Roman" w:cs="Times New Roman"/>
          <w:sz w:val="24"/>
          <w:szCs w:val="24"/>
        </w:rPr>
        <w:t>identifier les risques liés à la gestion de la trésorerie</w:t>
      </w:r>
      <w:r w:rsidR="001E7AA8" w:rsidRPr="00AB05C5">
        <w:rPr>
          <w:rFonts w:ascii="Times New Roman" w:hAnsi="Times New Roman" w:cs="Times New Roman"/>
          <w:sz w:val="24"/>
          <w:szCs w:val="24"/>
        </w:rPr>
        <w:t xml:space="preserve"> par exemple, risque de taux de change, absence de budget, inexactit</w:t>
      </w:r>
      <w:r w:rsidR="00832A21">
        <w:rPr>
          <w:rFonts w:ascii="Times New Roman" w:hAnsi="Times New Roman" w:cs="Times New Roman"/>
          <w:sz w:val="24"/>
          <w:szCs w:val="24"/>
        </w:rPr>
        <w:t>ude liée aux entrées et sorties, e</w:t>
      </w:r>
      <w:r w:rsidR="00E170E5">
        <w:rPr>
          <w:rFonts w:ascii="Times New Roman" w:hAnsi="Times New Roman" w:cs="Times New Roman"/>
          <w:sz w:val="24"/>
          <w:szCs w:val="24"/>
        </w:rPr>
        <w:t xml:space="preserve">xistence des comptes bancaires et recenser lesdits comptes, </w:t>
      </w:r>
      <w:r w:rsidR="00832A21">
        <w:rPr>
          <w:rFonts w:ascii="Times New Roman" w:hAnsi="Times New Roman" w:cs="Times New Roman"/>
          <w:sz w:val="24"/>
          <w:szCs w:val="24"/>
        </w:rPr>
        <w:t>les signataires, le détenteur des chéquiers</w:t>
      </w:r>
      <w:r w:rsidR="00E170E5">
        <w:rPr>
          <w:rFonts w:ascii="Times New Roman" w:hAnsi="Times New Roman" w:cs="Times New Roman"/>
          <w:sz w:val="24"/>
          <w:szCs w:val="24"/>
        </w:rPr>
        <w:t>, la gestion de la caisse, l’existence des PV d’inventaires de caisse, l’existence des titres de placements, les découverts obtenus, etc…</w:t>
      </w:r>
      <w:r w:rsidR="00832A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856A6" w:rsidRDefault="000D538C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</w:t>
      </w:r>
      <w:r w:rsidR="006856A6" w:rsidRPr="00AB05C5">
        <w:rPr>
          <w:rFonts w:ascii="Times New Roman" w:hAnsi="Times New Roman" w:cs="Times New Roman"/>
          <w:sz w:val="24"/>
          <w:szCs w:val="24"/>
        </w:rPr>
        <w:t>estion des autres actifs :</w:t>
      </w:r>
      <w:r w:rsidRPr="00AB05C5">
        <w:rPr>
          <w:rFonts w:ascii="Times New Roman" w:hAnsi="Times New Roman" w:cs="Times New Roman"/>
          <w:sz w:val="24"/>
          <w:szCs w:val="24"/>
        </w:rPr>
        <w:t xml:space="preserve"> </w:t>
      </w:r>
      <w:r w:rsidR="00832A21">
        <w:rPr>
          <w:rFonts w:ascii="Times New Roman" w:hAnsi="Times New Roman" w:cs="Times New Roman"/>
          <w:sz w:val="24"/>
          <w:szCs w:val="24"/>
        </w:rPr>
        <w:t>il faut demander aux clients les immobilisations qu’</w:t>
      </w:r>
      <w:r w:rsidR="00E170E5">
        <w:rPr>
          <w:rFonts w:ascii="Times New Roman" w:hAnsi="Times New Roman" w:cs="Times New Roman"/>
          <w:sz w:val="24"/>
          <w:szCs w:val="24"/>
        </w:rPr>
        <w:t>ils détiennent</w:t>
      </w:r>
      <w:r w:rsidR="00832A21">
        <w:rPr>
          <w:rFonts w:ascii="Times New Roman" w:hAnsi="Times New Roman" w:cs="Times New Roman"/>
          <w:sz w:val="24"/>
          <w:szCs w:val="24"/>
        </w:rPr>
        <w:t xml:space="preserve"> (incorporelles</w:t>
      </w:r>
      <w:r w:rsidR="00E170E5">
        <w:rPr>
          <w:rFonts w:ascii="Times New Roman" w:hAnsi="Times New Roman" w:cs="Times New Roman"/>
          <w:sz w:val="24"/>
          <w:szCs w:val="24"/>
        </w:rPr>
        <w:t>, corporelles et financières),</w:t>
      </w:r>
      <w:r w:rsidR="00E170E5" w:rsidRPr="00E170E5">
        <w:rPr>
          <w:rFonts w:ascii="Times New Roman" w:hAnsi="Times New Roman" w:cs="Times New Roman"/>
          <w:sz w:val="24"/>
          <w:szCs w:val="24"/>
        </w:rPr>
        <w:t xml:space="preserve"> </w:t>
      </w:r>
      <w:r w:rsidR="00E170E5">
        <w:rPr>
          <w:rFonts w:ascii="Times New Roman" w:hAnsi="Times New Roman" w:cs="Times New Roman"/>
          <w:sz w:val="24"/>
          <w:szCs w:val="24"/>
        </w:rPr>
        <w:t xml:space="preserve">la codification des immobilisations, l’organisation et la gestion des </w:t>
      </w:r>
      <w:r w:rsidR="00832A21">
        <w:rPr>
          <w:rFonts w:ascii="Times New Roman" w:hAnsi="Times New Roman" w:cs="Times New Roman"/>
          <w:sz w:val="24"/>
          <w:szCs w:val="24"/>
        </w:rPr>
        <w:t>stocks</w:t>
      </w:r>
      <w:r w:rsidR="007D5EDB">
        <w:rPr>
          <w:rFonts w:ascii="Times New Roman" w:hAnsi="Times New Roman" w:cs="Times New Roman"/>
          <w:sz w:val="24"/>
          <w:szCs w:val="24"/>
        </w:rPr>
        <w:t>, le</w:t>
      </w:r>
      <w:r w:rsidR="00832A21">
        <w:rPr>
          <w:rFonts w:ascii="Times New Roman" w:hAnsi="Times New Roman" w:cs="Times New Roman"/>
          <w:sz w:val="24"/>
          <w:szCs w:val="24"/>
        </w:rPr>
        <w:t>s magasins,</w:t>
      </w:r>
      <w:r w:rsidR="007D5EDB">
        <w:rPr>
          <w:rFonts w:ascii="Times New Roman" w:hAnsi="Times New Roman" w:cs="Times New Roman"/>
          <w:sz w:val="24"/>
          <w:szCs w:val="24"/>
        </w:rPr>
        <w:t xml:space="preserve"> la gestion juridique des produits périmés, détériorés aux fins de constitution des dépréciations, etc…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Gestion des fournisseurs</w:t>
      </w:r>
      <w:r w:rsidR="000D538C"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7D5EDB">
        <w:rPr>
          <w:rFonts w:ascii="Times New Roman" w:hAnsi="Times New Roman" w:cs="Times New Roman"/>
          <w:sz w:val="24"/>
          <w:szCs w:val="24"/>
        </w:rPr>
        <w:t>recenser les principaux</w:t>
      </w:r>
      <w:r w:rsidR="000D538C" w:rsidRPr="00AB05C5">
        <w:rPr>
          <w:rFonts w:ascii="Times New Roman" w:hAnsi="Times New Roman" w:cs="Times New Roman"/>
          <w:sz w:val="24"/>
          <w:szCs w:val="24"/>
        </w:rPr>
        <w:t xml:space="preserve"> fournisseurs avec qui le client traite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et identifier l</w:t>
      </w:r>
      <w:r w:rsidR="00F90684" w:rsidRPr="00AB05C5">
        <w:rPr>
          <w:rFonts w:ascii="Times New Roman" w:hAnsi="Times New Roman" w:cs="Times New Roman"/>
          <w:sz w:val="24"/>
          <w:szCs w:val="24"/>
        </w:rPr>
        <w:t>es risques qui sous-</w:t>
      </w:r>
      <w:r w:rsidR="00AF4507" w:rsidRPr="00AB05C5">
        <w:rPr>
          <w:rFonts w:ascii="Times New Roman" w:hAnsi="Times New Roman" w:cs="Times New Roman"/>
          <w:sz w:val="24"/>
          <w:szCs w:val="24"/>
        </w:rPr>
        <w:t>tenden</w:t>
      </w:r>
      <w:r w:rsidR="00DF7137">
        <w:rPr>
          <w:rFonts w:ascii="Times New Roman" w:hAnsi="Times New Roman" w:cs="Times New Roman"/>
          <w:sz w:val="24"/>
          <w:szCs w:val="24"/>
        </w:rPr>
        <w:t xml:space="preserve">t les </w:t>
      </w:r>
      <w:r w:rsidR="00AF4507" w:rsidRPr="00AB05C5">
        <w:rPr>
          <w:rFonts w:ascii="Times New Roman" w:hAnsi="Times New Roman" w:cs="Times New Roman"/>
          <w:sz w:val="24"/>
          <w:szCs w:val="24"/>
        </w:rPr>
        <w:t>relation</w:t>
      </w:r>
      <w:r w:rsidR="00DF7137">
        <w:rPr>
          <w:rFonts w:ascii="Times New Roman" w:hAnsi="Times New Roman" w:cs="Times New Roman"/>
          <w:sz w:val="24"/>
          <w:szCs w:val="24"/>
        </w:rPr>
        <w:t>s entre ses fournisseurs et lui demander comment il règle ses fournisseurs</w:t>
      </w:r>
      <w:r w:rsidR="007D5EDB">
        <w:rPr>
          <w:rFonts w:ascii="Times New Roman" w:hAnsi="Times New Roman" w:cs="Times New Roman"/>
          <w:sz w:val="24"/>
          <w:szCs w:val="24"/>
        </w:rPr>
        <w:t>, la monnaie et la langue dans lesquelles les factures sont émises,</w:t>
      </w:r>
      <w:r w:rsidR="007D5EDB" w:rsidRPr="007D5EDB">
        <w:rPr>
          <w:rFonts w:ascii="Times New Roman" w:hAnsi="Times New Roman" w:cs="Times New Roman"/>
          <w:sz w:val="24"/>
          <w:szCs w:val="24"/>
        </w:rPr>
        <w:t xml:space="preserve"> </w:t>
      </w:r>
      <w:r w:rsidR="007D5EDB">
        <w:rPr>
          <w:rFonts w:ascii="Times New Roman" w:hAnsi="Times New Roman" w:cs="Times New Roman"/>
          <w:sz w:val="24"/>
          <w:szCs w:val="24"/>
        </w:rPr>
        <w:t xml:space="preserve">les litiges connues ou en cours, </w:t>
      </w:r>
      <w:r w:rsidR="00DF7137">
        <w:rPr>
          <w:rFonts w:ascii="Times New Roman" w:hAnsi="Times New Roman" w:cs="Times New Roman"/>
          <w:sz w:val="24"/>
          <w:szCs w:val="24"/>
        </w:rPr>
        <w:t>etc</w:t>
      </w:r>
      <w:r w:rsidR="007D5EDB">
        <w:rPr>
          <w:rFonts w:ascii="Times New Roman" w:hAnsi="Times New Roman" w:cs="Times New Roman"/>
          <w:sz w:val="24"/>
          <w:szCs w:val="24"/>
        </w:rPr>
        <w:t>….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lastRenderedPageBreak/>
        <w:t>Gestion des autres passifs</w:t>
      </w:r>
      <w:r w:rsidR="00F90684" w:rsidRPr="00AB05C5">
        <w:rPr>
          <w:rFonts w:ascii="Times New Roman" w:hAnsi="Times New Roman" w:cs="Times New Roman"/>
          <w:sz w:val="24"/>
          <w:szCs w:val="24"/>
        </w:rPr>
        <w:t xml:space="preserve"> : </w:t>
      </w:r>
      <w:r w:rsidR="00AF028B" w:rsidRPr="00AB05C5">
        <w:rPr>
          <w:rFonts w:ascii="Times New Roman" w:hAnsi="Times New Roman" w:cs="Times New Roman"/>
          <w:sz w:val="24"/>
          <w:szCs w:val="24"/>
        </w:rPr>
        <w:t>il s’agira ici de vérifier l’adéquation entre les capitaux propres de l’entreprise et les risques prévisibles</w:t>
      </w:r>
      <w:r w:rsidR="007D5EDB">
        <w:rPr>
          <w:rFonts w:ascii="Times New Roman" w:hAnsi="Times New Roman" w:cs="Times New Roman"/>
          <w:sz w:val="24"/>
          <w:szCs w:val="24"/>
        </w:rPr>
        <w:t>, le niveau des capitaux propres par rapport au capital social, les libérations selon le droit des sociétés, etc…</w:t>
      </w:r>
      <w:r w:rsidR="00AF028B" w:rsidRPr="00AB05C5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Historique fiscal et social du client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 : faire le point des </w:t>
      </w:r>
      <w:r w:rsidR="00F90684" w:rsidRPr="00AB05C5">
        <w:rPr>
          <w:rFonts w:ascii="Times New Roman" w:hAnsi="Times New Roman" w:cs="Times New Roman"/>
          <w:sz w:val="24"/>
          <w:szCs w:val="24"/>
        </w:rPr>
        <w:t>impôts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au</w:t>
      </w:r>
      <w:r w:rsidR="007D5EDB">
        <w:rPr>
          <w:rFonts w:ascii="Times New Roman" w:hAnsi="Times New Roman" w:cs="Times New Roman"/>
          <w:sz w:val="24"/>
          <w:szCs w:val="24"/>
        </w:rPr>
        <w:t>x</w:t>
      </w:r>
      <w:r w:rsidR="00AF4507" w:rsidRPr="00AB05C5">
        <w:rPr>
          <w:rFonts w:ascii="Times New Roman" w:hAnsi="Times New Roman" w:cs="Times New Roman"/>
          <w:sz w:val="24"/>
          <w:szCs w:val="24"/>
        </w:rPr>
        <w:t>quel</w:t>
      </w:r>
      <w:r w:rsidR="007D5EDB">
        <w:rPr>
          <w:rFonts w:ascii="Times New Roman" w:hAnsi="Times New Roman" w:cs="Times New Roman"/>
          <w:sz w:val="24"/>
          <w:szCs w:val="24"/>
        </w:rPr>
        <w:t>s</w:t>
      </w:r>
      <w:r w:rsidR="00AF4507" w:rsidRPr="00AB05C5">
        <w:rPr>
          <w:rFonts w:ascii="Times New Roman" w:hAnsi="Times New Roman" w:cs="Times New Roman"/>
          <w:sz w:val="24"/>
          <w:szCs w:val="24"/>
        </w:rPr>
        <w:t xml:space="preserve"> le client est </w:t>
      </w:r>
      <w:r w:rsidR="00195D2A" w:rsidRPr="00AB05C5">
        <w:rPr>
          <w:rFonts w:ascii="Times New Roman" w:hAnsi="Times New Roman" w:cs="Times New Roman"/>
          <w:sz w:val="24"/>
          <w:szCs w:val="24"/>
        </w:rPr>
        <w:t>soumis ; prendre aussi connaissance des redressements fiscaux et sociaux majeurs subis par lui et en déterminer les différentes causes principales</w:t>
      </w:r>
      <w:r w:rsidR="00DF7137">
        <w:rPr>
          <w:rFonts w:ascii="Times New Roman" w:hAnsi="Times New Roman" w:cs="Times New Roman"/>
          <w:sz w:val="24"/>
          <w:szCs w:val="24"/>
        </w:rPr>
        <w:t xml:space="preserve"> et les risques liés</w:t>
      </w:r>
      <w:r w:rsidR="00AF4507" w:rsidRPr="00AB05C5">
        <w:rPr>
          <w:rFonts w:ascii="Times New Roman" w:hAnsi="Times New Roman" w:cs="Times New Roman"/>
          <w:sz w:val="24"/>
          <w:szCs w:val="24"/>
        </w:rPr>
        <w:t>.</w:t>
      </w:r>
      <w:r w:rsidR="00DF7137">
        <w:rPr>
          <w:rFonts w:ascii="Times New Roman" w:hAnsi="Times New Roman" w:cs="Times New Roman"/>
          <w:sz w:val="24"/>
          <w:szCs w:val="24"/>
        </w:rPr>
        <w:t xml:space="preserve"> Vérifier si le personnel est déclaré à la CNSS</w:t>
      </w:r>
      <w:r w:rsidR="007D5EDB">
        <w:rPr>
          <w:rFonts w:ascii="Times New Roman" w:hAnsi="Times New Roman" w:cs="Times New Roman"/>
          <w:sz w:val="24"/>
          <w:szCs w:val="24"/>
        </w:rPr>
        <w:t>, si l’entreprise bénéficie des allègements fiscaux liés aux spécificités de son secteur d’activité et également au regard des premiers emplois créés</w:t>
      </w:r>
      <w:r w:rsidR="00D62D33">
        <w:rPr>
          <w:rFonts w:ascii="Times New Roman" w:hAnsi="Times New Roman" w:cs="Times New Roman"/>
          <w:sz w:val="24"/>
          <w:szCs w:val="24"/>
        </w:rPr>
        <w:t xml:space="preserve"> (Non-paiement VPS pendant 2 ans, bénéfice de crédit d’impôts</w:t>
      </w:r>
      <w:r w:rsidR="00085E77">
        <w:rPr>
          <w:rFonts w:ascii="Times New Roman" w:hAnsi="Times New Roman" w:cs="Times New Roman"/>
          <w:sz w:val="24"/>
          <w:szCs w:val="24"/>
        </w:rPr>
        <w:t>)</w:t>
      </w:r>
      <w:r w:rsidR="007D5EDB">
        <w:rPr>
          <w:rFonts w:ascii="Times New Roman" w:hAnsi="Times New Roman" w:cs="Times New Roman"/>
          <w:sz w:val="24"/>
          <w:szCs w:val="24"/>
        </w:rPr>
        <w:t>, etc…</w:t>
      </w:r>
      <w:r w:rsidR="00DF7137">
        <w:rPr>
          <w:rFonts w:ascii="Times New Roman" w:hAnsi="Times New Roman" w:cs="Times New Roman"/>
          <w:sz w:val="24"/>
          <w:szCs w:val="24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Organisation comptable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 : identifier le logiciel comptable </w:t>
      </w:r>
      <w:r w:rsidR="00F90684" w:rsidRPr="00AB05C5">
        <w:rPr>
          <w:rFonts w:ascii="Times New Roman" w:hAnsi="Times New Roman" w:cs="Times New Roman"/>
          <w:sz w:val="24"/>
          <w:szCs w:val="24"/>
        </w:rPr>
        <w:t>utilisé, le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plan de compte du client ainsi que les principaux schémas d’</w:t>
      </w:r>
      <w:r w:rsidR="00F90684" w:rsidRPr="00AB05C5">
        <w:rPr>
          <w:rFonts w:ascii="Times New Roman" w:hAnsi="Times New Roman" w:cs="Times New Roman"/>
          <w:sz w:val="24"/>
          <w:szCs w:val="24"/>
        </w:rPr>
        <w:t>écritures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qu’</w:t>
      </w:r>
      <w:r w:rsidR="00F90684" w:rsidRPr="00AB05C5">
        <w:rPr>
          <w:rFonts w:ascii="Times New Roman" w:hAnsi="Times New Roman" w:cs="Times New Roman"/>
          <w:sz w:val="24"/>
          <w:szCs w:val="24"/>
        </w:rPr>
        <w:t>engendrent</w:t>
      </w:r>
      <w:r w:rsidR="00C05E3C" w:rsidRPr="00AB05C5">
        <w:rPr>
          <w:rFonts w:ascii="Times New Roman" w:hAnsi="Times New Roman" w:cs="Times New Roman"/>
          <w:sz w:val="24"/>
          <w:szCs w:val="24"/>
        </w:rPr>
        <w:t xml:space="preserve"> les opérations </w:t>
      </w:r>
      <w:r w:rsidR="00615489" w:rsidRPr="00AB05C5">
        <w:rPr>
          <w:rFonts w:ascii="Times New Roman" w:hAnsi="Times New Roman" w:cs="Times New Roman"/>
          <w:sz w:val="24"/>
          <w:szCs w:val="24"/>
        </w:rPr>
        <w:t xml:space="preserve">spécifiques </w:t>
      </w:r>
      <w:r w:rsidR="00C05E3C" w:rsidRPr="00AB05C5">
        <w:rPr>
          <w:rFonts w:ascii="Times New Roman" w:hAnsi="Times New Roman" w:cs="Times New Roman"/>
          <w:sz w:val="24"/>
          <w:szCs w:val="24"/>
        </w:rPr>
        <w:t>et transactions effectué</w:t>
      </w:r>
      <w:r w:rsidR="00DF7137">
        <w:rPr>
          <w:rFonts w:ascii="Times New Roman" w:hAnsi="Times New Roman" w:cs="Times New Roman"/>
          <w:sz w:val="24"/>
          <w:szCs w:val="24"/>
        </w:rPr>
        <w:t>e</w:t>
      </w:r>
      <w:r w:rsidR="00C05E3C" w:rsidRPr="00AB05C5">
        <w:rPr>
          <w:rFonts w:ascii="Times New Roman" w:hAnsi="Times New Roman" w:cs="Times New Roman"/>
          <w:sz w:val="24"/>
          <w:szCs w:val="24"/>
        </w:rPr>
        <w:t>s par le client</w:t>
      </w:r>
      <w:r w:rsidR="00085E77">
        <w:rPr>
          <w:rFonts w:ascii="Times New Roman" w:hAnsi="Times New Roman" w:cs="Times New Roman"/>
          <w:sz w:val="24"/>
          <w:szCs w:val="24"/>
        </w:rPr>
        <w:t>, etc…</w:t>
      </w:r>
      <w:r w:rsidR="00C05E3C" w:rsidRPr="00AB05C5">
        <w:rPr>
          <w:rFonts w:ascii="Times New Roman" w:hAnsi="Times New Roman" w:cs="Times New Roman"/>
          <w:sz w:val="24"/>
          <w:szCs w:val="24"/>
        </w:rPr>
        <w:t>.</w:t>
      </w:r>
    </w:p>
    <w:p w:rsidR="00CB671B" w:rsidRDefault="00CB671B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II- Documentation</w:t>
      </w:r>
    </w:p>
    <w:p w:rsidR="00AB05C5" w:rsidRPr="00CB671B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A4A21" w:rsidRDefault="004751E5" w:rsidP="00E170E5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hAnsi="Times New Roman" w:cs="Times New Roman"/>
          <w:sz w:val="24"/>
          <w:szCs w:val="24"/>
        </w:rPr>
        <w:t>Lois &amp; Règlements</w:t>
      </w:r>
      <w:r w:rsidR="00615489" w:rsidRPr="00AB05C5">
        <w:rPr>
          <w:rFonts w:ascii="Times New Roman" w:hAnsi="Times New Roman" w:cs="Times New Roman"/>
          <w:sz w:val="24"/>
          <w:szCs w:val="24"/>
        </w:rPr>
        <w:t> : Prendre connaissance du référentiel co</w:t>
      </w:r>
      <w:r w:rsidR="00A3082C" w:rsidRPr="00AB05C5">
        <w:rPr>
          <w:rFonts w:ascii="Times New Roman" w:hAnsi="Times New Roman" w:cs="Times New Roman"/>
          <w:sz w:val="24"/>
          <w:szCs w:val="24"/>
        </w:rPr>
        <w:t>mptable applicable à l’entité (</w:t>
      </w:r>
      <w:r w:rsidR="00085E77">
        <w:rPr>
          <w:rFonts w:ascii="Times New Roman" w:hAnsi="Times New Roman" w:cs="Times New Roman"/>
          <w:sz w:val="24"/>
          <w:szCs w:val="24"/>
        </w:rPr>
        <w:t>AUDCIF, CIMA, P</w:t>
      </w:r>
      <w:r w:rsidR="00A3082C" w:rsidRPr="00AB05C5">
        <w:rPr>
          <w:rFonts w:ascii="Times New Roman" w:hAnsi="Times New Roman" w:cs="Times New Roman"/>
          <w:sz w:val="24"/>
          <w:szCs w:val="24"/>
        </w:rPr>
        <w:t>CB …)</w:t>
      </w:r>
      <w:r w:rsidR="00DF7137">
        <w:rPr>
          <w:rFonts w:ascii="Times New Roman" w:hAnsi="Times New Roman" w:cs="Times New Roman"/>
          <w:sz w:val="24"/>
          <w:szCs w:val="24"/>
        </w:rPr>
        <w:t xml:space="preserve"> et autres textes spécifiques qui règlemente</w:t>
      </w:r>
      <w:r w:rsidR="007D5EDB">
        <w:rPr>
          <w:rFonts w:ascii="Times New Roman" w:hAnsi="Times New Roman" w:cs="Times New Roman"/>
          <w:sz w:val="24"/>
          <w:szCs w:val="24"/>
        </w:rPr>
        <w:t>nt</w:t>
      </w:r>
      <w:r w:rsidR="00DF7137">
        <w:rPr>
          <w:rFonts w:ascii="Times New Roman" w:hAnsi="Times New Roman" w:cs="Times New Roman"/>
          <w:sz w:val="24"/>
          <w:szCs w:val="24"/>
        </w:rPr>
        <w:t xml:space="preserve"> le secteur d’activités du client. Il faut prendre copie de ces documents, les lire et tirer les conclusions et en garder copie dans son Dossier Permanent.</w:t>
      </w:r>
    </w:p>
    <w:p w:rsidR="00DF7137" w:rsidRDefault="00DF7137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Procédures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vérifier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l’existence d’un manuel de procédure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si oui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est-il</w:t>
      </w:r>
      <w:r w:rsid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appliqué ? 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i non, mettre en place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 système pour son élaboration et s’assurer qu’il existe un guide de comptabilisation.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S’il n’existe pas de manuel de procédures, en proposer au client et </w:t>
      </w:r>
      <w:r w:rsidR="00DF7137" w:rsidRPr="00085E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fr-FR"/>
        </w:rPr>
        <w:t>le facturer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4751E5" w:rsidRDefault="004751E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III- Système d’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inf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ormation</w:t>
      </w:r>
    </w:p>
    <w:p w:rsidR="00AB05C5" w:rsidRPr="004751E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88638D" w:rsidRPr="00AB05C5" w:rsidRDefault="00CB671B" w:rsidP="00E170E5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Matériel</w:t>
      </w:r>
      <w:r w:rsidR="004751E5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informatique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identifier 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matériels informatiques utilisés</w:t>
      </w:r>
      <w:r w:rsidR="001A29A9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par le client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voir s’ils sont en adéquation avec ses activités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etc…</w:t>
      </w:r>
      <w:r w:rsidR="0088638D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AB05C5" w:rsidRP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4751E5" w:rsidRPr="00AB05C5" w:rsidRDefault="004751E5" w:rsidP="00E170E5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Logiciel Informatique utilisé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identifier 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tous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logiciel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 qu’utilise le client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la gestion de 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ses </w:t>
      </w:r>
      <w:r w:rsidR="005A3186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activité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Apprécier si ces l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ogiciels 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ont des licences achetées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répondent aux besoins du client, etc…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AB05C5" w:rsidRPr="00AB05C5" w:rsidRDefault="00AB05C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C66DE7" w:rsidRPr="00C66DE7" w:rsidRDefault="004751E5" w:rsidP="00C66DE7">
      <w:pPr>
        <w:pStyle w:val="Paragraphedeliste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Sécurité informatique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vérifier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si les outils informatiques sont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bien</w:t>
      </w:r>
      <w:r w:rsidR="001A4A21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sécurisé</w:t>
      </w:r>
      <w:r w:rsidR="00F90684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 w:rsidR="00195D2A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hors sinistre </w:t>
      </w:r>
      <w:r w:rsidR="00D83008" w:rsidRPr="00AB05C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électrique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intrusion informatique, s’il y a une assurance souscrite pour couvrir les sinistres sur les matériels, s’il y a de disques durs externes pour la sauvegarde des données de l’entreprise</w:t>
      </w:r>
      <w:r w:rsidR="00085E7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, etc…</w:t>
      </w:r>
      <w:r w:rsidR="00DF713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C66DE7" w:rsidRDefault="00C66DE7" w:rsidP="00C66D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66DE7" w:rsidRDefault="00C66DE7" w:rsidP="00C66D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Total des f</w:t>
      </w:r>
      <w:r w:rsidRPr="00AB05C5">
        <w:rPr>
          <w:rFonts w:ascii="Times New Roman" w:hAnsi="Times New Roman" w:cs="Times New Roman"/>
          <w:b/>
          <w:sz w:val="24"/>
          <w:szCs w:val="24"/>
          <w:u w:val="single"/>
        </w:rPr>
        <w:t>réquence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 :</w:t>
      </w:r>
    </w:p>
    <w:p w:rsidR="00C66DE7" w:rsidRDefault="00C66DE7" w:rsidP="00C66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fréquence est déterminée en faisant le total des cases cochées par niveau.</w:t>
      </w:r>
    </w:p>
    <w:p w:rsidR="00C66DE7" w:rsidRDefault="00C66DE7" w:rsidP="00C66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ci-dessous ; on obtient les fréquences ci-après : </w:t>
      </w:r>
    </w:p>
    <w:p w:rsidR="00AB05C5" w:rsidRPr="00AB05C5" w:rsidRDefault="00AB05C5" w:rsidP="00E170E5">
      <w:pPr>
        <w:pStyle w:val="Paragraphedeliste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:rsidR="00942B87" w:rsidRDefault="00942B87" w:rsidP="00E170E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page" w:horzAnchor="margin" w:tblpY="2764"/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1559"/>
        <w:gridCol w:w="1559"/>
        <w:gridCol w:w="1560"/>
      </w:tblGrid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Processus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Sous processus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DD7EE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Niveau de risques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Faible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Elevé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I- Organisation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Activités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Gouvernance &amp; Organigramme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Définitions de fonctions (rôles et responsabilités)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4. Gestion de la clientèle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5. Gestion de la trésorerie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6. Gestion des autres actifs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7. Gestion des fournisseurs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8. Gestion des autres passifs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 Historique fiscal et social du client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10. Organisation comptable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635FC5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II- Documentation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Lois &amp; Règlements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Procédures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III- Système d'information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1. Matériel informatique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 Logiciel Informatique utilisé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250B63" w:rsidRPr="00DD411E" w:rsidTr="00FC5CF0">
        <w:trPr>
          <w:trHeight w:val="20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DD411E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3. Sécurité informatique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7C680C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B63" w:rsidRPr="00DD411E" w:rsidRDefault="00250B63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</w:p>
        </w:tc>
      </w:tr>
      <w:tr w:rsidR="00FC5CF0" w:rsidRPr="00FC7BB0" w:rsidTr="00D07339">
        <w:trPr>
          <w:trHeight w:val="20"/>
        </w:trPr>
        <w:tc>
          <w:tcPr>
            <w:tcW w:w="5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Total des Fréquences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5CF0" w:rsidRPr="00FC7BB0" w:rsidRDefault="00FC5CF0" w:rsidP="00494897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</w:pPr>
            <w:r w:rsidRPr="00FC7BB0">
              <w:rPr>
                <w:rFonts w:ascii="Times New Roman" w:eastAsia="Times New Roman" w:hAnsi="Times New Roman" w:cs="Times New Roman"/>
                <w:b/>
                <w:color w:val="000000"/>
                <w:lang w:eastAsia="fr-FR"/>
              </w:rPr>
              <w:t>2</w:t>
            </w:r>
          </w:p>
        </w:tc>
      </w:tr>
    </w:tbl>
    <w:p w:rsidR="00C66DE7" w:rsidRDefault="00C66DE7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5C5" w:rsidRDefault="00AB05C5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Fréquence</w:t>
      </w:r>
      <w:r w:rsidR="00085E7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en %</w:t>
      </w:r>
    </w:p>
    <w:p w:rsidR="00085E77" w:rsidRDefault="00A03936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s’agit ici de d</w:t>
      </w:r>
      <w:r w:rsidR="00085E77" w:rsidRPr="00085E77">
        <w:rPr>
          <w:rFonts w:ascii="Times New Roman" w:hAnsi="Times New Roman" w:cs="Times New Roman"/>
          <w:sz w:val="24"/>
          <w:szCs w:val="24"/>
        </w:rPr>
        <w:t xml:space="preserve">éterminer en pourcentage les </w:t>
      </w:r>
      <w:r w:rsidR="00370770" w:rsidRPr="00085E77">
        <w:rPr>
          <w:rFonts w:ascii="Times New Roman" w:hAnsi="Times New Roman" w:cs="Times New Roman"/>
          <w:sz w:val="24"/>
          <w:szCs w:val="24"/>
        </w:rPr>
        <w:t>fréquences</w:t>
      </w:r>
      <w:r>
        <w:rPr>
          <w:rFonts w:ascii="Times New Roman" w:hAnsi="Times New Roman" w:cs="Times New Roman"/>
          <w:sz w:val="24"/>
          <w:szCs w:val="24"/>
        </w:rPr>
        <w:t xml:space="preserve"> précédemment </w:t>
      </w:r>
      <w:r w:rsidR="00FC7BB0">
        <w:rPr>
          <w:rFonts w:ascii="Times New Roman" w:hAnsi="Times New Roman" w:cs="Times New Roman"/>
          <w:sz w:val="24"/>
          <w:szCs w:val="24"/>
        </w:rPr>
        <w:t xml:space="preserve">calculées. </w:t>
      </w:r>
    </w:p>
    <w:p w:rsidR="00AB05C5" w:rsidRDefault="00085E77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ci-dessus, on obtient les </w:t>
      </w:r>
      <w:r w:rsidR="00332F56">
        <w:rPr>
          <w:rFonts w:ascii="Times New Roman" w:hAnsi="Times New Roman" w:cs="Times New Roman"/>
          <w:sz w:val="24"/>
          <w:szCs w:val="24"/>
        </w:rPr>
        <w:t xml:space="preserve">pourcentages </w:t>
      </w:r>
      <w:r>
        <w:rPr>
          <w:rFonts w:ascii="Times New Roman" w:hAnsi="Times New Roman" w:cs="Times New Roman"/>
          <w:sz w:val="24"/>
          <w:szCs w:val="24"/>
        </w:rPr>
        <w:t xml:space="preserve"> ci-après :</w:t>
      </w:r>
    </w:p>
    <w:p w:rsidR="00332F56" w:rsidRDefault="00332F56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Avec un </w:t>
      </w:r>
      <w:r w:rsidR="00684104">
        <w:rPr>
          <w:rFonts w:ascii="Times New Roman" w:hAnsi="Times New Roman" w:cs="Times New Roman"/>
          <w:sz w:val="24"/>
          <w:szCs w:val="24"/>
        </w:rPr>
        <w:t xml:space="preserve">nombre de fréquences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total de 15 </w:t>
      </w:r>
      <w:r w:rsidR="00467606">
        <w:rPr>
          <w:rFonts w:ascii="Times New Roman" w:hAnsi="Times New Roman" w:cs="Times New Roman"/>
          <w:sz w:val="24"/>
          <w:szCs w:val="24"/>
        </w:rPr>
        <w:t>on obtient :</w:t>
      </w:r>
    </w:p>
    <w:p w:rsidR="00467606" w:rsidRDefault="00467606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niveau de risque faible : 9</w:t>
      </w:r>
      <w:r w:rsidR="005A3319">
        <w:rPr>
          <w:rFonts w:ascii="Times New Roman" w:hAnsi="Times New Roman" w:cs="Times New Roman"/>
          <w:sz w:val="24"/>
          <w:szCs w:val="24"/>
        </w:rPr>
        <w:t xml:space="preserve"> ÷ 15 =  60 %</w:t>
      </w:r>
    </w:p>
    <w:p w:rsidR="005A3319" w:rsidRDefault="005A3319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niveau de risque </w:t>
      </w:r>
      <w:r w:rsidR="00CF572B">
        <w:rPr>
          <w:rFonts w:ascii="Times New Roman" w:hAnsi="Times New Roman" w:cs="Times New Roman"/>
          <w:sz w:val="24"/>
          <w:szCs w:val="24"/>
        </w:rPr>
        <w:t>moyen :</w:t>
      </w:r>
      <w:r w:rsidR="00A03936">
        <w:rPr>
          <w:rFonts w:ascii="Times New Roman" w:hAnsi="Times New Roman" w:cs="Times New Roman"/>
          <w:sz w:val="24"/>
          <w:szCs w:val="24"/>
        </w:rPr>
        <w:t xml:space="preserve"> 4 ÷ 15 =  26 %</w:t>
      </w:r>
    </w:p>
    <w:p w:rsidR="00A03936" w:rsidRDefault="00A03936" w:rsidP="00467606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niveau de risque élevé : 2 ÷ 15 = 14 %</w:t>
      </w:r>
    </w:p>
    <w:p w:rsidR="00A03936" w:rsidRDefault="00A03936" w:rsidP="00A0393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03936" w:rsidRPr="00467606" w:rsidRDefault="00A03936" w:rsidP="00A0393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B05C5" w:rsidRDefault="00AB05C5" w:rsidP="00E170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03936" w:rsidRDefault="00A03936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5C5" w:rsidRPr="00AB05C5" w:rsidRDefault="00AB05C5" w:rsidP="00E170E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Synthèse</w:t>
      </w:r>
    </w:p>
    <w:p w:rsidR="00355C73" w:rsidRDefault="00355C73" w:rsidP="00E170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ligne ne pourra être </w:t>
      </w:r>
      <w:r w:rsidR="00FC7BB0">
        <w:rPr>
          <w:rFonts w:ascii="Times New Roman" w:hAnsi="Times New Roman" w:cs="Times New Roman"/>
          <w:sz w:val="24"/>
          <w:szCs w:val="24"/>
        </w:rPr>
        <w:t>renseignée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E77">
        <w:rPr>
          <w:rFonts w:ascii="Times New Roman" w:hAnsi="Times New Roman" w:cs="Times New Roman"/>
          <w:sz w:val="24"/>
          <w:szCs w:val="24"/>
        </w:rPr>
        <w:t xml:space="preserve">que dans une seule cellule en retenant la fréquence la plus forte. </w:t>
      </w:r>
    </w:p>
    <w:p w:rsidR="00085E77" w:rsidRPr="00085E77" w:rsidRDefault="00085E77" w:rsidP="00E170E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l’exemple ci-dessus, la fréquence la plus élevée est : </w:t>
      </w:r>
      <w:r w:rsidR="00FC7BB0" w:rsidRPr="00FC7BB0">
        <w:rPr>
          <w:rFonts w:ascii="Times New Roman" w:hAnsi="Times New Roman" w:cs="Times New Roman"/>
          <w:b/>
          <w:i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et signifie que l’entreprise présente </w:t>
      </w:r>
      <w:r w:rsidRPr="00085E77">
        <w:rPr>
          <w:rFonts w:ascii="Times New Roman" w:hAnsi="Times New Roman" w:cs="Times New Roman"/>
          <w:color w:val="FF0000"/>
          <w:sz w:val="24"/>
          <w:szCs w:val="24"/>
        </w:rPr>
        <w:t>moins de risque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FC7B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C7BB0" w:rsidRPr="00FC7BB0">
        <w:rPr>
          <w:rFonts w:ascii="Times New Roman" w:hAnsi="Times New Roman" w:cs="Times New Roman"/>
          <w:b/>
          <w:i/>
          <w:sz w:val="24"/>
          <w:szCs w:val="24"/>
        </w:rPr>
        <w:t>[adaptez en fonction du niveau de risque où la fréquence est la plus élevée]</w:t>
      </w:r>
    </w:p>
    <w:p w:rsidR="004751E5" w:rsidRPr="004751E5" w:rsidRDefault="004751E5" w:rsidP="00E170E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sectPr w:rsidR="004751E5" w:rsidRPr="00475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1C" w:rsidRDefault="00D4451C" w:rsidP="00A3082C">
      <w:pPr>
        <w:spacing w:after="0" w:line="240" w:lineRule="auto"/>
      </w:pPr>
      <w:r>
        <w:separator/>
      </w:r>
    </w:p>
  </w:endnote>
  <w:endnote w:type="continuationSeparator" w:id="0">
    <w:p w:rsidR="00D4451C" w:rsidRDefault="00D4451C" w:rsidP="00A3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82C" w:rsidRDefault="00A3082C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</w:p>
  <w:p w:rsidR="00A3082C" w:rsidRDefault="00A3082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0671B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0671B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3082C" w:rsidRDefault="00A308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1C" w:rsidRDefault="00D4451C" w:rsidP="00A3082C">
      <w:pPr>
        <w:spacing w:after="0" w:line="240" w:lineRule="auto"/>
      </w:pPr>
      <w:r>
        <w:separator/>
      </w:r>
    </w:p>
  </w:footnote>
  <w:footnote w:type="continuationSeparator" w:id="0">
    <w:p w:rsidR="00D4451C" w:rsidRDefault="00D4451C" w:rsidP="00A30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4A67"/>
    <w:multiLevelType w:val="hybridMultilevel"/>
    <w:tmpl w:val="50403872"/>
    <w:lvl w:ilvl="0" w:tplc="F9B078DE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F94058"/>
    <w:multiLevelType w:val="multilevel"/>
    <w:tmpl w:val="7FEE499C"/>
    <w:lvl w:ilvl="0">
      <w:start w:val="2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29E5A38"/>
    <w:multiLevelType w:val="multilevel"/>
    <w:tmpl w:val="CD7CAA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208" w:hanging="1800"/>
      </w:pPr>
      <w:rPr>
        <w:rFonts w:hint="default"/>
      </w:rPr>
    </w:lvl>
  </w:abstractNum>
  <w:abstractNum w:abstractNumId="3">
    <w:nsid w:val="2FD5411E"/>
    <w:multiLevelType w:val="hybridMultilevel"/>
    <w:tmpl w:val="9C6C7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21480"/>
    <w:multiLevelType w:val="multilevel"/>
    <w:tmpl w:val="4AA4D1CA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</w:rPr>
    </w:lvl>
  </w:abstractNum>
  <w:abstractNum w:abstractNumId="5">
    <w:nsid w:val="4E1D01C7"/>
    <w:multiLevelType w:val="multilevel"/>
    <w:tmpl w:val="DEE466E4"/>
    <w:lvl w:ilvl="0">
      <w:start w:val="3"/>
      <w:numFmt w:val="decimal"/>
      <w:lvlText w:val="%1-"/>
      <w:lvlJc w:val="left"/>
      <w:pPr>
        <w:ind w:left="384" w:hanging="384"/>
      </w:pPr>
      <w:rPr>
        <w:rFonts w:eastAsia="Times New Roman" w:hint="default"/>
        <w:color w:val="000000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eastAsia="Times New Roman" w:hint="default"/>
        <w:color w:val="000000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eastAsia="Times New Roman" w:hint="default"/>
        <w:color w:val="000000"/>
      </w:rPr>
    </w:lvl>
  </w:abstractNum>
  <w:abstractNum w:abstractNumId="6">
    <w:nsid w:val="50D37543"/>
    <w:multiLevelType w:val="hybridMultilevel"/>
    <w:tmpl w:val="72CEC906"/>
    <w:lvl w:ilvl="0" w:tplc="169E058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C5A2D77"/>
    <w:multiLevelType w:val="multilevel"/>
    <w:tmpl w:val="B18AB0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79619DF"/>
    <w:multiLevelType w:val="hybridMultilevel"/>
    <w:tmpl w:val="BBA4FBFC"/>
    <w:lvl w:ilvl="0" w:tplc="98FEC3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45C3B"/>
    <w:multiLevelType w:val="hybridMultilevel"/>
    <w:tmpl w:val="9DD46E10"/>
    <w:lvl w:ilvl="0" w:tplc="EFD6960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74"/>
    <w:rsid w:val="00085E77"/>
    <w:rsid w:val="0008696F"/>
    <w:rsid w:val="000D538C"/>
    <w:rsid w:val="00120B66"/>
    <w:rsid w:val="00195D2A"/>
    <w:rsid w:val="001A29A9"/>
    <w:rsid w:val="001A4A21"/>
    <w:rsid w:val="001E7AA8"/>
    <w:rsid w:val="00250B63"/>
    <w:rsid w:val="002A069C"/>
    <w:rsid w:val="00332F56"/>
    <w:rsid w:val="00343A66"/>
    <w:rsid w:val="00355C73"/>
    <w:rsid w:val="00366F3B"/>
    <w:rsid w:val="00370770"/>
    <w:rsid w:val="00467606"/>
    <w:rsid w:val="004751E5"/>
    <w:rsid w:val="00517E6D"/>
    <w:rsid w:val="005757E2"/>
    <w:rsid w:val="005A3186"/>
    <w:rsid w:val="005A3319"/>
    <w:rsid w:val="005B1274"/>
    <w:rsid w:val="00615489"/>
    <w:rsid w:val="006239CD"/>
    <w:rsid w:val="00635FC5"/>
    <w:rsid w:val="00684104"/>
    <w:rsid w:val="006856A6"/>
    <w:rsid w:val="00765525"/>
    <w:rsid w:val="007C680C"/>
    <w:rsid w:val="007D5EDB"/>
    <w:rsid w:val="007E34E9"/>
    <w:rsid w:val="00811900"/>
    <w:rsid w:val="00832A21"/>
    <w:rsid w:val="0088638D"/>
    <w:rsid w:val="008A0663"/>
    <w:rsid w:val="009233A3"/>
    <w:rsid w:val="00942B87"/>
    <w:rsid w:val="009C345D"/>
    <w:rsid w:val="009E12EC"/>
    <w:rsid w:val="00A03936"/>
    <w:rsid w:val="00A3082C"/>
    <w:rsid w:val="00AB05C5"/>
    <w:rsid w:val="00AF028B"/>
    <w:rsid w:val="00AF4507"/>
    <w:rsid w:val="00B0671B"/>
    <w:rsid w:val="00C05E3C"/>
    <w:rsid w:val="00C66DE7"/>
    <w:rsid w:val="00CB671B"/>
    <w:rsid w:val="00CF572B"/>
    <w:rsid w:val="00D4451C"/>
    <w:rsid w:val="00D62D33"/>
    <w:rsid w:val="00D83008"/>
    <w:rsid w:val="00DD411E"/>
    <w:rsid w:val="00DF7137"/>
    <w:rsid w:val="00E170E5"/>
    <w:rsid w:val="00E50B4E"/>
    <w:rsid w:val="00EB2AC9"/>
    <w:rsid w:val="00EC125B"/>
    <w:rsid w:val="00F54F7E"/>
    <w:rsid w:val="00F90684"/>
    <w:rsid w:val="00FC5CF0"/>
    <w:rsid w:val="00FC7BB0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5EB1-FBEB-499E-9029-E1C1D04A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127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B2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AC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3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82C"/>
  </w:style>
  <w:style w:type="paragraph" w:styleId="Pieddepage">
    <w:name w:val="footer"/>
    <w:basedOn w:val="Normal"/>
    <w:link w:val="PieddepageCar"/>
    <w:uiPriority w:val="99"/>
    <w:unhideWhenUsed/>
    <w:rsid w:val="00A3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5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Compte Microsoft</cp:lastModifiedBy>
  <cp:revision>23</cp:revision>
  <cp:lastPrinted>2021-08-30T18:03:00Z</cp:lastPrinted>
  <dcterms:created xsi:type="dcterms:W3CDTF">2021-08-30T08:02:00Z</dcterms:created>
  <dcterms:modified xsi:type="dcterms:W3CDTF">2021-09-16T18:37:00Z</dcterms:modified>
</cp:coreProperties>
</file>