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PROFILE SUMMARY</w:t>
      </w:r>
    </w:p>
    <w:p>
      <w:r>
        <w:t>Enterprise Data Architect with 14+ years leading data platform modernization programs, regulatory reporting systems, and large-scale lakehouse migrations in banking and insurance sectors.</w:t>
      </w:r>
    </w:p>
    <w:p>
      <w:pPr>
        <w:pStyle w:val="Heading2"/>
      </w:pPr>
      <w:r>
        <w:t>PROGRAM LEADERSHIP</w:t>
      </w:r>
    </w:p>
    <w:p>
      <w:pPr>
        <w:pStyle w:val="ListBullet"/>
      </w:pPr>
      <w:r>
        <w:t>Directed enterprise-wide cloud migration initiatives</w:t>
      </w:r>
    </w:p>
    <w:p>
      <w:pPr>
        <w:pStyle w:val="ListBullet"/>
      </w:pPr>
      <w:r>
        <w:t>Standardized metadata governance frameworks</w:t>
      </w:r>
    </w:p>
    <w:p>
      <w:pPr>
        <w:pStyle w:val="ListBullet"/>
      </w:pPr>
      <w:r>
        <w:t>Established FinOps controls for analytics platforms</w:t>
      </w:r>
    </w:p>
    <w:p>
      <w:pPr>
        <w:pStyle w:val="Heading2"/>
      </w:pPr>
      <w:r>
        <w:t>ARCHITECTURE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Domain</w:t>
            </w:r>
          </w:p>
        </w:tc>
        <w:tc>
          <w:tcPr>
            <w:tcW w:type="dxa" w:w="2160"/>
          </w:tcPr>
          <w:p>
            <w:r>
              <w:t>Stack</w:t>
            </w:r>
          </w:p>
        </w:tc>
        <w:tc>
          <w:tcPr>
            <w:tcW w:type="dxa" w:w="2160"/>
          </w:tcPr>
          <w:p>
            <w:r>
              <w:t>Cloud</w:t>
            </w:r>
          </w:p>
        </w:tc>
        <w:tc>
          <w:tcPr>
            <w:tcW w:type="dxa" w:w="2160"/>
          </w:tcPr>
          <w:p>
            <w:r>
              <w:t>Criticality</w:t>
            </w:r>
          </w:p>
        </w:tc>
      </w:tr>
      <w:tr>
        <w:tc>
          <w:tcPr>
            <w:tcW w:type="dxa" w:w="2160"/>
          </w:tcPr>
          <w:p>
            <w:r>
              <w:t>Streaming</w:t>
            </w:r>
          </w:p>
        </w:tc>
        <w:tc>
          <w:tcPr>
            <w:tcW w:type="dxa" w:w="2160"/>
          </w:tcPr>
          <w:p>
            <w:r>
              <w:t>Kafka, Spark</w:t>
            </w:r>
          </w:p>
        </w:tc>
        <w:tc>
          <w:tcPr>
            <w:tcW w:type="dxa" w:w="2160"/>
          </w:tcPr>
          <w:p>
            <w:r>
              <w:t>Azure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Warehouse</w:t>
            </w:r>
          </w:p>
        </w:tc>
        <w:tc>
          <w:tcPr>
            <w:tcW w:type="dxa" w:w="2160"/>
          </w:tcPr>
          <w:p>
            <w:r>
              <w:t>Snowflake</w:t>
            </w:r>
          </w:p>
        </w:tc>
        <w:tc>
          <w:tcPr>
            <w:tcW w:type="dxa" w:w="2160"/>
          </w:tcPr>
          <w:p>
            <w:r>
              <w:t>Azure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BI</w:t>
            </w:r>
          </w:p>
        </w:tc>
        <w:tc>
          <w:tcPr>
            <w:tcW w:type="dxa" w:w="2160"/>
          </w:tcPr>
          <w:p>
            <w:r>
              <w:t>PowerBI, Looker</w:t>
            </w:r>
          </w:p>
        </w:tc>
        <w:tc>
          <w:tcPr>
            <w:tcW w:type="dxa" w:w="2160"/>
          </w:tcPr>
          <w:p>
            <w:r>
              <w:t>Multi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p>
      <w:r>
        <w:br w:type="page"/>
      </w:r>
    </w:p>
    <w:p>
      <w:pPr>
        <w:pStyle w:val="Heading2"/>
      </w:pPr>
      <w:r>
        <w:t>CASE STUDIES</w:t>
      </w:r>
    </w:p>
    <w:p>
      <w:r>
        <w:t>Regulatory Reporting Revamp — Reduced audit turnaround time by 45%.</w:t>
      </w:r>
    </w:p>
    <w:p>
      <w:r>
        <w:t>Claims Analytics Platform — Enabled fraud detection models in production.</w:t>
      </w:r>
    </w:p>
    <w:p>
      <w:pPr>
        <w:pStyle w:val="Heading2"/>
      </w:pPr>
      <w:r>
        <w:t>IMPLEMENTATION STEPS</w:t>
      </w:r>
    </w:p>
    <w:p>
      <w:pPr>
        <w:pStyle w:val="ListNumber"/>
      </w:pPr>
      <w:r>
        <w:t>Stakeholder workshops</w:t>
      </w:r>
    </w:p>
    <w:p>
      <w:pPr>
        <w:pStyle w:val="ListNumber"/>
      </w:pPr>
      <w:r>
        <w:t>Source system profiling</w:t>
      </w:r>
    </w:p>
    <w:p>
      <w:pPr>
        <w:pStyle w:val="ListNumber"/>
      </w:pPr>
      <w:r>
        <w:t>Canonical modeling</w:t>
      </w:r>
    </w:p>
    <w:p>
      <w:pPr>
        <w:pStyle w:val="ListNumber"/>
      </w:pPr>
      <w:r>
        <w:t>Pipeline automation</w:t>
      </w:r>
    </w:p>
    <w:p>
      <w:pPr>
        <w:pStyle w:val="ListNumber"/>
      </w:pPr>
      <w:r>
        <w:t>Security compliance validation</w:t>
      </w:r>
    </w:p>
    <w:p>
      <w:r>
        <w:br w:type="page"/>
      </w:r>
    </w:p>
    <w:p>
      <w:pPr>
        <w:pStyle w:val="Heading2"/>
      </w:pPr>
      <w:r>
        <w:t>COST GOVERNANCE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Department</w:t>
            </w:r>
          </w:p>
        </w:tc>
        <w:tc>
          <w:tcPr>
            <w:tcW w:type="dxa" w:w="2880"/>
          </w:tcPr>
          <w:p>
            <w:r>
              <w:t>Spend (USD)</w:t>
            </w:r>
          </w:p>
        </w:tc>
        <w:tc>
          <w:tcPr>
            <w:tcW w:type="dxa" w:w="2880"/>
          </w:tcPr>
          <w:p>
            <w:r>
              <w:t>Savings %</w:t>
            </w:r>
          </w:p>
        </w:tc>
      </w:tr>
      <w:tr>
        <w:tc>
          <w:tcPr>
            <w:tcW w:type="dxa" w:w="2880"/>
          </w:tcPr>
          <w:p>
            <w:r>
              <w:t>Retail Banking</w:t>
            </w:r>
          </w:p>
        </w:tc>
        <w:tc>
          <w:tcPr>
            <w:tcW w:type="dxa" w:w="2880"/>
          </w:tcPr>
          <w:p>
            <w:r>
              <w:t>400,000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Insurance</w:t>
            </w:r>
          </w:p>
        </w:tc>
        <w:tc>
          <w:tcPr>
            <w:tcW w:type="dxa" w:w="2880"/>
          </w:tcPr>
          <w:p>
            <w:r>
              <w:t>275,000</w:t>
            </w:r>
          </w:p>
        </w:tc>
        <w:tc>
          <w:tcPr>
            <w:tcW w:type="dxa" w:w="2880"/>
          </w:tcPr>
          <w:p>
            <w:r>
              <w:t>22</w:t>
            </w:r>
          </w:p>
        </w:tc>
      </w:tr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190,000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</w:tbl>
    <w:p>
      <w:pPr>
        <w:pStyle w:val="Heading2"/>
      </w:pPr>
      <w:r>
        <w:t>EDUCATION</w:t>
      </w:r>
    </w:p>
    <w:p>
      <w:r>
        <w:t>M.S. Data Systems — University of Texas at Austin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Neha Kulkarni CV —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Neha Kulkarni — Enterprise Data Architect | neha.k@email.com | +91-98888-22222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