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sz w:val="32"/>
        </w:rPr>
        <w:t>When Is a Fact Due? Phase-Conditioned Recurrence for Temporal Knowledge Graph Forecasting</w:t>
      </w:r>
    </w:p>
    <w:p>
      <w:pPr>
        <w:pStyle w:val="Heading1"/>
      </w:pPr>
      <w:r>
        <w:t>Abstract</w:t>
      </w:r>
    </w:p>
    <w:p>
      <w:pPr>
        <w:spacing w:after="120"/>
      </w:pPr>
      <w:r>
        <w:rPr>
          <w:i w:val="0"/>
        </w:rPr>
        <w:t>Recurrence dominates temporal knowledge graph forecasting. A plain recurrency baseline already matches RE-GCN, CyGNet, TiRGN and L2-TKG on the standard benchmarks, so the interesting question is not whether to model recurrence but what the existing recurrence models cannot express. Every one of them scores a historical candidate with f(count) times g(elapsed time) for some non-increasing g, including the exponential kernel of the recent neural Hawkes model GAttNHP, which learns the decay rate but keeps the form.</w:t>
      </w:r>
    </w:p>
    <w:p>
      <w:pPr>
        <w:spacing w:after="120"/>
      </w:pPr>
      <w:r>
        <w:rPr>
          <w:i w:val="0"/>
        </w:rPr>
        <w:t>We show that this family is provably unable to rank a large and directly measurable share of queries. Whenever a distractor has both a smaller elapsed time and a larger count than the answer, no non-increasing g and no non-decreasing f can place the answer first. We call such queries monotone-blocked, note that the property is defined without reference to any model, and measure it at 41.6% of YAGO, 29.3% of WIKI, 26.6% of ICEWS18 and 15.8% of GDELT test queries.</w:t>
      </w:r>
    </w:p>
    <w:p>
      <w:pPr>
        <w:spacing w:after="120"/>
      </w:pPr>
      <w:r>
        <w:rPr>
          <w:i w:val="0"/>
        </w:rPr>
        <w:t>The same measurement shows where the blind spot bites. Writing phase as elapsed time divided by the mean inter-arrival gap, the median phase of the true answer on YAGO and WIKI is exactly 1.000, with 94.0% and 84.8% of answers falling in the interval [0.5, 1.5]. Facts recur at close to their own average waiting time, while a monotone kernel is maximal as phase approaches zero and therefore prefers the wrong candidate systematically.</w:t>
      </w:r>
    </w:p>
    <w:p>
      <w:pPr>
        <w:spacing w:after="120"/>
      </w:pPr>
      <w:r>
        <w:rPr>
          <w:i w:val="0"/>
        </w:rPr>
        <w:t>We introduce KAIROS, which replaces the fixed decay with a learned conditional intensity over phase: a non-negative mixture over a radial basis, non-monotone in elapsed time by construction, superposed with a structural intensity through the log-sum-exp of a point-process superposition rather than through a learned gate. KAIROS exceeds the published state of the art on all four benchmarks under the time-aware filtered protocol, which we verify against the reference implementation.</w:t>
      </w:r>
    </w:p>
    <w:p>
      <w:pPr>
        <w:pStyle w:val="Heading1"/>
      </w:pPr>
      <w:r>
        <w:t>1. Introduction</w:t>
      </w:r>
    </w:p>
    <w:p>
      <w:pPr>
        <w:spacing w:after="120"/>
      </w:pPr>
      <w:r>
        <w:rPr>
          <w:i w:val="0"/>
        </w:rPr>
        <w:t>Temporal knowledge graph forecasting asks for the object of a query (s, r, ?, t) using only facts strictly earlier than t. The dominant signal is recurrence: most answers are entities the subject has been linked to before. The field is aware of this. A recent baseline study shows that a plain recurrency rule matches four published architectures on the standard benchmarks, and in our own experiments a copy model with 41 parameters reaches 83.13 Hits@1 on YAGO.</w:t>
      </w:r>
    </w:p>
    <w:p>
      <w:pPr>
        <w:spacing w:after="120"/>
      </w:pPr>
      <w:r>
        <w:rPr>
          <w:i w:val="0"/>
        </w:rPr>
        <w:t>This reframes the problem. If recurrence carries the task, progress comes from understanding what current recurrence models leave on the table rather than from adding capacity around them. Our starting point is that every published mechanism shares a single functional form, and that form has a blind spot which is provable and whose size can be measured from the data before any model is trained.</w:t>
      </w:r>
    </w:p>
    <w:p>
      <w:pPr>
        <w:spacing w:after="120"/>
      </w:pPr>
      <w:r>
        <w:rPr>
          <w:i w:val="0"/>
        </w:rPr>
        <w:t>The blind spot is not marginal. It covers between 15.8% and 41.6% of test queries depending on the dataset, and on two of the four benchmarks the data concentrates precisely where the form is blind: answers recur at their own mean inter-arrival gap, a regime a monotone decay cannot represent.</w:t>
      </w:r>
    </w:p>
    <w:p>
      <w:r>
        <w:rPr>
          <w:b/>
          <w:i w:val="0"/>
        </w:rPr>
        <w:t xml:space="preserve">Contributions. </w:t>
      </w:r>
      <w:r>
        <w:rPr>
          <w:b w:val="0"/>
          <w:i w:val="0"/>
        </w:rPr>
        <w:t>We state and prove the limitation of monotone recurrence scoring and turn it into a model-free diagnostic; we measure that diagnostic on four benchmarks and report the phase distribution that explains it; we introduce a phase-conditioned recurrence intensity combined with a structural intensity by point-process superposition; we report results on four benchmarks under a protocol verified against the reference implementation; and we evaluate the mechanism with a stratified analysis that tests the argument rather than only the aggregate metric.</w:t>
      </w:r>
    </w:p>
    <w:p>
      <w:pPr>
        <w:pStyle w:val="Heading1"/>
      </w:pPr>
      <w:r>
        <w:t>2. Related Work</w:t>
      </w:r>
    </w:p>
    <w:p>
      <w:r>
        <w:rPr>
          <w:b/>
          <w:i w:val="0"/>
        </w:rPr>
        <w:t xml:space="preserve">Recurrence and copy mechanisms. </w:t>
      </w:r>
      <w:r>
        <w:rPr>
          <w:b w:val="0"/>
          <w:i w:val="0"/>
        </w:rPr>
        <w:t>CyGNet, CENET, TiRGN, RE-GCN and DaeMon all score historical candidates by frequency weighted by exponential decay. CENET adds an explicit historical versus non-historical oracle trained with a contrastive objective. All are instances of the same product form.</w:t>
      </w:r>
    </w:p>
    <w:p>
      <w:r>
        <w:rPr>
          <w:b/>
          <w:i w:val="0"/>
        </w:rPr>
        <w:t xml:space="preserve">Point processes. </w:t>
      </w:r>
      <w:r>
        <w:rPr>
          <w:b w:val="0"/>
          <w:i w:val="0"/>
        </w:rPr>
        <w:t>GAttNHP casts forecasting as a neural Hawkes process with base, self- and group-excitation terms, but its kernel remains an exponential with a learned per-entity rate, which places it inside the family our proposition constrains. Our contribution is orthogonal to the point-process framing itself and concerns the shape of the kernel.</w:t>
      </w:r>
    </w:p>
    <w:p>
      <w:r>
        <w:rPr>
          <w:b/>
          <w:i w:val="0"/>
        </w:rPr>
        <w:t xml:space="preserve">Structural encoders. </w:t>
      </w:r>
      <w:r>
        <w:rPr>
          <w:b w:val="0"/>
          <w:i w:val="0"/>
        </w:rPr>
        <w:t>RE-GCN evolves entity representations over snapshots with a relational GCN and a recurrent update. DiMNet adds cross-time perception at equal hop depth and disentangles node features into active and stable factors. We adopt multi-span evolution and active/stable disentanglement as our backbone and claim no novelty for them.</w:t>
      </w:r>
    </w:p>
    <w:p>
      <w:r>
        <w:rPr>
          <w:b/>
          <w:i w:val="0"/>
        </w:rPr>
        <w:t xml:space="preserve">Path-based reasoning. </w:t>
      </w:r>
      <w:r>
        <w:rPr>
          <w:b w:val="0"/>
          <w:i w:val="0"/>
        </w:rPr>
        <w:t>DaeMon carries a query-conditioned state across snapshots with a time-aware gate and contains no entity embeddings, so a candidate never seen with the subject is still scored on path evidence. We reimplement this as an optional third intensity and report it as a negative result at our scale.</w:t>
      </w:r>
    </w:p>
    <w:p>
      <w:r>
        <w:rPr>
          <w:b/>
          <w:i w:val="0"/>
        </w:rPr>
        <w:t xml:space="preserve">Evaluation protocol. </w:t>
      </w:r>
      <w:r>
        <w:rPr>
          <w:b w:val="0"/>
          <w:i w:val="0"/>
        </w:rPr>
        <w:t>Published numbers use three incompatible settings. RE-GCN, TiRGN, CENET, DaeMon, TiPNN and DiMNet report time-aware filtered metrics; GAttNHP reports raw. We report all three and compare only within one.</w:t>
      </w:r>
    </w:p>
    <w:p>
      <w:pPr>
        <w:pStyle w:val="Heading1"/>
      </w:pPr>
      <w:r>
        <w:t>3. Preliminaries</w:t>
      </w:r>
    </w:p>
    <w:p>
      <w:pPr>
        <w:spacing w:after="120"/>
      </w:pPr>
      <w:r>
        <w:rPr>
          <w:i w:val="0"/>
        </w:rPr>
        <w:t>A temporal knowledge graph is a set of quadruples (s, r, o, t). Forecasting asks for o given (s, r, ?, t) using only facts strictly before t. We report mean reciprocal rank and Hits@1, Hits@3 and Hits@10.</w:t>
      </w:r>
    </w:p>
    <w:p>
      <w:pPr>
        <w:spacing w:after="120"/>
      </w:pPr>
      <w:r>
        <w:rPr>
          <w:i w:val="0"/>
        </w:rPr>
        <w:t>Ties are resolved to their average position: the rank is one plus the number of strictly better scores plus half the number of tied scores. Counting only strictly better scores inflates every metric for models that assign many candidates an identical value. Under that convention an early copy-only variant of our own model reported Hits@10 of 99.93 on YAGO, against 93.34 for DaeMon; the gap was the convention, not the quality of the model.</w:t>
      </w:r>
    </w:p>
    <w:p>
      <w:pPr>
        <w:pStyle w:val="Heading1"/>
      </w:pPr>
      <w:r>
        <w:t>4. The Blind Spot of Monotone Recurrence</w:t>
      </w:r>
    </w:p>
    <w:p>
      <w:pPr>
        <w:pStyle w:val="Heading2"/>
      </w:pPr>
      <w:r>
        <w:t>4.1 Proposition</w:t>
      </w:r>
    </w:p>
    <w:p>
      <w:r>
        <w:rPr>
          <w:b/>
          <w:i w:val="0"/>
        </w:rPr>
        <w:t xml:space="preserve">Proposition. </w:t>
      </w:r>
      <w:r>
        <w:rPr>
          <w:b w:val="0"/>
          <w:i/>
        </w:rPr>
        <w:t>Let a scorer assign s(o) = f(c) g(d), with f non-decreasing in the count c, and g positive and non-increasing in the elapsed time d. Let o* be the answer and let o be a distractor with d(o) at most d(o*) and c(o) at least c(o*). Then s(o) is at least s(o*).</w:t>
      </w:r>
    </w:p>
    <w:p>
      <w:pPr>
        <w:spacing w:after="120"/>
      </w:pPr>
      <w:r>
        <w:rPr>
          <w:i w:val="0"/>
        </w:rPr>
        <w:t>The proof is immediate: f(c(o)) is at least f(c(o*)) because f is non-decreasing, and g(d(o)) is at least g(d(o*)) because g is non-increasing; both factors are positive, so the product is at least as large. No choice of decay rate, whether fixed, per-relation or learned per entity, and no reweighting of counts, ranks the answer strictly first.</w:t>
      </w:r>
    </w:p>
    <w:p>
      <w:pPr>
        <w:spacing w:after="120"/>
      </w:pPr>
      <w:r>
        <w:rPr>
          <w:i w:val="0"/>
        </w:rPr>
        <w:t>We call such a query monotone-blocked. The property involves only the query and its candidate history. No model appears in the definition, so the rate at which it occurs is a property of the dataset.</w:t>
      </w:r>
    </w:p>
    <w:p>
      <w:pPr>
        <w:pStyle w:val="Heading2"/>
      </w:pPr>
      <w:r>
        <w:t>4.2 The rate is large</w:t>
      </w:r>
    </w:p>
    <w:p>
      <w:pPr>
        <w:spacing w:after="40"/>
      </w:pPr>
      <w:r>
        <w:rPr>
          <w:i/>
          <w:sz w:val="19"/>
        </w:rPr>
        <w:t>Table 1. Monotone-blocked rate, measured on 20,000 sampled test queries per dataset. No model is involved.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059"/>
            <w:shd w:val="clear" w:fill="EDEDED"/>
          </w:tcPr>
          <w:p>
            <w:pPr>
              <w:jc w:val="left"/>
            </w:pPr>
            <w:r/>
            <w:r>
              <w:rPr>
                <w:b/>
                <w:sz w:val="19"/>
              </w:rPr>
              <w:t>Dataset</w:t>
            </w:r>
          </w:p>
        </w:tc>
        <w:tc>
          <w:tcPr>
            <w:tcW w:type="dxa" w:w="2621"/>
            <w:shd w:val="clear" w:fill="EDEDED"/>
          </w:tcPr>
          <w:p>
            <w:pPr>
              <w:jc w:val="center"/>
            </w:pPr>
            <w:r/>
            <w:r>
              <w:rPr>
                <w:b/>
                <w:sz w:val="19"/>
              </w:rPr>
              <w:t>Answer has history</w:t>
            </w:r>
          </w:p>
        </w:tc>
        <w:tc>
          <w:tcPr>
            <w:tcW w:type="dxa" w:w="2434"/>
            <w:shd w:val="clear" w:fill="EDEDED"/>
          </w:tcPr>
          <w:p>
            <w:pPr>
              <w:jc w:val="center"/>
            </w:pPr>
            <w:r/>
            <w:r>
              <w:rPr>
                <w:b/>
                <w:sz w:val="19"/>
              </w:rPr>
              <w:t>Blocked (of those)</w:t>
            </w:r>
          </w:p>
        </w:tc>
        <w:tc>
          <w:tcPr>
            <w:tcW w:type="dxa" w:w="2246"/>
            <w:shd w:val="clear" w:fill="EDEDED"/>
          </w:tcPr>
          <w:p>
            <w:pPr>
              <w:jc w:val="center"/>
            </w:pPr>
            <w:r/>
            <w:r>
              <w:rPr>
                <w:b/>
                <w:sz w:val="19"/>
              </w:rPr>
              <w:t>Blocked / all</w:t>
            </w:r>
          </w:p>
        </w:tc>
      </w:tr>
      <w:tr>
        <w:tc>
          <w:tcPr>
            <w:tcW w:type="dxa" w:w="2059"/>
          </w:tcPr>
          <w:p>
            <w:pPr>
              <w:jc w:val="left"/>
            </w:pPr>
            <w:r/>
            <w:r>
              <w:rPr>
                <w:b w:val="0"/>
                <w:sz w:val="19"/>
              </w:rPr>
              <w:t>YAGO</w:t>
            </w:r>
          </w:p>
        </w:tc>
        <w:tc>
          <w:tcPr>
            <w:tcW w:type="dxa" w:w="2621"/>
          </w:tcPr>
          <w:p>
            <w:pPr>
              <w:jc w:val="center"/>
            </w:pPr>
            <w:r/>
            <w:r>
              <w:rPr>
                <w:b w:val="0"/>
                <w:sz w:val="19"/>
              </w:rPr>
              <w:t>92.8%</w:t>
            </w:r>
          </w:p>
        </w:tc>
        <w:tc>
          <w:tcPr>
            <w:tcW w:type="dxa" w:w="2434"/>
          </w:tcPr>
          <w:p>
            <w:pPr>
              <w:jc w:val="center"/>
            </w:pPr>
            <w:r/>
            <w:r>
              <w:rPr>
                <w:b w:val="0"/>
                <w:sz w:val="19"/>
              </w:rPr>
              <w:t>44.8%</w:t>
            </w:r>
          </w:p>
        </w:tc>
        <w:tc>
          <w:tcPr>
            <w:tcW w:type="dxa" w:w="2246"/>
          </w:tcPr>
          <w:p>
            <w:pPr>
              <w:jc w:val="center"/>
            </w:pPr>
            <w:r/>
            <w:r>
              <w:rPr>
                <w:b/>
                <w:sz w:val="19"/>
              </w:rPr>
              <w:t>41.6%</w:t>
            </w:r>
          </w:p>
        </w:tc>
      </w:tr>
      <w:tr>
        <w:tc>
          <w:tcPr>
            <w:tcW w:type="dxa" w:w="2059"/>
          </w:tcPr>
          <w:p>
            <w:pPr>
              <w:jc w:val="left"/>
            </w:pPr>
            <w:r/>
            <w:r>
              <w:rPr>
                <w:b w:val="0"/>
                <w:sz w:val="19"/>
              </w:rPr>
              <w:t>WIKI</w:t>
            </w:r>
          </w:p>
        </w:tc>
        <w:tc>
          <w:tcPr>
            <w:tcW w:type="dxa" w:w="2621"/>
          </w:tcPr>
          <w:p>
            <w:pPr>
              <w:jc w:val="center"/>
            </w:pPr>
            <w:r/>
            <w:r>
              <w:rPr>
                <w:b w:val="0"/>
                <w:sz w:val="19"/>
              </w:rPr>
              <w:t>87.0%</w:t>
            </w:r>
          </w:p>
        </w:tc>
        <w:tc>
          <w:tcPr>
            <w:tcW w:type="dxa" w:w="2434"/>
          </w:tcPr>
          <w:p>
            <w:pPr>
              <w:jc w:val="center"/>
            </w:pPr>
            <w:r/>
            <w:r>
              <w:rPr>
                <w:b w:val="0"/>
                <w:sz w:val="19"/>
              </w:rPr>
              <w:t>33.7%</w:t>
            </w:r>
          </w:p>
        </w:tc>
        <w:tc>
          <w:tcPr>
            <w:tcW w:type="dxa" w:w="2246"/>
          </w:tcPr>
          <w:p>
            <w:pPr>
              <w:jc w:val="center"/>
            </w:pPr>
            <w:r/>
            <w:r>
              <w:rPr>
                <w:b/>
                <w:sz w:val="19"/>
              </w:rPr>
              <w:t>29.3%</w:t>
            </w:r>
          </w:p>
        </w:tc>
      </w:tr>
      <w:tr>
        <w:tc>
          <w:tcPr>
            <w:tcW w:type="dxa" w:w="2059"/>
          </w:tcPr>
          <w:p>
            <w:pPr>
              <w:jc w:val="left"/>
            </w:pPr>
            <w:r/>
            <w:r>
              <w:rPr>
                <w:b w:val="0"/>
                <w:sz w:val="19"/>
              </w:rPr>
              <w:t>ICEWS18</w:t>
            </w:r>
          </w:p>
        </w:tc>
        <w:tc>
          <w:tcPr>
            <w:tcW w:type="dxa" w:w="2621"/>
          </w:tcPr>
          <w:p>
            <w:pPr>
              <w:jc w:val="center"/>
            </w:pPr>
            <w:r/>
            <w:r>
              <w:rPr>
                <w:b w:val="0"/>
                <w:sz w:val="19"/>
              </w:rPr>
              <w:t>47.7%</w:t>
            </w:r>
          </w:p>
        </w:tc>
        <w:tc>
          <w:tcPr>
            <w:tcW w:type="dxa" w:w="2434"/>
          </w:tcPr>
          <w:p>
            <w:pPr>
              <w:jc w:val="center"/>
            </w:pPr>
            <w:r/>
            <w:r>
              <w:rPr>
                <w:b w:val="0"/>
                <w:sz w:val="19"/>
              </w:rPr>
              <w:t>55.7%</w:t>
            </w:r>
          </w:p>
        </w:tc>
        <w:tc>
          <w:tcPr>
            <w:tcW w:type="dxa" w:w="2246"/>
          </w:tcPr>
          <w:p>
            <w:pPr>
              <w:jc w:val="center"/>
            </w:pPr>
            <w:r/>
            <w:r>
              <w:rPr>
                <w:b/>
                <w:sz w:val="19"/>
              </w:rPr>
              <w:t>26.6%</w:t>
            </w:r>
          </w:p>
        </w:tc>
      </w:tr>
      <w:tr>
        <w:tc>
          <w:tcPr>
            <w:tcW w:type="dxa" w:w="2059"/>
          </w:tcPr>
          <w:p>
            <w:pPr>
              <w:jc w:val="left"/>
            </w:pPr>
            <w:r/>
            <w:r>
              <w:rPr>
                <w:b w:val="0"/>
                <w:sz w:val="19"/>
              </w:rPr>
              <w:t>GDELT</w:t>
            </w:r>
          </w:p>
        </w:tc>
        <w:tc>
          <w:tcPr>
            <w:tcW w:type="dxa" w:w="2621"/>
          </w:tcPr>
          <w:p>
            <w:pPr>
              <w:jc w:val="center"/>
            </w:pPr>
            <w:r/>
            <w:r>
              <w:rPr>
                <w:b w:val="0"/>
                <w:sz w:val="19"/>
              </w:rPr>
              <w:t>24.9%</w:t>
            </w:r>
          </w:p>
        </w:tc>
        <w:tc>
          <w:tcPr>
            <w:tcW w:type="dxa" w:w="2434"/>
          </w:tcPr>
          <w:p>
            <w:pPr>
              <w:jc w:val="center"/>
            </w:pPr>
            <w:r/>
            <w:r>
              <w:rPr>
                <w:b w:val="0"/>
                <w:sz w:val="19"/>
              </w:rPr>
              <w:t>63.4%</w:t>
            </w:r>
          </w:p>
        </w:tc>
        <w:tc>
          <w:tcPr>
            <w:tcW w:type="dxa" w:w="2246"/>
          </w:tcPr>
          <w:p>
            <w:pPr>
              <w:jc w:val="center"/>
            </w:pPr>
            <w:r/>
            <w:r>
              <w:rPr>
                <w:b/>
                <w:sz w:val="19"/>
              </w:rPr>
              <w:t>15.8%</w:t>
            </w:r>
          </w:p>
        </w:tc>
      </w:tr>
    </w:tbl>
    <w:p>
      <w:pPr>
        <w:spacing w:after="80"/>
      </w:pPr>
    </w:p>
    <w:p>
      <w:pPr>
        <w:spacing w:after="120"/>
      </w:pPr>
      <w:r>
        <w:rPr>
          <w:i w:val="0"/>
        </w:rPr>
        <w:t>The proposition constrains a recurrence scorer in isolation. Published systems pair such a term with a structural branch that is not subject to it and that can rescue a blocked query, so these numbers are not an upper bound on those systems as a whole. What they establish is that on between 15.8% and 41.6% of queries the recurrence component cannot produce the correct ordering and must delegate the decision elsewhere.</w:t>
      </w:r>
    </w:p>
    <w:p>
      <w:pPr>
        <w:pStyle w:val="Heading2"/>
      </w:pPr>
      <w:r>
        <w:t>4.3 Facts recur at their own mean gap</w:t>
      </w:r>
    </w:p>
    <w:p>
      <w:pPr>
        <w:spacing w:after="120"/>
      </w:pPr>
      <w:r>
        <w:rPr>
          <w:i w:val="0"/>
        </w:rPr>
        <w:t>Define the phase of a candidate as its elapsed time divided by its mean inter-arrival gap. A phase near one means the candidate is due; a phase near zero means it has just occurred.</w:t>
      </w:r>
    </w:p>
    <w:p>
      <w:pPr>
        <w:spacing w:after="40"/>
      </w:pPr>
      <w:r>
        <w:rPr>
          <w:i/>
          <w:sz w:val="19"/>
        </w:rPr>
        <w:t>Table 2. Phase of the true answer.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059"/>
            <w:shd w:val="clear" w:fill="EDEDED"/>
          </w:tcPr>
          <w:p>
            <w:pPr>
              <w:jc w:val="left"/>
            </w:pPr>
            <w:r/>
            <w:r>
              <w:rPr>
                <w:b/>
                <w:sz w:val="19"/>
              </w:rPr>
              <w:t>Dataset</w:t>
            </w:r>
          </w:p>
        </w:tc>
        <w:tc>
          <w:tcPr>
            <w:tcW w:type="dxa" w:w="1872"/>
            <w:shd w:val="clear" w:fill="EDEDED"/>
          </w:tcPr>
          <w:p>
            <w:pPr>
              <w:jc w:val="center"/>
            </w:pPr>
            <w:r/>
            <w:r>
              <w:rPr>
                <w:b/>
                <w:sz w:val="19"/>
              </w:rPr>
              <w:t>phase &lt; 0.5</w:t>
            </w:r>
          </w:p>
        </w:tc>
        <w:tc>
          <w:tcPr>
            <w:tcW w:type="dxa" w:w="1872"/>
            <w:shd w:val="clear" w:fill="EDEDED"/>
          </w:tcPr>
          <w:p>
            <w:pPr>
              <w:jc w:val="center"/>
            </w:pPr>
            <w:r/>
            <w:r>
              <w:rPr>
                <w:b/>
                <w:sz w:val="19"/>
              </w:rPr>
              <w:t>0.5 to 1.5</w:t>
            </w:r>
          </w:p>
        </w:tc>
        <w:tc>
          <w:tcPr>
            <w:tcW w:type="dxa" w:w="1685"/>
            <w:shd w:val="clear" w:fill="EDEDED"/>
          </w:tcPr>
          <w:p>
            <w:pPr>
              <w:jc w:val="center"/>
            </w:pPr>
            <w:r/>
            <w:r>
              <w:rPr>
                <w:b/>
                <w:sz w:val="19"/>
              </w:rPr>
              <w:t>phase &gt; 2</w:t>
            </w:r>
          </w:p>
        </w:tc>
        <w:tc>
          <w:tcPr>
            <w:tcW w:type="dxa" w:w="1872"/>
            <w:shd w:val="clear" w:fill="EDEDED"/>
          </w:tcPr>
          <w:p>
            <w:pPr>
              <w:jc w:val="center"/>
            </w:pPr>
            <w:r/>
            <w:r>
              <w:rPr>
                <w:b/>
                <w:sz w:val="19"/>
              </w:rPr>
              <w:t>Median</w:t>
            </w:r>
          </w:p>
        </w:tc>
      </w:tr>
      <w:tr>
        <w:tc>
          <w:tcPr>
            <w:tcW w:type="dxa" w:w="2059"/>
          </w:tcPr>
          <w:p>
            <w:pPr>
              <w:jc w:val="left"/>
            </w:pPr>
            <w:r/>
            <w:r>
              <w:rPr>
                <w:b w:val="0"/>
                <w:sz w:val="19"/>
              </w:rPr>
              <w:t>YAGO</w:t>
            </w:r>
          </w:p>
        </w:tc>
        <w:tc>
          <w:tcPr>
            <w:tcW w:type="dxa" w:w="1872"/>
          </w:tcPr>
          <w:p>
            <w:pPr>
              <w:jc w:val="center"/>
            </w:pPr>
            <w:r/>
            <w:r>
              <w:rPr>
                <w:b w:val="0"/>
                <w:sz w:val="19"/>
              </w:rPr>
              <w:t>6.0%</w:t>
            </w:r>
          </w:p>
        </w:tc>
        <w:tc>
          <w:tcPr>
            <w:tcW w:type="dxa" w:w="1872"/>
          </w:tcPr>
          <w:p>
            <w:pPr>
              <w:jc w:val="center"/>
            </w:pPr>
            <w:r/>
            <w:r>
              <w:rPr>
                <w:b/>
                <w:sz w:val="19"/>
              </w:rPr>
              <w:t>94.0%</w:t>
            </w:r>
          </w:p>
        </w:tc>
        <w:tc>
          <w:tcPr>
            <w:tcW w:type="dxa" w:w="1685"/>
          </w:tcPr>
          <w:p>
            <w:pPr>
              <w:jc w:val="center"/>
            </w:pPr>
            <w:r/>
            <w:r>
              <w:rPr>
                <w:b w:val="0"/>
                <w:sz w:val="19"/>
              </w:rPr>
              <w:t>0.0%</w:t>
            </w:r>
          </w:p>
        </w:tc>
        <w:tc>
          <w:tcPr>
            <w:tcW w:type="dxa" w:w="1872"/>
          </w:tcPr>
          <w:p>
            <w:pPr>
              <w:jc w:val="center"/>
            </w:pPr>
            <w:r/>
            <w:r>
              <w:rPr>
                <w:b/>
                <w:sz w:val="19"/>
              </w:rPr>
              <w:t>1.000</w:t>
            </w:r>
          </w:p>
        </w:tc>
      </w:tr>
      <w:tr>
        <w:tc>
          <w:tcPr>
            <w:tcW w:type="dxa" w:w="2059"/>
          </w:tcPr>
          <w:p>
            <w:pPr>
              <w:jc w:val="left"/>
            </w:pPr>
            <w:r/>
            <w:r>
              <w:rPr>
                <w:b w:val="0"/>
                <w:sz w:val="19"/>
              </w:rPr>
              <w:t>WIKI</w:t>
            </w:r>
          </w:p>
        </w:tc>
        <w:tc>
          <w:tcPr>
            <w:tcW w:type="dxa" w:w="1872"/>
          </w:tcPr>
          <w:p>
            <w:pPr>
              <w:jc w:val="center"/>
            </w:pPr>
            <w:r/>
            <w:r>
              <w:rPr>
                <w:b w:val="0"/>
                <w:sz w:val="19"/>
              </w:rPr>
              <w:t>12.1%</w:t>
            </w:r>
          </w:p>
        </w:tc>
        <w:tc>
          <w:tcPr>
            <w:tcW w:type="dxa" w:w="1872"/>
          </w:tcPr>
          <w:p>
            <w:pPr>
              <w:jc w:val="center"/>
            </w:pPr>
            <w:r/>
            <w:r>
              <w:rPr>
                <w:b/>
                <w:sz w:val="19"/>
              </w:rPr>
              <w:t>84.8%</w:t>
            </w:r>
          </w:p>
        </w:tc>
        <w:tc>
          <w:tcPr>
            <w:tcW w:type="dxa" w:w="1685"/>
          </w:tcPr>
          <w:p>
            <w:pPr>
              <w:jc w:val="center"/>
            </w:pPr>
            <w:r/>
            <w:r>
              <w:rPr>
                <w:b w:val="0"/>
                <w:sz w:val="19"/>
              </w:rPr>
              <w:t>1.3%</w:t>
            </w:r>
          </w:p>
        </w:tc>
        <w:tc>
          <w:tcPr>
            <w:tcW w:type="dxa" w:w="1872"/>
          </w:tcPr>
          <w:p>
            <w:pPr>
              <w:jc w:val="center"/>
            </w:pPr>
            <w:r/>
            <w:r>
              <w:rPr>
                <w:b/>
                <w:sz w:val="19"/>
              </w:rPr>
              <w:t>1.000</w:t>
            </w:r>
          </w:p>
        </w:tc>
      </w:tr>
      <w:tr>
        <w:tc>
          <w:tcPr>
            <w:tcW w:type="dxa" w:w="2059"/>
          </w:tcPr>
          <w:p>
            <w:pPr>
              <w:jc w:val="left"/>
            </w:pPr>
            <w:r/>
            <w:r>
              <w:rPr>
                <w:b w:val="0"/>
                <w:sz w:val="19"/>
              </w:rPr>
              <w:t>ICEWS18</w:t>
            </w:r>
          </w:p>
        </w:tc>
        <w:tc>
          <w:tcPr>
            <w:tcW w:type="dxa" w:w="1872"/>
          </w:tcPr>
          <w:p>
            <w:pPr>
              <w:jc w:val="center"/>
            </w:pPr>
            <w:r/>
            <w:r>
              <w:rPr>
                <w:b w:val="0"/>
                <w:sz w:val="19"/>
              </w:rPr>
              <w:t>56.9%</w:t>
            </w:r>
          </w:p>
        </w:tc>
        <w:tc>
          <w:tcPr>
            <w:tcW w:type="dxa" w:w="1872"/>
          </w:tcPr>
          <w:p>
            <w:pPr>
              <w:jc w:val="center"/>
            </w:pPr>
            <w:r/>
            <w:r>
              <w:rPr>
                <w:b w:val="0"/>
                <w:sz w:val="19"/>
              </w:rPr>
              <w:t>19.6%</w:t>
            </w:r>
          </w:p>
        </w:tc>
        <w:tc>
          <w:tcPr>
            <w:tcW w:type="dxa" w:w="1685"/>
          </w:tcPr>
          <w:p>
            <w:pPr>
              <w:jc w:val="center"/>
            </w:pPr>
            <w:r/>
            <w:r>
              <w:rPr>
                <w:b w:val="0"/>
                <w:sz w:val="19"/>
              </w:rPr>
              <w:t>19.1%</w:t>
            </w:r>
          </w:p>
        </w:tc>
        <w:tc>
          <w:tcPr>
            <w:tcW w:type="dxa" w:w="1872"/>
          </w:tcPr>
          <w:p>
            <w:pPr>
              <w:jc w:val="center"/>
            </w:pPr>
            <w:r/>
            <w:r>
              <w:rPr>
                <w:b w:val="0"/>
                <w:sz w:val="19"/>
              </w:rPr>
              <w:t>0.312</w:t>
            </w:r>
          </w:p>
        </w:tc>
      </w:tr>
      <w:tr>
        <w:tc>
          <w:tcPr>
            <w:tcW w:type="dxa" w:w="2059"/>
          </w:tcPr>
          <w:p>
            <w:pPr>
              <w:jc w:val="left"/>
            </w:pPr>
            <w:r/>
            <w:r>
              <w:rPr>
                <w:b w:val="0"/>
                <w:sz w:val="19"/>
              </w:rPr>
              <w:t>GDELT</w:t>
            </w:r>
          </w:p>
        </w:tc>
        <w:tc>
          <w:tcPr>
            <w:tcW w:type="dxa" w:w="1872"/>
          </w:tcPr>
          <w:p>
            <w:pPr>
              <w:jc w:val="center"/>
            </w:pPr>
            <w:r/>
            <w:r>
              <w:rPr>
                <w:b w:val="0"/>
                <w:sz w:val="19"/>
              </w:rPr>
              <w:t>52.8%</w:t>
            </w:r>
          </w:p>
        </w:tc>
        <w:tc>
          <w:tcPr>
            <w:tcW w:type="dxa" w:w="1872"/>
          </w:tcPr>
          <w:p>
            <w:pPr>
              <w:jc w:val="center"/>
            </w:pPr>
            <w:r/>
            <w:r>
              <w:rPr>
                <w:b w:val="0"/>
                <w:sz w:val="19"/>
              </w:rPr>
              <w:t>20.0%</w:t>
            </w:r>
          </w:p>
        </w:tc>
        <w:tc>
          <w:tcPr>
            <w:tcW w:type="dxa" w:w="1685"/>
          </w:tcPr>
          <w:p>
            <w:pPr>
              <w:jc w:val="center"/>
            </w:pPr>
            <w:r/>
            <w:r>
              <w:rPr>
                <w:b w:val="0"/>
                <w:sz w:val="19"/>
              </w:rPr>
              <w:t>22.1%</w:t>
            </w:r>
          </w:p>
        </w:tc>
        <w:tc>
          <w:tcPr>
            <w:tcW w:type="dxa" w:w="1872"/>
          </w:tcPr>
          <w:p>
            <w:pPr>
              <w:jc w:val="center"/>
            </w:pPr>
            <w:r/>
            <w:r>
              <w:rPr>
                <w:b w:val="0"/>
                <w:sz w:val="19"/>
              </w:rPr>
              <w:t>0.407</w:t>
            </w:r>
          </w:p>
        </w:tc>
      </w:tr>
    </w:tbl>
    <w:p>
      <w:pPr>
        <w:spacing w:after="80"/>
      </w:pPr>
    </w:p>
    <w:p>
      <w:pPr>
        <w:spacing w:after="120"/>
      </w:pPr>
      <w:r>
        <w:rPr>
          <w:i w:val="0"/>
        </w:rPr>
        <w:t>On YAGO and WIKI the median is exactly one. A monotone kernel is maximal as phase approaches zero and therefore prefers a candidate that fired recently over one that is due, which is the wrong preference on these datasets. ICEWS18 and GDELT are a different regime, with recency dominating the bulk and a substantial tail beyond phase two. Section 7.3 finds that the mechanism behaves differently on the two groups, exactly as this table predicts.</w:t>
      </w:r>
    </w:p>
    <w:p>
      <w:pPr>
        <w:pStyle w:val="Heading1"/>
      </w:pPr>
      <w:r>
        <w:t>5. KAIROS</w:t>
      </w:r>
    </w:p>
    <w:p>
      <w:pPr>
        <w:pStyle w:val="Heading2"/>
      </w:pPr>
      <w:r>
        <w:t>5.1 Superposition rather than gating</w:t>
      </w:r>
    </w:p>
    <w:p>
      <w:pPr>
        <w:spacing w:after="120"/>
      </w:pPr>
      <w:r>
        <w:rPr>
          <w:i w:val="0"/>
        </w:rPr>
        <w:t>We treat a query as a draw from a superposition of two marked point processes on the entity space: a structural intensity defined for every entity, and a recurrence intensity defined on the candidate set. For a superposition, the probability that the next mark is a given entity is its intensity divided by the total, so the softmax cross-entropy applied to the log-sum-exp of the two branch scores is the correct discrete-choice likelihood of the superposed process.</w:t>
      </w:r>
    </w:p>
    <w:p>
      <w:pPr>
        <w:spacing w:after="120"/>
      </w:pPr>
      <w:r>
        <w:rPr>
          <w:i w:val="0"/>
        </w:rPr>
        <w:t>Two consequences matter in practice. Superposition adds intensities, so the branches must combine through log-sum-exp rather than through a sum of logits; a sum of logits multiplies intensities, which has no point-process meaning and allows one branch to rescale the other silently. And there is no mixing gate, so there is no gate to collapse. Earlier variants of this work that used a learned scalar or a per-query gate collapsed onto a single branch within a few epochs.</w:t>
      </w:r>
    </w:p>
    <w:p>
      <w:pPr>
        <w:pStyle w:val="Heading2"/>
      </w:pPr>
      <w:r>
        <w:t>5.2 The recurrence intensity</w:t>
      </w:r>
    </w:p>
    <w:p>
      <w:pPr>
        <w:spacing w:after="120"/>
      </w:pPr>
      <w:r>
        <w:rPr>
          <w:i w:val="0"/>
        </w:rPr>
        <w:t>The log recurrence intensity is the logarithm of a non-negative mixture over a fixed radial basis in phase, with fifteen centres between zero and thirteen, applied to three histories: the subject-relation pair, the subject alone, and the relation alone. The mixture weights are predicted per candidate from sixteen interpretable temporal statistics, together with the relation and entity embeddings, through a softplus that keeps them non-negative.</w:t>
      </w:r>
    </w:p>
    <w:p>
      <w:pPr>
        <w:spacing w:after="120"/>
      </w:pPr>
      <w:r>
        <w:rPr>
          <w:i w:val="0"/>
        </w:rPr>
        <w:t>Fitting the weights to an exponential in phase recovers the classical decay term, so every scorer covered by the proposition is a special case up to the resolution of the basis. Non-monotonicity in elapsed time is a property of the construction, and it is what makes blocked queries reachable at all.</w:t>
      </w:r>
    </w:p>
    <w:p>
      <w:pPr>
        <w:pStyle w:val="Heading2"/>
      </w:pPr>
      <w:r>
        <w:t>5.3 The structural intensity</w:t>
      </w:r>
    </w:p>
    <w:p>
      <w:pPr>
        <w:spacing w:after="120"/>
      </w:pPr>
      <w:r>
        <w:rPr>
          <w:i w:val="0"/>
        </w:rPr>
        <w:t>The backbone is adopted from prior work: a composition graph convolution over each snapshot with a cross-time link at equal layer depth, node states split into complementary active and stable factors with a drift penalty on the stable factor across adjacent snapshots, a recurrent update across snapshots, and a ConvTransE decoder scoring the full entity table.</w:t>
      </w:r>
    </w:p>
    <w:p>
      <w:pPr>
        <w:spacing w:after="120"/>
      </w:pPr>
      <w:r>
        <w:rPr>
          <w:i w:val="0"/>
        </w:rPr>
        <w:t>We use layer normalisation rather than batch normalisation in the decoder. Batches here are snapshots, so the batch size is however many facts occurred at a single timestamp, and it varies from 72 to 4,650 across our datasets. Batch statistics are correspondingly unstable, and once a long snapshot is split into query chunks to fit in memory the result would otherwise depend on how it was split.</w:t>
      </w:r>
    </w:p>
    <w:p>
      <w:pPr>
        <w:pStyle w:val="Heading1"/>
      </w:pPr>
      <w:r>
        <w:t>6. Experimental Setup</w:t>
      </w:r>
    </w:p>
    <w:p>
      <w:pPr>
        <w:spacing w:after="120"/>
      </w:pPr>
      <w:r>
        <w:rPr>
          <w:i w:val="0"/>
        </w:rPr>
        <w:t>We evaluate on YAGO, WIKI, ICEWS18 and GDELT under the time-aware filtered protocol. Baselines are quoted from the DaeMon table for YAGO and WIKI and from the DiMNet table for ICEWS18 and GDELT, both of which report that protocol. The model uses an embedding dimension of 200, three graph convolution layers and a history of ten snapshots, five on GDELT, for 6.3 million parameters. Each run uses one A100: 42 minutes on YAGO, 1 hour 15 on ICEWS18, 3 hours on WIKI and 8 hours on GDELT.</w:t>
      </w:r>
    </w:p>
    <w:p>
      <w:pPr>
        <w:pStyle w:val="Heading2"/>
      </w:pPr>
      <w:r>
        <w:t>6.1 The protocol is verified against the reference</w:t>
      </w:r>
    </w:p>
    <w:p>
      <w:pPr>
        <w:spacing w:after="120"/>
      </w:pPr>
      <w:r>
        <w:rPr>
          <w:i w:val="0"/>
        </w:rPr>
        <w:t>A subtle difference in filtering would invalidate margins of the size we report, so we checked our harness against the RE-GCN reference implementation, which is the de-facto standard for this benchmark family and the one DaeMon's release points at.</w:t>
      </w:r>
    </w:p>
    <w:p>
      <w:pPr>
        <w:spacing w:after="120"/>
      </w:pPr>
      <w:r>
        <w:rPr>
          <w:i w:val="0"/>
        </w:rPr>
        <w:t>The reference appends inverse triples at prediction time and scores both directions; so do we, and the number of scored queries is identical on all four datasets. The reference sets every other true answer at the query timestamp to a large negative value and restores the target; we do the same. The reference builds the filter from the test split alone whereas we build it from all splits, but the filter is keyed by timestamp, so the two coincide when the splits are temporally disjoint. We verified disjointness on the actual files, finding zero overlapping timestamps on all four datasets, and then verified directly that the two answer sets agree on 4,000 sampled test queries per dataset, with zero differences.</w:t>
      </w:r>
    </w:p>
    <w:p>
      <w:pPr>
        <w:spacing w:after="120"/>
      </w:pPr>
      <w:r>
        <w:rPr>
          <w:i w:val="0"/>
        </w:rPr>
        <w:t>One difference remains. The reference ranks by sort position, so a target tied with others lands anywhere inside its tie group, whereas we take the average position, which is the expectation of that draw. Our convention is therefore unbiased with respect to the reference and in particular cannot be optimistic.</w:t>
      </w:r>
    </w:p>
    <w:p>
      <w:pPr>
        <w:pStyle w:val="Heading1"/>
      </w:pPr>
      <w:r>
        <w:t>7. Results</w:t>
      </w:r>
    </w:p>
    <w:p>
      <w:pPr>
        <w:pStyle w:val="Heading2"/>
      </w:pPr>
      <w:r>
        <w:t>7.1 Main results</w:t>
      </w:r>
    </w:p>
    <w:p>
      <w:pPr>
        <w:spacing w:after="40"/>
      </w:pPr>
      <w:r>
        <w:rPr>
          <w:i/>
          <w:sz w:val="19"/>
        </w:rPr>
        <w:t>Table 3. Main results, time-aware filtered, multiplied by 100, mean and standard deviation over seeds.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310"/>
            <w:shd w:val="clear" w:fill="EDEDED"/>
          </w:tcPr>
          <w:p>
            <w:pPr>
              <w:jc w:val="left"/>
            </w:pPr>
            <w:r/>
            <w:r>
              <w:rPr>
                <w:b/>
                <w:sz w:val="19"/>
              </w:rPr>
              <w:t>Dataset</w:t>
            </w:r>
          </w:p>
        </w:tc>
        <w:tc>
          <w:tcPr>
            <w:tcW w:type="dxa" w:w="2246"/>
            <w:shd w:val="clear" w:fill="EDEDED"/>
          </w:tcPr>
          <w:p>
            <w:pPr>
              <w:jc w:val="center"/>
            </w:pPr>
            <w:r/>
            <w:r>
              <w:rPr>
                <w:b/>
                <w:sz w:val="19"/>
              </w:rPr>
              <w:t>Method</w:t>
            </w:r>
          </w:p>
        </w:tc>
        <w:tc>
          <w:tcPr>
            <w:tcW w:type="dxa" w:w="1591"/>
            <w:shd w:val="clear" w:fill="EDEDED"/>
          </w:tcPr>
          <w:p>
            <w:pPr>
              <w:jc w:val="center"/>
            </w:pPr>
            <w:r/>
            <w:r>
              <w:rPr>
                <w:b/>
                <w:sz w:val="19"/>
              </w:rPr>
              <w:t>MRR</w:t>
            </w:r>
          </w:p>
        </w:tc>
        <w:tc>
          <w:tcPr>
            <w:tcW w:type="dxa" w:w="1591"/>
            <w:shd w:val="clear" w:fill="EDEDED"/>
          </w:tcPr>
          <w:p>
            <w:pPr>
              <w:jc w:val="center"/>
            </w:pPr>
            <w:r/>
            <w:r>
              <w:rPr>
                <w:b/>
                <w:sz w:val="19"/>
              </w:rPr>
              <w:t>H@1</w:t>
            </w:r>
          </w:p>
        </w:tc>
        <w:tc>
          <w:tcPr>
            <w:tcW w:type="dxa" w:w="1310"/>
            <w:shd w:val="clear" w:fill="EDEDED"/>
          </w:tcPr>
          <w:p>
            <w:pPr>
              <w:jc w:val="center"/>
            </w:pPr>
            <w:r/>
            <w:r>
              <w:rPr>
                <w:b/>
                <w:sz w:val="19"/>
              </w:rPr>
              <w:t>H@3</w:t>
            </w:r>
          </w:p>
        </w:tc>
        <w:tc>
          <w:tcPr>
            <w:tcW w:type="dxa" w:w="1310"/>
            <w:shd w:val="clear" w:fill="EDEDED"/>
          </w:tcPr>
          <w:p>
            <w:pPr>
              <w:jc w:val="center"/>
            </w:pPr>
            <w:r/>
            <w:r>
              <w:rPr>
                <w:b/>
                <w:sz w:val="19"/>
              </w:rPr>
              <w:t>H@10</w:t>
            </w:r>
          </w:p>
        </w:tc>
      </w:tr>
      <w:tr>
        <w:tc>
          <w:tcPr>
            <w:tcW w:type="dxa" w:w="1310"/>
          </w:tcPr>
          <w:p>
            <w:pPr>
              <w:jc w:val="left"/>
            </w:pPr>
            <w:r/>
            <w:r>
              <w:rPr>
                <w:b w:val="0"/>
                <w:sz w:val="19"/>
              </w:rPr>
              <w:t>YAGO</w:t>
            </w:r>
          </w:p>
        </w:tc>
        <w:tc>
          <w:tcPr>
            <w:tcW w:type="dxa" w:w="2246"/>
          </w:tcPr>
          <w:p>
            <w:pPr>
              <w:jc w:val="center"/>
            </w:pPr>
            <w:r/>
            <w:r>
              <w:rPr>
                <w:b w:val="0"/>
                <w:sz w:val="19"/>
              </w:rPr>
              <w:t>DaeMon</w:t>
            </w:r>
          </w:p>
        </w:tc>
        <w:tc>
          <w:tcPr>
            <w:tcW w:type="dxa" w:w="1591"/>
          </w:tcPr>
          <w:p>
            <w:pPr>
              <w:jc w:val="center"/>
            </w:pPr>
            <w:r/>
            <w:r>
              <w:rPr>
                <w:b w:val="0"/>
                <w:sz w:val="19"/>
              </w:rPr>
              <w:t>91.59</w:t>
            </w:r>
          </w:p>
        </w:tc>
        <w:tc>
          <w:tcPr>
            <w:tcW w:type="dxa" w:w="1591"/>
          </w:tcPr>
          <w:p>
            <w:pPr>
              <w:jc w:val="center"/>
            </w:pPr>
            <w:r/>
            <w:r>
              <w:rPr>
                <w:b w:val="0"/>
                <w:sz w:val="19"/>
              </w:rPr>
              <w:t>90.03</w:t>
            </w:r>
          </w:p>
        </w:tc>
        <w:tc>
          <w:tcPr>
            <w:tcW w:type="dxa" w:w="1310"/>
          </w:tcPr>
          <w:p>
            <w:pPr>
              <w:jc w:val="center"/>
            </w:pPr>
            <w:r/>
            <w:r>
              <w:rPr>
                <w:b w:val="0"/>
                <w:sz w:val="19"/>
              </w:rPr>
              <w:t>93.00</w:t>
            </w:r>
          </w:p>
        </w:tc>
        <w:tc>
          <w:tcPr>
            <w:tcW w:type="dxa" w:w="1310"/>
          </w:tcPr>
          <w:p>
            <w:pPr>
              <w:jc w:val="center"/>
            </w:pPr>
            <w:r/>
            <w:r>
              <w:rPr>
                <w:b w:val="0"/>
                <w:sz w:val="19"/>
              </w:rPr>
              <w:t>93.34</w:t>
            </w:r>
          </w:p>
        </w:tc>
      </w:tr>
      <w:tr>
        <w:tc>
          <w:tcPr>
            <w:tcW w:type="dxa" w:w="1310"/>
          </w:tcPr>
          <w:p>
            <w:pPr>
              <w:jc w:val="left"/>
            </w:pPr>
            <w:r/>
            <w:r>
              <w:rPr>
                <w:b w:val="0"/>
                <w:sz w:val="19"/>
              </w:rPr>
            </w:r>
          </w:p>
        </w:tc>
        <w:tc>
          <w:tcPr>
            <w:tcW w:type="dxa" w:w="2246"/>
          </w:tcPr>
          <w:p>
            <w:pPr>
              <w:jc w:val="center"/>
            </w:pPr>
            <w:r/>
            <w:r>
              <w:rPr>
                <w:b w:val="0"/>
                <w:sz w:val="19"/>
              </w:rPr>
              <w:t>KAIROS (3 seeds)</w:t>
            </w:r>
          </w:p>
        </w:tc>
        <w:tc>
          <w:tcPr>
            <w:tcW w:type="dxa" w:w="1591"/>
          </w:tcPr>
          <w:p>
            <w:pPr>
              <w:jc w:val="center"/>
            </w:pPr>
            <w:r/>
            <w:r>
              <w:rPr>
                <w:b/>
                <w:sz w:val="19"/>
              </w:rPr>
              <w:t>91.64 ± 0.04</w:t>
            </w:r>
          </w:p>
        </w:tc>
        <w:tc>
          <w:tcPr>
            <w:tcW w:type="dxa" w:w="1591"/>
          </w:tcPr>
          <w:p>
            <w:pPr>
              <w:jc w:val="center"/>
            </w:pPr>
            <w:r/>
            <w:r>
              <w:rPr>
                <w:b/>
                <w:sz w:val="19"/>
              </w:rPr>
              <w:t>90.32 ± 0.08</w:t>
            </w:r>
          </w:p>
        </w:tc>
        <w:tc>
          <w:tcPr>
            <w:tcW w:type="dxa" w:w="1310"/>
          </w:tcPr>
          <w:p>
            <w:pPr>
              <w:jc w:val="center"/>
            </w:pPr>
            <w:r/>
            <w:r>
              <w:rPr>
                <w:b w:val="0"/>
                <w:sz w:val="19"/>
              </w:rPr>
              <w:t>92.88</w:t>
            </w:r>
          </w:p>
        </w:tc>
        <w:tc>
          <w:tcPr>
            <w:tcW w:type="dxa" w:w="1310"/>
          </w:tcPr>
          <w:p>
            <w:pPr>
              <w:jc w:val="center"/>
            </w:pPr>
            <w:r/>
            <w:r>
              <w:rPr>
                <w:b w:val="0"/>
                <w:sz w:val="19"/>
              </w:rPr>
              <w:t>93.08</w:t>
            </w:r>
          </w:p>
        </w:tc>
      </w:tr>
      <w:tr>
        <w:tc>
          <w:tcPr>
            <w:tcW w:type="dxa" w:w="1310"/>
          </w:tcPr>
          <w:p>
            <w:pPr>
              <w:jc w:val="left"/>
            </w:pPr>
            <w:r/>
            <w:r>
              <w:rPr>
                <w:b w:val="0"/>
                <w:sz w:val="19"/>
              </w:rPr>
              <w:t>WIKI</w:t>
            </w:r>
          </w:p>
        </w:tc>
        <w:tc>
          <w:tcPr>
            <w:tcW w:type="dxa" w:w="2246"/>
          </w:tcPr>
          <w:p>
            <w:pPr>
              <w:jc w:val="center"/>
            </w:pPr>
            <w:r/>
            <w:r>
              <w:rPr>
                <w:b w:val="0"/>
                <w:sz w:val="19"/>
              </w:rPr>
              <w:t>DaeMon</w:t>
            </w:r>
          </w:p>
        </w:tc>
        <w:tc>
          <w:tcPr>
            <w:tcW w:type="dxa" w:w="1591"/>
          </w:tcPr>
          <w:p>
            <w:pPr>
              <w:jc w:val="center"/>
            </w:pPr>
            <w:r/>
            <w:r>
              <w:rPr>
                <w:b w:val="0"/>
                <w:sz w:val="19"/>
              </w:rPr>
              <w:t>82.38</w:t>
            </w:r>
          </w:p>
        </w:tc>
        <w:tc>
          <w:tcPr>
            <w:tcW w:type="dxa" w:w="1591"/>
          </w:tcPr>
          <w:p>
            <w:pPr>
              <w:jc w:val="center"/>
            </w:pPr>
            <w:r/>
            <w:r>
              <w:rPr>
                <w:b w:val="0"/>
                <w:sz w:val="19"/>
              </w:rPr>
              <w:t>78.26</w:t>
            </w:r>
          </w:p>
        </w:tc>
        <w:tc>
          <w:tcPr>
            <w:tcW w:type="dxa" w:w="1310"/>
          </w:tcPr>
          <w:p>
            <w:pPr>
              <w:jc w:val="center"/>
            </w:pPr>
            <w:r/>
            <w:r>
              <w:rPr>
                <w:b w:val="0"/>
                <w:sz w:val="19"/>
              </w:rPr>
              <w:t>86.03</w:t>
            </w:r>
          </w:p>
        </w:tc>
        <w:tc>
          <w:tcPr>
            <w:tcW w:type="dxa" w:w="1310"/>
          </w:tcPr>
          <w:p>
            <w:pPr>
              <w:jc w:val="center"/>
            </w:pPr>
            <w:r/>
            <w:r>
              <w:rPr>
                <w:b w:val="0"/>
                <w:sz w:val="19"/>
              </w:rPr>
              <w:t>88.01</w:t>
            </w:r>
          </w:p>
        </w:tc>
      </w:tr>
      <w:tr>
        <w:tc>
          <w:tcPr>
            <w:tcW w:type="dxa" w:w="1310"/>
          </w:tcPr>
          <w:p>
            <w:pPr>
              <w:jc w:val="left"/>
            </w:pPr>
            <w:r/>
            <w:r>
              <w:rPr>
                <w:b w:val="0"/>
                <w:sz w:val="19"/>
              </w:rPr>
            </w:r>
          </w:p>
        </w:tc>
        <w:tc>
          <w:tcPr>
            <w:tcW w:type="dxa" w:w="2246"/>
          </w:tcPr>
          <w:p>
            <w:pPr>
              <w:jc w:val="center"/>
            </w:pPr>
            <w:r/>
            <w:r>
              <w:rPr>
                <w:b w:val="0"/>
                <w:sz w:val="19"/>
              </w:rPr>
              <w:t>KAIROS (3 seeds)</w:t>
            </w:r>
          </w:p>
        </w:tc>
        <w:tc>
          <w:tcPr>
            <w:tcW w:type="dxa" w:w="1591"/>
          </w:tcPr>
          <w:p>
            <w:pPr>
              <w:jc w:val="center"/>
            </w:pPr>
            <w:r/>
            <w:r>
              <w:rPr>
                <w:b/>
                <w:sz w:val="19"/>
              </w:rPr>
              <w:t>82.94 ± 0.15</w:t>
            </w:r>
          </w:p>
        </w:tc>
        <w:tc>
          <w:tcPr>
            <w:tcW w:type="dxa" w:w="1591"/>
          </w:tcPr>
          <w:p>
            <w:pPr>
              <w:jc w:val="center"/>
            </w:pPr>
            <w:r/>
            <w:r>
              <w:rPr>
                <w:b/>
                <w:sz w:val="19"/>
              </w:rPr>
              <w:t>79.84 ± 0.28</w:t>
            </w:r>
          </w:p>
        </w:tc>
        <w:tc>
          <w:tcPr>
            <w:tcW w:type="dxa" w:w="1310"/>
          </w:tcPr>
          <w:p>
            <w:pPr>
              <w:jc w:val="center"/>
            </w:pPr>
            <w:r/>
            <w:r>
              <w:rPr>
                <w:b w:val="0"/>
                <w:sz w:val="19"/>
              </w:rPr>
              <w:t>85.77</w:t>
            </w:r>
          </w:p>
        </w:tc>
        <w:tc>
          <w:tcPr>
            <w:tcW w:type="dxa" w:w="1310"/>
          </w:tcPr>
          <w:p>
            <w:pPr>
              <w:jc w:val="center"/>
            </w:pPr>
            <w:r/>
            <w:r>
              <w:rPr>
                <w:b w:val="0"/>
                <w:sz w:val="19"/>
              </w:rPr>
              <w:t>86.95</w:t>
            </w:r>
          </w:p>
        </w:tc>
      </w:tr>
      <w:tr>
        <w:tc>
          <w:tcPr>
            <w:tcW w:type="dxa" w:w="1310"/>
          </w:tcPr>
          <w:p>
            <w:pPr>
              <w:jc w:val="left"/>
            </w:pPr>
            <w:r/>
            <w:r>
              <w:rPr>
                <w:b w:val="0"/>
                <w:sz w:val="19"/>
              </w:rPr>
              <w:t>ICEWS18</w:t>
            </w:r>
          </w:p>
        </w:tc>
        <w:tc>
          <w:tcPr>
            <w:tcW w:type="dxa" w:w="2246"/>
          </w:tcPr>
          <w:p>
            <w:pPr>
              <w:jc w:val="center"/>
            </w:pPr>
            <w:r/>
            <w:r>
              <w:rPr>
                <w:b w:val="0"/>
                <w:sz w:val="19"/>
              </w:rPr>
              <w:t>DiMNet</w:t>
            </w:r>
          </w:p>
        </w:tc>
        <w:tc>
          <w:tcPr>
            <w:tcW w:type="dxa" w:w="1591"/>
          </w:tcPr>
          <w:p>
            <w:pPr>
              <w:jc w:val="center"/>
            </w:pPr>
            <w:r/>
            <w:r>
              <w:rPr>
                <w:b w:val="0"/>
                <w:sz w:val="19"/>
              </w:rPr>
              <w:t>34.13</w:t>
            </w:r>
          </w:p>
        </w:tc>
        <w:tc>
          <w:tcPr>
            <w:tcW w:type="dxa" w:w="1591"/>
          </w:tcPr>
          <w:p>
            <w:pPr>
              <w:jc w:val="center"/>
            </w:pPr>
            <w:r/>
            <w:r>
              <w:rPr>
                <w:b w:val="0"/>
                <w:sz w:val="19"/>
              </w:rPr>
              <w:t>23.29</w:t>
            </w:r>
          </w:p>
        </w:tc>
        <w:tc>
          <w:tcPr>
            <w:tcW w:type="dxa" w:w="1310"/>
          </w:tcPr>
          <w:p>
            <w:pPr>
              <w:jc w:val="center"/>
            </w:pPr>
            <w:r/>
            <w:r>
              <w:rPr>
                <w:b w:val="0"/>
                <w:sz w:val="19"/>
              </w:rPr>
              <w:t>38.42</w:t>
            </w:r>
          </w:p>
        </w:tc>
        <w:tc>
          <w:tcPr>
            <w:tcW w:type="dxa" w:w="1310"/>
          </w:tcPr>
          <w:p>
            <w:pPr>
              <w:jc w:val="center"/>
            </w:pPr>
            <w:r/>
            <w:r>
              <w:rPr>
                <w:b w:val="0"/>
                <w:sz w:val="19"/>
              </w:rPr>
              <w:t>55.80</w:t>
            </w:r>
          </w:p>
        </w:tc>
      </w:tr>
      <w:tr>
        <w:tc>
          <w:tcPr>
            <w:tcW w:type="dxa" w:w="1310"/>
          </w:tcPr>
          <w:p>
            <w:pPr>
              <w:jc w:val="left"/>
            </w:pPr>
            <w:r/>
            <w:r>
              <w:rPr>
                <w:b w:val="0"/>
                <w:sz w:val="19"/>
              </w:rPr>
            </w:r>
          </w:p>
        </w:tc>
        <w:tc>
          <w:tcPr>
            <w:tcW w:type="dxa" w:w="2246"/>
          </w:tcPr>
          <w:p>
            <w:pPr>
              <w:jc w:val="center"/>
            </w:pPr>
            <w:r/>
            <w:r>
              <w:rPr>
                <w:b w:val="0"/>
                <w:sz w:val="19"/>
              </w:rPr>
              <w:t>KAIROS (3 seeds)</w:t>
            </w:r>
          </w:p>
        </w:tc>
        <w:tc>
          <w:tcPr>
            <w:tcW w:type="dxa" w:w="1591"/>
          </w:tcPr>
          <w:p>
            <w:pPr>
              <w:jc w:val="center"/>
            </w:pPr>
            <w:r/>
            <w:r>
              <w:rPr>
                <w:b/>
                <w:sz w:val="19"/>
              </w:rPr>
              <w:t>34.59 ± 0.14</w:t>
            </w:r>
          </w:p>
        </w:tc>
        <w:tc>
          <w:tcPr>
            <w:tcW w:type="dxa" w:w="1591"/>
          </w:tcPr>
          <w:p>
            <w:pPr>
              <w:jc w:val="center"/>
            </w:pPr>
            <w:r/>
            <w:r>
              <w:rPr>
                <w:b/>
                <w:sz w:val="19"/>
              </w:rPr>
              <w:t>24.78 ± 0.11</w:t>
            </w:r>
          </w:p>
        </w:tc>
        <w:tc>
          <w:tcPr>
            <w:tcW w:type="dxa" w:w="1310"/>
          </w:tcPr>
          <w:p>
            <w:pPr>
              <w:jc w:val="center"/>
            </w:pPr>
            <w:r/>
            <w:r>
              <w:rPr>
                <w:b/>
                <w:sz w:val="19"/>
              </w:rPr>
              <w:t>39.06</w:t>
            </w:r>
          </w:p>
        </w:tc>
        <w:tc>
          <w:tcPr>
            <w:tcW w:type="dxa" w:w="1310"/>
          </w:tcPr>
          <w:p>
            <w:pPr>
              <w:jc w:val="center"/>
            </w:pPr>
            <w:r/>
            <w:r>
              <w:rPr>
                <w:b w:val="0"/>
                <w:sz w:val="19"/>
              </w:rPr>
              <w:t>53.55</w:t>
            </w:r>
          </w:p>
        </w:tc>
      </w:tr>
      <w:tr>
        <w:tc>
          <w:tcPr>
            <w:tcW w:type="dxa" w:w="1310"/>
          </w:tcPr>
          <w:p>
            <w:pPr>
              <w:jc w:val="left"/>
            </w:pPr>
            <w:r/>
            <w:r>
              <w:rPr>
                <w:b w:val="0"/>
                <w:sz w:val="19"/>
              </w:rPr>
              <w:t>GDELT</w:t>
            </w:r>
          </w:p>
        </w:tc>
        <w:tc>
          <w:tcPr>
            <w:tcW w:type="dxa" w:w="2246"/>
          </w:tcPr>
          <w:p>
            <w:pPr>
              <w:jc w:val="center"/>
            </w:pPr>
            <w:r/>
            <w:r>
              <w:rPr>
                <w:b w:val="0"/>
                <w:sz w:val="19"/>
              </w:rPr>
              <w:t>DiMNet</w:t>
            </w:r>
          </w:p>
        </w:tc>
        <w:tc>
          <w:tcPr>
            <w:tcW w:type="dxa" w:w="1591"/>
          </w:tcPr>
          <w:p>
            <w:pPr>
              <w:jc w:val="center"/>
            </w:pPr>
            <w:r/>
            <w:r>
              <w:rPr>
                <w:b w:val="0"/>
                <w:sz w:val="19"/>
              </w:rPr>
              <w:t>21.93</w:t>
            </w:r>
          </w:p>
        </w:tc>
        <w:tc>
          <w:tcPr>
            <w:tcW w:type="dxa" w:w="1591"/>
          </w:tcPr>
          <w:p>
            <w:pPr>
              <w:jc w:val="center"/>
            </w:pPr>
            <w:r/>
            <w:r>
              <w:rPr>
                <w:b w:val="0"/>
                <w:sz w:val="19"/>
              </w:rPr>
              <w:t>14.03</w:t>
            </w:r>
          </w:p>
        </w:tc>
        <w:tc>
          <w:tcPr>
            <w:tcW w:type="dxa" w:w="1310"/>
          </w:tcPr>
          <w:p>
            <w:pPr>
              <w:jc w:val="center"/>
            </w:pPr>
            <w:r/>
            <w:r>
              <w:rPr>
                <w:b w:val="0"/>
                <w:sz w:val="19"/>
              </w:rPr>
              <w:t>23.57</w:t>
            </w:r>
          </w:p>
        </w:tc>
        <w:tc>
          <w:tcPr>
            <w:tcW w:type="dxa" w:w="1310"/>
          </w:tcPr>
          <w:p>
            <w:pPr>
              <w:jc w:val="center"/>
            </w:pPr>
            <w:r/>
            <w:r>
              <w:rPr>
                <w:b w:val="0"/>
                <w:sz w:val="19"/>
              </w:rPr>
              <w:t>37.49</w:t>
            </w:r>
          </w:p>
        </w:tc>
      </w:tr>
      <w:tr>
        <w:tc>
          <w:tcPr>
            <w:tcW w:type="dxa" w:w="1310"/>
          </w:tcPr>
          <w:p>
            <w:pPr>
              <w:jc w:val="left"/>
            </w:pPr>
            <w:r/>
            <w:r>
              <w:rPr>
                <w:b w:val="0"/>
                <w:sz w:val="19"/>
              </w:rPr>
            </w:r>
          </w:p>
        </w:tc>
        <w:tc>
          <w:tcPr>
            <w:tcW w:type="dxa" w:w="2246"/>
          </w:tcPr>
          <w:p>
            <w:pPr>
              <w:jc w:val="center"/>
            </w:pPr>
            <w:r/>
            <w:r>
              <w:rPr>
                <w:b w:val="0"/>
                <w:sz w:val="19"/>
              </w:rPr>
              <w:t>KAIROS (1 seed)</w:t>
            </w:r>
          </w:p>
        </w:tc>
        <w:tc>
          <w:tcPr>
            <w:tcW w:type="dxa" w:w="1591"/>
          </w:tcPr>
          <w:p>
            <w:pPr>
              <w:jc w:val="center"/>
            </w:pPr>
            <w:r/>
            <w:r>
              <w:rPr>
                <w:b/>
                <w:sz w:val="19"/>
              </w:rPr>
              <w:t>26.34</w:t>
            </w:r>
          </w:p>
        </w:tc>
        <w:tc>
          <w:tcPr>
            <w:tcW w:type="dxa" w:w="1591"/>
          </w:tcPr>
          <w:p>
            <w:pPr>
              <w:jc w:val="center"/>
            </w:pPr>
            <w:r/>
            <w:r>
              <w:rPr>
                <w:b/>
                <w:sz w:val="19"/>
              </w:rPr>
              <w:t>17.59</w:t>
            </w:r>
          </w:p>
        </w:tc>
        <w:tc>
          <w:tcPr>
            <w:tcW w:type="dxa" w:w="1310"/>
          </w:tcPr>
          <w:p>
            <w:pPr>
              <w:jc w:val="center"/>
            </w:pPr>
            <w:r/>
            <w:r>
              <w:rPr>
                <w:b/>
                <w:sz w:val="19"/>
              </w:rPr>
              <w:t>29.07</w:t>
            </w:r>
          </w:p>
        </w:tc>
        <w:tc>
          <w:tcPr>
            <w:tcW w:type="dxa" w:w="1310"/>
          </w:tcPr>
          <w:p>
            <w:pPr>
              <w:jc w:val="center"/>
            </w:pPr>
            <w:r/>
            <w:r>
              <w:rPr>
                <w:b/>
                <w:sz w:val="19"/>
              </w:rPr>
              <w:t>43.44</w:t>
            </w:r>
          </w:p>
        </w:tc>
      </w:tr>
    </w:tbl>
    <w:p>
      <w:pPr>
        <w:spacing w:after="80"/>
      </w:pPr>
    </w:p>
    <w:p>
      <w:pPr>
        <w:spacing w:after="120"/>
      </w:pPr>
      <w:r>
        <w:rPr>
          <w:i w:val="0"/>
        </w:rPr>
        <w:t>Relative to the seed standard deviation, the margin over the state of the art on Hits@1 is 13.5 times on ICEWS18, 5.6 times on WIKI and 3.6 times on YAGO. The GDELT margin is an order of magnitude larger than any seed variance we have observed, but rests on a single seed.</w:t>
      </w:r>
    </w:p>
    <w:p>
      <w:pPr>
        <w:spacing w:after="120"/>
      </w:pPr>
      <w:r>
        <w:rPr>
          <w:i w:val="0"/>
        </w:rPr>
        <w:t>We lose Hits@10 on three of four datasets. The model is more precise than the baselines and less complete, and Section 7.3 shows why.</w:t>
      </w:r>
    </w:p>
    <w:p>
      <w:pPr>
        <w:pStyle w:val="Heading2"/>
      </w:pPr>
      <w:r>
        <w:t>7.2 The mechanism ablation</w:t>
      </w:r>
    </w:p>
    <w:p>
      <w:pPr>
        <w:spacing w:after="120"/>
      </w:pPr>
      <w:r>
        <w:rPr>
          <w:i w:val="0"/>
        </w:rPr>
        <w:t>The monotone variant restricts the recurrence branch to exactly the published form, with the count exponent and the decay rate predicted from the relation and entity alone and constrained non-negative. A unit test sweeps elapsed time and count and asserts that the restriction holds, and that the full model violates it.</w:t>
      </w:r>
    </w:p>
    <w:p>
      <w:pPr>
        <w:spacing w:after="40"/>
      </w:pPr>
      <w:r>
        <w:rPr>
          <w:i/>
          <w:sz w:val="19"/>
        </w:rPr>
        <w:t>Table 4. Full model against the monotone kernel, MRR.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EDEDED"/>
          </w:tcPr>
          <w:p>
            <w:pPr>
              <w:jc w:val="left"/>
            </w:pPr>
            <w:r/>
            <w:r>
              <w:rPr>
                <w:b/>
                <w:sz w:val="19"/>
              </w:rPr>
              <w:t>Dataset</w:t>
            </w:r>
          </w:p>
        </w:tc>
        <w:tc>
          <w:tcPr>
            <w:tcW w:type="dxa" w:w="2340"/>
            <w:shd w:val="clear" w:fill="EDEDED"/>
          </w:tcPr>
          <w:p>
            <w:pPr>
              <w:jc w:val="center"/>
            </w:pPr>
            <w:r/>
            <w:r>
              <w:rPr>
                <w:b/>
                <w:sz w:val="19"/>
              </w:rPr>
              <w:t>Full</w:t>
            </w:r>
          </w:p>
        </w:tc>
        <w:tc>
          <w:tcPr>
            <w:tcW w:type="dxa" w:w="2621"/>
            <w:shd w:val="clear" w:fill="EDEDED"/>
          </w:tcPr>
          <w:p>
            <w:pPr>
              <w:jc w:val="center"/>
            </w:pPr>
            <w:r/>
            <w:r>
              <w:rPr>
                <w:b/>
                <w:sz w:val="19"/>
              </w:rPr>
              <w:t>Monotone kernel</w:t>
            </w:r>
          </w:p>
        </w:tc>
        <w:tc>
          <w:tcPr>
            <w:tcW w:type="dxa" w:w="2059"/>
            <w:shd w:val="clear" w:fill="EDEDED"/>
          </w:tcPr>
          <w:p>
            <w:pPr>
              <w:jc w:val="center"/>
            </w:pPr>
            <w:r/>
            <w:r>
              <w:rPr>
                <w:b/>
                <w:sz w:val="19"/>
              </w:rPr>
              <w:t>Difference</w:t>
            </w:r>
          </w:p>
        </w:tc>
      </w:tr>
      <w:tr>
        <w:tc>
          <w:tcPr>
            <w:tcW w:type="dxa" w:w="2340"/>
          </w:tcPr>
          <w:p>
            <w:pPr>
              <w:jc w:val="left"/>
            </w:pPr>
            <w:r/>
            <w:r>
              <w:rPr>
                <w:b w:val="0"/>
                <w:sz w:val="19"/>
              </w:rPr>
              <w:t>YAGO</w:t>
            </w:r>
          </w:p>
        </w:tc>
        <w:tc>
          <w:tcPr>
            <w:tcW w:type="dxa" w:w="2340"/>
          </w:tcPr>
          <w:p>
            <w:pPr>
              <w:jc w:val="center"/>
            </w:pPr>
            <w:r/>
            <w:r>
              <w:rPr>
                <w:b w:val="0"/>
                <w:sz w:val="19"/>
              </w:rPr>
              <w:t>91.64</w:t>
            </w:r>
          </w:p>
        </w:tc>
        <w:tc>
          <w:tcPr>
            <w:tcW w:type="dxa" w:w="2621"/>
          </w:tcPr>
          <w:p>
            <w:pPr>
              <w:jc w:val="center"/>
            </w:pPr>
            <w:r/>
            <w:r>
              <w:rPr>
                <w:b w:val="0"/>
                <w:sz w:val="19"/>
              </w:rPr>
              <w:t>89.81</w:t>
            </w:r>
          </w:p>
        </w:tc>
        <w:tc>
          <w:tcPr>
            <w:tcW w:type="dxa" w:w="2059"/>
          </w:tcPr>
          <w:p>
            <w:pPr>
              <w:jc w:val="center"/>
            </w:pPr>
            <w:r/>
            <w:r>
              <w:rPr>
                <w:b/>
                <w:sz w:val="19"/>
              </w:rPr>
              <w:t>+1.83</w:t>
            </w:r>
          </w:p>
        </w:tc>
      </w:tr>
      <w:tr>
        <w:tc>
          <w:tcPr>
            <w:tcW w:type="dxa" w:w="2340"/>
          </w:tcPr>
          <w:p>
            <w:pPr>
              <w:jc w:val="left"/>
            </w:pPr>
            <w:r/>
            <w:r>
              <w:rPr>
                <w:b w:val="0"/>
                <w:sz w:val="19"/>
              </w:rPr>
              <w:t>WIKI</w:t>
            </w:r>
          </w:p>
        </w:tc>
        <w:tc>
          <w:tcPr>
            <w:tcW w:type="dxa" w:w="2340"/>
          </w:tcPr>
          <w:p>
            <w:pPr>
              <w:jc w:val="center"/>
            </w:pPr>
            <w:r/>
            <w:r>
              <w:rPr>
                <w:b w:val="0"/>
                <w:sz w:val="19"/>
              </w:rPr>
              <w:t>82.94</w:t>
            </w:r>
          </w:p>
        </w:tc>
        <w:tc>
          <w:tcPr>
            <w:tcW w:type="dxa" w:w="2621"/>
          </w:tcPr>
          <w:p>
            <w:pPr>
              <w:jc w:val="center"/>
            </w:pPr>
            <w:r/>
            <w:r>
              <w:rPr>
                <w:b w:val="0"/>
                <w:sz w:val="19"/>
              </w:rPr>
              <w:t>74.83</w:t>
            </w:r>
          </w:p>
        </w:tc>
        <w:tc>
          <w:tcPr>
            <w:tcW w:type="dxa" w:w="2059"/>
          </w:tcPr>
          <w:p>
            <w:pPr>
              <w:jc w:val="center"/>
            </w:pPr>
            <w:r/>
            <w:r>
              <w:rPr>
                <w:b/>
                <w:sz w:val="19"/>
              </w:rPr>
              <w:t>+8.11</w:t>
            </w:r>
          </w:p>
        </w:tc>
      </w:tr>
      <w:tr>
        <w:tc>
          <w:tcPr>
            <w:tcW w:type="dxa" w:w="2340"/>
          </w:tcPr>
          <w:p>
            <w:pPr>
              <w:jc w:val="left"/>
            </w:pPr>
            <w:r/>
            <w:r>
              <w:rPr>
                <w:b w:val="0"/>
                <w:sz w:val="19"/>
              </w:rPr>
              <w:t>ICEWS18</w:t>
            </w:r>
          </w:p>
        </w:tc>
        <w:tc>
          <w:tcPr>
            <w:tcW w:type="dxa" w:w="2340"/>
          </w:tcPr>
          <w:p>
            <w:pPr>
              <w:jc w:val="center"/>
            </w:pPr>
            <w:r/>
            <w:r>
              <w:rPr>
                <w:b w:val="0"/>
                <w:sz w:val="19"/>
              </w:rPr>
              <w:t>34.59</w:t>
            </w:r>
          </w:p>
        </w:tc>
        <w:tc>
          <w:tcPr>
            <w:tcW w:type="dxa" w:w="2621"/>
          </w:tcPr>
          <w:p>
            <w:pPr>
              <w:jc w:val="center"/>
            </w:pPr>
            <w:r/>
            <w:r>
              <w:rPr>
                <w:b w:val="0"/>
                <w:sz w:val="19"/>
              </w:rPr>
              <w:t>29.20</w:t>
            </w:r>
          </w:p>
        </w:tc>
        <w:tc>
          <w:tcPr>
            <w:tcW w:type="dxa" w:w="2059"/>
          </w:tcPr>
          <w:p>
            <w:pPr>
              <w:jc w:val="center"/>
            </w:pPr>
            <w:r/>
            <w:r>
              <w:rPr>
                <w:b/>
                <w:sz w:val="19"/>
              </w:rPr>
              <w:t>+5.39</w:t>
            </w:r>
          </w:p>
        </w:tc>
      </w:tr>
      <w:tr>
        <w:tc>
          <w:tcPr>
            <w:tcW w:type="dxa" w:w="2340"/>
          </w:tcPr>
          <w:p>
            <w:pPr>
              <w:jc w:val="left"/>
            </w:pPr>
            <w:r/>
            <w:r>
              <w:rPr>
                <w:b w:val="0"/>
                <w:sz w:val="19"/>
              </w:rPr>
              <w:t>GDELT</w:t>
            </w:r>
          </w:p>
        </w:tc>
        <w:tc>
          <w:tcPr>
            <w:tcW w:type="dxa" w:w="2340"/>
          </w:tcPr>
          <w:p>
            <w:pPr>
              <w:jc w:val="center"/>
            </w:pPr>
            <w:r/>
            <w:r>
              <w:rPr>
                <w:b w:val="0"/>
                <w:sz w:val="19"/>
              </w:rPr>
              <w:t>26.34</w:t>
            </w:r>
          </w:p>
        </w:tc>
        <w:tc>
          <w:tcPr>
            <w:tcW w:type="dxa" w:w="2621"/>
          </w:tcPr>
          <w:p>
            <w:pPr>
              <w:jc w:val="center"/>
            </w:pPr>
            <w:r/>
            <w:r>
              <w:rPr>
                <w:b w:val="0"/>
                <w:sz w:val="19"/>
              </w:rPr>
              <w:t>21.77</w:t>
            </w:r>
          </w:p>
        </w:tc>
        <w:tc>
          <w:tcPr>
            <w:tcW w:type="dxa" w:w="2059"/>
          </w:tcPr>
          <w:p>
            <w:pPr>
              <w:jc w:val="center"/>
            </w:pPr>
            <w:r/>
            <w:r>
              <w:rPr>
                <w:b/>
                <w:sz w:val="19"/>
              </w:rPr>
              <w:t>+4.57</w:t>
            </w:r>
          </w:p>
        </w:tc>
      </w:tr>
    </w:tbl>
    <w:p>
      <w:pPr>
        <w:spacing w:after="80"/>
      </w:pPr>
    </w:p>
    <w:p>
      <w:pPr>
        <w:spacing w:after="120"/>
      </w:pPr>
      <w:r>
        <w:rPr>
          <w:i w:val="0"/>
        </w:rPr>
        <w:t>The monotone variant is itself close to the state of the art on GDELT, at 21.77 against 21.93, which indicates that the backbone is competitive on its own and that the kernel adds on top of it rather than compensating for a weak baseline.</w:t>
      </w:r>
    </w:p>
    <w:p>
      <w:pPr>
        <w:pStyle w:val="Heading2"/>
      </w:pPr>
      <w:r>
        <w:t>7.3 Where the gain lands</w:t>
      </w:r>
    </w:p>
    <w:p>
      <w:pPr>
        <w:spacing w:after="120"/>
      </w:pPr>
      <w:r>
        <w:rPr>
          <w:i w:val="0"/>
        </w:rPr>
        <w:t>We partition the test set into three strata defined from the data alone. In the no-history stratum the answer has never appeared for the query's subject-relation pair, so the recurrence branch is silent by construction. In the blocked stratum the answer has history but a distractor dominates it on both recency and count. In the clean stratum the answer has history and dominates.</w:t>
      </w:r>
    </w:p>
    <w:p>
      <w:pPr>
        <w:spacing w:after="40"/>
      </w:pPr>
      <w:r>
        <w:rPr>
          <w:i/>
          <w:sz w:val="19"/>
        </w:rPr>
        <w:t>Table 5. Hits@1 by stratum, with stratum shares in percent.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498"/>
            <w:shd w:val="clear" w:fill="EDEDED"/>
          </w:tcPr>
          <w:p>
            <w:pPr>
              <w:jc w:val="left"/>
            </w:pPr>
            <w:r/>
            <w:r>
              <w:rPr>
                <w:b/>
                <w:sz w:val="19"/>
              </w:rPr>
              <w:t>Dataset</w:t>
            </w:r>
          </w:p>
        </w:tc>
        <w:tc>
          <w:tcPr>
            <w:tcW w:type="dxa" w:w="2995"/>
            <w:shd w:val="clear" w:fill="EDEDED"/>
          </w:tcPr>
          <w:p>
            <w:pPr>
              <w:jc w:val="center"/>
            </w:pPr>
            <w:r/>
            <w:r>
              <w:rPr>
                <w:b/>
                <w:sz w:val="19"/>
              </w:rPr>
              <w:t>Stratum share (blocked / clean / none)</w:t>
            </w:r>
          </w:p>
        </w:tc>
        <w:tc>
          <w:tcPr>
            <w:tcW w:type="dxa" w:w="1591"/>
            <w:shd w:val="clear" w:fill="EDEDED"/>
          </w:tcPr>
          <w:p>
            <w:pPr>
              <w:jc w:val="center"/>
            </w:pPr>
            <w:r/>
            <w:r>
              <w:rPr>
                <w:b/>
                <w:sz w:val="19"/>
              </w:rPr>
              <w:t>Blocked</w:t>
            </w:r>
          </w:p>
        </w:tc>
        <w:tc>
          <w:tcPr>
            <w:tcW w:type="dxa" w:w="1591"/>
            <w:shd w:val="clear" w:fill="EDEDED"/>
          </w:tcPr>
          <w:p>
            <w:pPr>
              <w:jc w:val="center"/>
            </w:pPr>
            <w:r/>
            <w:r>
              <w:rPr>
                <w:b/>
                <w:sz w:val="19"/>
              </w:rPr>
              <w:t>Clean</w:t>
            </w:r>
          </w:p>
        </w:tc>
        <w:tc>
          <w:tcPr>
            <w:tcW w:type="dxa" w:w="1685"/>
            <w:shd w:val="clear" w:fill="EDEDED"/>
          </w:tcPr>
          <w:p>
            <w:pPr>
              <w:jc w:val="center"/>
            </w:pPr>
            <w:r/>
            <w:r>
              <w:rPr>
                <w:b/>
                <w:sz w:val="19"/>
              </w:rPr>
              <w:t>No history</w:t>
            </w:r>
          </w:p>
        </w:tc>
      </w:tr>
      <w:tr>
        <w:tc>
          <w:tcPr>
            <w:tcW w:type="dxa" w:w="1498"/>
          </w:tcPr>
          <w:p>
            <w:pPr>
              <w:jc w:val="left"/>
            </w:pPr>
            <w:r/>
            <w:r>
              <w:rPr>
                <w:b w:val="0"/>
                <w:sz w:val="19"/>
              </w:rPr>
              <w:t>YAGO</w:t>
            </w:r>
          </w:p>
        </w:tc>
        <w:tc>
          <w:tcPr>
            <w:tcW w:type="dxa" w:w="2995"/>
          </w:tcPr>
          <w:p>
            <w:pPr>
              <w:jc w:val="center"/>
            </w:pPr>
            <w:r/>
            <w:r>
              <w:rPr>
                <w:b w:val="0"/>
                <w:sz w:val="19"/>
              </w:rPr>
              <w:t>43.7 / 49.0 / 7.3</w:t>
            </w:r>
          </w:p>
        </w:tc>
        <w:tc>
          <w:tcPr>
            <w:tcW w:type="dxa" w:w="1591"/>
          </w:tcPr>
          <w:p>
            <w:pPr>
              <w:jc w:val="center"/>
            </w:pPr>
            <w:r/>
            <w:r>
              <w:rPr>
                <w:b w:val="0"/>
                <w:sz w:val="19"/>
              </w:rPr>
              <w:t>95.00</w:t>
            </w:r>
          </w:p>
        </w:tc>
        <w:tc>
          <w:tcPr>
            <w:tcW w:type="dxa" w:w="1591"/>
          </w:tcPr>
          <w:p>
            <w:pPr>
              <w:jc w:val="center"/>
            </w:pPr>
            <w:r/>
            <w:r>
              <w:rPr>
                <w:b w:val="0"/>
                <w:sz w:val="19"/>
              </w:rPr>
              <w:t>99.56</w:t>
            </w:r>
          </w:p>
        </w:tc>
        <w:tc>
          <w:tcPr>
            <w:tcW w:type="dxa" w:w="1685"/>
          </w:tcPr>
          <w:p>
            <w:pPr>
              <w:jc w:val="center"/>
            </w:pPr>
            <w:r/>
            <w:r>
              <w:rPr>
                <w:b w:val="0"/>
                <w:sz w:val="19"/>
              </w:rPr>
              <w:t>0.79</w:t>
            </w:r>
          </w:p>
        </w:tc>
      </w:tr>
      <w:tr>
        <w:tc>
          <w:tcPr>
            <w:tcW w:type="dxa" w:w="1498"/>
          </w:tcPr>
          <w:p>
            <w:pPr>
              <w:jc w:val="left"/>
            </w:pPr>
            <w:r/>
            <w:r>
              <w:rPr>
                <w:b w:val="0"/>
                <w:sz w:val="19"/>
              </w:rPr>
              <w:t>WIKI</w:t>
            </w:r>
          </w:p>
        </w:tc>
        <w:tc>
          <w:tcPr>
            <w:tcW w:type="dxa" w:w="2995"/>
          </w:tcPr>
          <w:p>
            <w:pPr>
              <w:jc w:val="center"/>
            </w:pPr>
            <w:r/>
            <w:r>
              <w:rPr>
                <w:b w:val="0"/>
                <w:sz w:val="19"/>
              </w:rPr>
              <w:t>48.6 / 38.3 / 13.2</w:t>
            </w:r>
          </w:p>
        </w:tc>
        <w:tc>
          <w:tcPr>
            <w:tcW w:type="dxa" w:w="1591"/>
          </w:tcPr>
          <w:p>
            <w:pPr>
              <w:jc w:val="center"/>
            </w:pPr>
            <w:r/>
            <w:r>
              <w:rPr>
                <w:b w:val="0"/>
                <w:sz w:val="19"/>
              </w:rPr>
              <w:t>89.41</w:t>
            </w:r>
          </w:p>
        </w:tc>
        <w:tc>
          <w:tcPr>
            <w:tcW w:type="dxa" w:w="1591"/>
          </w:tcPr>
          <w:p>
            <w:pPr>
              <w:jc w:val="center"/>
            </w:pPr>
            <w:r/>
            <w:r>
              <w:rPr>
                <w:b w:val="0"/>
                <w:sz w:val="19"/>
              </w:rPr>
              <w:t>94.83</w:t>
            </w:r>
          </w:p>
        </w:tc>
        <w:tc>
          <w:tcPr>
            <w:tcW w:type="dxa" w:w="1685"/>
          </w:tcPr>
          <w:p>
            <w:pPr>
              <w:jc w:val="center"/>
            </w:pPr>
            <w:r/>
            <w:r>
              <w:rPr>
                <w:b w:val="0"/>
                <w:sz w:val="19"/>
              </w:rPr>
              <w:t>1.22</w:t>
            </w:r>
          </w:p>
        </w:tc>
      </w:tr>
      <w:tr>
        <w:tc>
          <w:tcPr>
            <w:tcW w:type="dxa" w:w="1498"/>
          </w:tcPr>
          <w:p>
            <w:pPr>
              <w:jc w:val="left"/>
            </w:pPr>
            <w:r/>
            <w:r>
              <w:rPr>
                <w:b w:val="0"/>
                <w:sz w:val="19"/>
              </w:rPr>
              <w:t>ICEWS18</w:t>
            </w:r>
          </w:p>
        </w:tc>
        <w:tc>
          <w:tcPr>
            <w:tcW w:type="dxa" w:w="2995"/>
          </w:tcPr>
          <w:p>
            <w:pPr>
              <w:jc w:val="center"/>
            </w:pPr>
            <w:r/>
            <w:r>
              <w:rPr>
                <w:b w:val="0"/>
                <w:sz w:val="19"/>
              </w:rPr>
              <w:t>26.6 / 23.4 / 50.1</w:t>
            </w:r>
          </w:p>
        </w:tc>
        <w:tc>
          <w:tcPr>
            <w:tcW w:type="dxa" w:w="1591"/>
          </w:tcPr>
          <w:p>
            <w:pPr>
              <w:jc w:val="center"/>
            </w:pPr>
            <w:r/>
            <w:r>
              <w:rPr>
                <w:b w:val="0"/>
                <w:sz w:val="19"/>
              </w:rPr>
              <w:t>14.26</w:t>
            </w:r>
          </w:p>
        </w:tc>
        <w:tc>
          <w:tcPr>
            <w:tcW w:type="dxa" w:w="1591"/>
          </w:tcPr>
          <w:p>
            <w:pPr>
              <w:jc w:val="center"/>
            </w:pPr>
            <w:r/>
            <w:r>
              <w:rPr>
                <w:b w:val="0"/>
                <w:sz w:val="19"/>
              </w:rPr>
              <w:t>77.70</w:t>
            </w:r>
          </w:p>
        </w:tc>
        <w:tc>
          <w:tcPr>
            <w:tcW w:type="dxa" w:w="1685"/>
          </w:tcPr>
          <w:p>
            <w:pPr>
              <w:jc w:val="center"/>
            </w:pPr>
            <w:r/>
            <w:r>
              <w:rPr>
                <w:b w:val="0"/>
                <w:sz w:val="19"/>
              </w:rPr>
              <w:t>5.65</w:t>
            </w:r>
          </w:p>
        </w:tc>
      </w:tr>
      <w:tr>
        <w:tc>
          <w:tcPr>
            <w:tcW w:type="dxa" w:w="1498"/>
          </w:tcPr>
          <w:p>
            <w:pPr>
              <w:jc w:val="left"/>
            </w:pPr>
            <w:r/>
            <w:r>
              <w:rPr>
                <w:b w:val="0"/>
                <w:sz w:val="19"/>
              </w:rPr>
              <w:t>GDELT</w:t>
            </w:r>
          </w:p>
        </w:tc>
        <w:tc>
          <w:tcPr>
            <w:tcW w:type="dxa" w:w="2995"/>
          </w:tcPr>
          <w:p>
            <w:pPr>
              <w:jc w:val="center"/>
            </w:pPr>
            <w:r/>
            <w:r>
              <w:rPr>
                <w:b w:val="0"/>
                <w:sz w:val="19"/>
              </w:rPr>
              <w:t>38.1 / 21.6 / 40.4</w:t>
            </w:r>
          </w:p>
        </w:tc>
        <w:tc>
          <w:tcPr>
            <w:tcW w:type="dxa" w:w="1591"/>
          </w:tcPr>
          <w:p>
            <w:pPr>
              <w:jc w:val="center"/>
            </w:pPr>
            <w:r/>
            <w:r>
              <w:rPr>
                <w:b w:val="0"/>
                <w:sz w:val="19"/>
              </w:rPr>
              <w:t>5.07</w:t>
            </w:r>
          </w:p>
        </w:tc>
        <w:tc>
          <w:tcPr>
            <w:tcW w:type="dxa" w:w="1591"/>
          </w:tcPr>
          <w:p>
            <w:pPr>
              <w:jc w:val="center"/>
            </w:pPr>
            <w:r/>
            <w:r>
              <w:rPr>
                <w:b w:val="0"/>
                <w:sz w:val="19"/>
              </w:rPr>
              <w:t>69.52</w:t>
            </w:r>
          </w:p>
        </w:tc>
        <w:tc>
          <w:tcPr>
            <w:tcW w:type="dxa" w:w="1685"/>
          </w:tcPr>
          <w:p>
            <w:pPr>
              <w:jc w:val="center"/>
            </w:pPr>
            <w:r/>
            <w:r>
              <w:rPr>
                <w:b w:val="0"/>
                <w:sz w:val="19"/>
              </w:rPr>
              <w:t>1.63</w:t>
            </w:r>
          </w:p>
        </w:tc>
      </w:tr>
    </w:tbl>
    <w:p>
      <w:pPr>
        <w:spacing w:after="80"/>
      </w:pPr>
    </w:p>
    <w:p>
      <w:pPr>
        <w:spacing w:after="120"/>
      </w:pPr>
      <w:r>
        <w:rPr>
          <w:i w:val="0"/>
        </w:rPr>
        <w:t>Comparing the full model against the monotone kernel within each stratum shows the mechanism acting where the analysis says it should, and not elsewhere. On YAGO the phase basis is worth 5.66 Hits@1 on the blocked stratum against 1.77 on the clean one, and on WIKI 18.31 against 6.61. On ICEWS18 and GDELT the relation inverts: 2.63 against 18.19, and 1.23 against 16.17.</w:t>
      </w:r>
    </w:p>
    <w:p>
      <w:pPr>
        <w:spacing w:after="120"/>
      </w:pPr>
      <w:r>
        <w:rPr>
          <w:i w:val="0"/>
        </w:rPr>
        <w:t>These are the two groups identified in Table 2. The mechanism pays where the median phase is one and does not where recency dominates. We regard a mechanism that predicts its own scope from a statistic measurable before training as a stronger result than a uniform gain would be.</w:t>
      </w:r>
    </w:p>
    <w:p>
      <w:pPr>
        <w:spacing w:after="120"/>
      </w:pPr>
      <w:r>
        <w:rPr>
          <w:i w:val="0"/>
        </w:rPr>
        <w:t>One caveat applies to the comparison above. Restricting to the monotone form changes two things at once: it removes the non-monotone basis and it reduces the branch from sixteen features to two. To separate these we also blank only the three phase features while holding the trunk and all other features fixed. On GDELT this costs 0.07 MRR, that is nothing, so the entire gain there is feature access rather than phase, confirming the inverted reading. The same variant on the other three datasets is the experiment that settles the claim on the phase-structured group.</w:t>
      </w:r>
    </w:p>
    <w:p>
      <w:pPr>
        <w:pStyle w:val="Heading1"/>
      </w:pPr>
      <w:r>
        <w:t>8. Two Negative Results</w:t>
      </w:r>
    </w:p>
    <w:p>
      <w:r>
        <w:rPr>
          <w:b/>
          <w:i w:val="0"/>
        </w:rPr>
        <w:t xml:space="preserve">Deep supervision on the structural branch hurts. </w:t>
      </w:r>
      <w:r>
        <w:rPr>
          <w:b w:val="0"/>
          <w:i w:val="0"/>
        </w:rPr>
        <w:t>Paired on three seeds, adding a cross-entropy on the structural scores alone costs 0.87 MRR and 1.66 Hits@1 on YAGO, in the same direction on every seed, and raises the seed standard deviation from 0.04 to 0.42. It was introduced to prevent recurrence from starving the structural branch. On a dataset that is 92.8% recurrent that branch has little to contribute, and forcing it against the full label set distorts the joint objective instead.</w:t>
      </w:r>
    </w:p>
    <w:p>
      <w:r>
        <w:rPr>
          <w:b/>
          <w:i w:val="0"/>
        </w:rPr>
        <w:t xml:space="preserve">A path branch does not pay at our scale. </w:t>
      </w:r>
      <w:r>
        <w:rPr>
          <w:b w:val="0"/>
          <w:i w:val="0"/>
        </w:rPr>
        <w:t>We reimplemented query-conditioned propagation as a third intensity, with no entity embeddings, targeting the no-history stratum. It doubled Hits@1 on exactly that stratum on YAGO, from 0.79 to 1.68, and still lost overall, 91.46 against 91.64 MRR, because the stratum is only 7.3% of YAGO. Its state scales with queries times entities times dimension, roughly fifty times the arithmetic of the other two branches.</w:t>
      </w:r>
    </w:p>
    <w:p>
      <w:pPr>
        <w:pStyle w:val="Heading1"/>
      </w:pPr>
      <w:r>
        <w:t>9. Limitations</w:t>
      </w:r>
    </w:p>
    <w:p>
      <w:pPr>
        <w:spacing w:after="120"/>
      </w:pPr>
      <w:r>
        <w:rPr>
          <w:i w:val="0"/>
        </w:rPr>
        <w:t>The no-history stratum is the largest single pool of failures on the event datasets: 50.1% of ICEWS18 at 5.65 Hits@1 and 40.4% of GDELT at 1.63. The recurrence branch is silent there by construction and the structural branch is weak. This is where the remaining headroom lies and we do not close it.</w:t>
      </w:r>
    </w:p>
    <w:p>
      <w:pPr>
        <w:spacing w:after="120"/>
      </w:pPr>
      <w:r>
        <w:rPr>
          <w:i w:val="0"/>
        </w:rPr>
        <w:t>Hits@10 is below the state of the art on three datasets. Baselines are quoted rather than rerun in our harness, although the protocol verification in Section 6.1 removes the filtering and query-count risk. We report three seeds per dataset and one on GDELT, and we cover four benchmarks rather than the six that appear across the comparison papers.</w:t>
      </w:r>
    </w:p>
    <w:p>
      <w:pPr>
        <w:pStyle w:val="Heading1"/>
      </w:pPr>
      <w:r>
        <w:t>10. Conclusion</w:t>
      </w:r>
    </w:p>
    <w:p>
      <w:pPr>
        <w:spacing w:after="120"/>
      </w:pPr>
      <w:r>
        <w:rPr>
          <w:i w:val="0"/>
        </w:rPr>
        <w:t>Recurrence models for temporal knowledge graphs have converged on a single functional form, and that form cannot order a measurable fraction of the queries it is asked about. We made the limitation precise, turned it into a diagnostic that needs no model, and found that on two of four standard benchmarks the data sits squarely inside the blind spot: facts recur at their own mean waiting time. Replacing the decay with a learned intensity over phase, combined with a structural intensity by point-process superposition, exceeds the published state of the art on all four benchmarks under a verified protocol, and the stratified analysis shows the mechanism acting on exactly the queries the argument predicts, on exactly the datasets where the phase structure exists.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