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8C1A2E"/>
          <w:sz w:val="44"/>
        </w:rPr>
        <w:t>《智能贸易》课程项目说明与评分规则</w:t>
      </w:r>
    </w:p>
    <w:p>
      <w:pPr>
        <w:jc w:val="center"/>
      </w:pPr>
      <w:r>
        <w:rPr>
          <w:rFonts w:ascii="微软雅黑" w:hAnsi="微软雅黑" w:eastAsia="微软雅黑"/>
          <w:color w:val="5A6672"/>
          <w:sz w:val="22"/>
        </w:rPr>
        <w:t>2026 年秋季学期 · 课程项目（占总成绩 80%）· 四个项目任选其一</w:t>
      </w:r>
    </w:p>
    <w:p/>
    <w:p>
      <w:r>
        <w:rPr>
          <w:rFonts w:ascii="宋体" w:hAnsi="宋体" w:eastAsia="宋体"/>
          <w:b w:val="0"/>
          <w:i w:val="0"/>
          <w:color w:val="5A6672"/>
          <w:sz w:val="19"/>
        </w:rPr>
        <w:t>发布单位：深圳大学《智能贸易》课程组　　发布日期：2026 年 9 月</w:t>
      </w:r>
    </w:p>
    <w:p>
      <w:r>
        <w:rPr>
          <w:rFonts w:ascii="宋体" w:hAnsi="宋体" w:eastAsia="宋体"/>
          <w:b w:val="0"/>
          <w:i w:val="0"/>
          <w:color w:val="5A6672"/>
          <w:sz w:val="19"/>
        </w:rPr>
        <w:t>适用对象：选修《智能贸易》课程的本科生（国际经济与贸易、电子商务、工商管理、数字经济等专业）</w:t>
      </w:r>
    </w:p>
    <w:p/>
    <w:p>
      <w:pPr>
        <w:spacing w:before="240" w:after="80"/>
      </w:pPr>
      <w:r>
        <w:rPr>
          <w:rFonts w:ascii="微软雅黑" w:hAnsi="微软雅黑" w:eastAsia="微软雅黑"/>
          <w:b/>
          <w:color w:val="8C1A2E"/>
          <w:sz w:val="30"/>
        </w:rPr>
        <w:t>一、课程项目总体安排</w:t>
      </w:r>
    </w:p>
    <w:p>
      <w:pPr>
        <w:spacing w:before="160" w:after="80"/>
      </w:pPr>
      <w:r>
        <w:rPr>
          <w:rFonts w:ascii="微软雅黑" w:hAnsi="微软雅黑" w:eastAsia="微软雅黑"/>
          <w:b/>
          <w:color w:val="1E2630"/>
          <w:sz w:val="25"/>
        </w:rPr>
        <w:t>1.1 项目在课程考核中的位置</w:t>
      </w:r>
    </w:p>
    <w:p>
      <w:r>
        <w:rPr>
          <w:rFonts w:ascii="宋体" w:hAnsi="宋体" w:eastAsia="宋体"/>
          <w:b w:val="0"/>
          <w:i w:val="0"/>
        </w:rPr>
        <w:t>本课程采用“过程参与 + 项目答辩”的评价方式。课程项目成绩占总成绩的 80%，是决定最终成绩的核心环节；其余 20% 为平时成绩（课堂出勤与参与 10%、讨论与案例分析 5%、AI 工具实训作业 5%）。</w:t>
      </w:r>
    </w:p>
    <w:p>
      <w:pPr>
        <w:ind w:left="227"/>
      </w:pPr>
      <w:r>
        <w:rPr>
          <w:rFonts w:ascii="宋体" w:hAnsi="宋体" w:eastAsia="宋体"/>
          <w:i/>
          <w:color w:val="5A6672"/>
          <w:sz w:val="19"/>
        </w:rPr>
        <w:t>提示：由于项目占比高，请务必在第 11 周前完成组队与选题申报，避免因准备时间不足影响答辩与交付质量。</w:t>
      </w:r>
    </w:p>
    <w:p>
      <w:pPr>
        <w:spacing w:before="160" w:after="80"/>
      </w:pPr>
      <w:r>
        <w:rPr>
          <w:rFonts w:ascii="微软雅黑" w:hAnsi="微软雅黑" w:eastAsia="微软雅黑"/>
          <w:b/>
          <w:color w:val="1E2630"/>
          <w:sz w:val="25"/>
        </w:rPr>
        <w:t>1.2 项目成绩的两个组成部分</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fill="F2E9EA"/>
          </w:tcPr>
          <w:p>
            <w:r/>
            <w:r>
              <w:rPr>
                <w:rFonts w:ascii="微软雅黑" w:hAnsi="微软雅黑" w:eastAsia="微软雅黑"/>
                <w:b/>
                <w:sz w:val="18"/>
              </w:rPr>
              <w:t>组成部分</w:t>
            </w:r>
          </w:p>
        </w:tc>
        <w:tc>
          <w:tcPr>
            <w:tcW w:type="dxa" w:w="4535"/>
            <w:shd w:val="clear" w:fill="F2E9EA"/>
          </w:tcPr>
          <w:p>
            <w:r/>
            <w:r>
              <w:rPr>
                <w:rFonts w:ascii="微软雅黑" w:hAnsi="微软雅黑" w:eastAsia="微软雅黑"/>
                <w:b/>
                <w:sz w:val="18"/>
              </w:rPr>
              <w:t>形式与要求</w:t>
            </w:r>
          </w:p>
        </w:tc>
        <w:tc>
          <w:tcPr>
            <w:tcW w:type="dxa" w:w="2551"/>
            <w:shd w:val="clear" w:fill="F2E9EA"/>
          </w:tcPr>
          <w:p>
            <w:r/>
            <w:r>
              <w:rPr>
                <w:rFonts w:ascii="微软雅黑" w:hAnsi="微软雅黑" w:eastAsia="微软雅黑"/>
                <w:b/>
                <w:sz w:val="18"/>
              </w:rPr>
              <w:t>说明</w:t>
            </w:r>
          </w:p>
        </w:tc>
      </w:tr>
      <w:tr>
        <w:tc>
          <w:tcPr>
            <w:tcW w:type="dxa" w:w="1701"/>
          </w:tcPr>
          <w:p>
            <w:pPr>
              <w:spacing w:after="20"/>
            </w:pPr>
            <w:r/>
            <w:r>
              <w:rPr>
                <w:rFonts w:ascii="宋体" w:hAnsi="宋体" w:eastAsia="宋体"/>
                <w:sz w:val="18"/>
              </w:rPr>
              <w:t>课堂答辩</w:t>
            </w:r>
          </w:p>
        </w:tc>
        <w:tc>
          <w:tcPr>
            <w:tcW w:type="dxa" w:w="4535"/>
          </w:tcPr>
          <w:p>
            <w:pPr>
              <w:spacing w:after="20"/>
            </w:pPr>
            <w:r/>
            <w:r>
              <w:rPr>
                <w:rFonts w:ascii="宋体" w:hAnsi="宋体" w:eastAsia="宋体"/>
                <w:sz w:val="18"/>
              </w:rPr>
              <w:t>5 分钟陈述（＋教师与同学提问）</w:t>
            </w:r>
          </w:p>
        </w:tc>
        <w:tc>
          <w:tcPr>
            <w:tcW w:type="dxa" w:w="2551"/>
          </w:tcPr>
          <w:p>
            <w:pPr>
              <w:spacing w:after="20"/>
            </w:pPr>
            <w:r/>
            <w:r>
              <w:rPr>
                <w:rFonts w:ascii="宋体" w:hAnsi="宋体" w:eastAsia="宋体"/>
                <w:sz w:val="18"/>
              </w:rPr>
              <w:t>从第 11 周（2026 年 11 月 11 日）开始，每周安排 2–3 组</w:t>
            </w:r>
          </w:p>
        </w:tc>
      </w:tr>
      <w:tr>
        <w:tc>
          <w:tcPr>
            <w:tcW w:type="dxa" w:w="1701"/>
          </w:tcPr>
          <w:p>
            <w:pPr>
              <w:spacing w:after="20"/>
            </w:pPr>
            <w:r/>
            <w:r>
              <w:rPr>
                <w:rFonts w:ascii="宋体" w:hAnsi="宋体" w:eastAsia="宋体"/>
                <w:sz w:val="18"/>
              </w:rPr>
              <w:t>项目交付</w:t>
            </w:r>
          </w:p>
        </w:tc>
        <w:tc>
          <w:tcPr>
            <w:tcW w:type="dxa" w:w="4535"/>
          </w:tcPr>
          <w:p>
            <w:pPr>
              <w:spacing w:after="20"/>
            </w:pPr>
            <w:r/>
            <w:r>
              <w:rPr>
                <w:rFonts w:ascii="宋体" w:hAnsi="宋体" w:eastAsia="宋体"/>
                <w:sz w:val="18"/>
              </w:rPr>
              <w:t>① 纸质 PDF 报告（10 页以内，提交到学校信箱）</w:t>
              <w:br/>
              <w:t>② 其他材料发电子邮箱或线上提交（推荐 GitHub）</w:t>
              <w:br/>
              <w:t>③ 项目展示结果（网页、视频等）</w:t>
            </w:r>
          </w:p>
        </w:tc>
        <w:tc>
          <w:tcPr>
            <w:tcW w:type="dxa" w:w="2551"/>
          </w:tcPr>
          <w:p>
            <w:pPr>
              <w:spacing w:after="20"/>
            </w:pPr>
            <w:r/>
            <w:r>
              <w:rPr>
                <w:rFonts w:ascii="宋体" w:hAnsi="宋体" w:eastAsia="宋体"/>
                <w:sz w:val="18"/>
              </w:rPr>
              <w:t>电子材料应包含：项目过程、源代码、AI Prompt 记录、Markdown 文档</w:t>
            </w:r>
          </w:p>
        </w:tc>
      </w:tr>
    </w:tbl>
    <w:p/>
    <w:p>
      <w:pPr>
        <w:spacing w:before="160" w:after="80"/>
      </w:pPr>
      <w:r>
        <w:rPr>
          <w:rFonts w:ascii="微软雅黑" w:hAnsi="微软雅黑" w:eastAsia="微软雅黑"/>
          <w:b/>
          <w:color w:val="1E2630"/>
          <w:sz w:val="25"/>
        </w:rPr>
        <w:t>1.3 关键时间节点</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fill="F2E9EA"/>
          </w:tcPr>
          <w:p>
            <w:r/>
            <w:r>
              <w:rPr>
                <w:rFonts w:ascii="微软雅黑" w:hAnsi="微软雅黑" w:eastAsia="微软雅黑"/>
                <w:b/>
                <w:sz w:val="18"/>
              </w:rPr>
              <w:t>时间</w:t>
            </w:r>
          </w:p>
        </w:tc>
        <w:tc>
          <w:tcPr>
            <w:tcW w:type="dxa" w:w="3969"/>
            <w:shd w:val="clear" w:fill="F2E9EA"/>
          </w:tcPr>
          <w:p>
            <w:r/>
            <w:r>
              <w:rPr>
                <w:rFonts w:ascii="微软雅黑" w:hAnsi="微软雅黑" w:eastAsia="微软雅黑"/>
                <w:b/>
                <w:sz w:val="18"/>
              </w:rPr>
              <w:t>事项</w:t>
            </w:r>
          </w:p>
        </w:tc>
        <w:tc>
          <w:tcPr>
            <w:tcW w:type="dxa" w:w="1984"/>
            <w:shd w:val="clear" w:fill="F2E9EA"/>
          </w:tcPr>
          <w:p>
            <w:r/>
            <w:r>
              <w:rPr>
                <w:rFonts w:ascii="微软雅黑" w:hAnsi="微软雅黑" w:eastAsia="微软雅黑"/>
                <w:b/>
                <w:sz w:val="18"/>
              </w:rPr>
              <w:t>负责人/对象</w:t>
            </w:r>
          </w:p>
        </w:tc>
      </w:tr>
      <w:tr>
        <w:tc>
          <w:tcPr>
            <w:tcW w:type="dxa" w:w="2835"/>
          </w:tcPr>
          <w:p>
            <w:pPr>
              <w:spacing w:after="20"/>
            </w:pPr>
            <w:r/>
            <w:r>
              <w:rPr>
                <w:rFonts w:ascii="宋体" w:hAnsi="宋体" w:eastAsia="宋体"/>
                <w:sz w:val="18"/>
              </w:rPr>
              <w:t>第 11 周前（2026 年 11 月 11 日前）</w:t>
            </w:r>
          </w:p>
        </w:tc>
        <w:tc>
          <w:tcPr>
            <w:tcW w:type="dxa" w:w="3969"/>
          </w:tcPr>
          <w:p>
            <w:pPr>
              <w:spacing w:after="20"/>
            </w:pPr>
            <w:r/>
            <w:r>
              <w:rPr>
                <w:rFonts w:ascii="宋体" w:hAnsi="宋体" w:eastAsia="宋体"/>
                <w:sz w:val="18"/>
              </w:rPr>
              <w:t>提交组队学号、队名、项目选题与项目题目说明</w:t>
            </w:r>
          </w:p>
        </w:tc>
        <w:tc>
          <w:tcPr>
            <w:tcW w:type="dxa" w:w="1984"/>
          </w:tcPr>
          <w:p>
            <w:pPr>
              <w:spacing w:after="20"/>
            </w:pPr>
            <w:r/>
            <w:r>
              <w:rPr>
                <w:rFonts w:ascii="宋体" w:hAnsi="宋体" w:eastAsia="宋体"/>
                <w:sz w:val="18"/>
              </w:rPr>
              <w:t>各项目组 → 任课教师</w:t>
            </w:r>
          </w:p>
        </w:tc>
      </w:tr>
      <w:tr>
        <w:tc>
          <w:tcPr>
            <w:tcW w:type="dxa" w:w="2835"/>
          </w:tcPr>
          <w:p>
            <w:pPr>
              <w:spacing w:after="20"/>
            </w:pPr>
            <w:r/>
            <w:r>
              <w:rPr>
                <w:rFonts w:ascii="宋体" w:hAnsi="宋体" w:eastAsia="宋体"/>
                <w:sz w:val="18"/>
              </w:rPr>
              <w:t>第 11 周起（2026 年 11 月 11 日起）</w:t>
            </w:r>
          </w:p>
        </w:tc>
        <w:tc>
          <w:tcPr>
            <w:tcW w:type="dxa" w:w="3969"/>
          </w:tcPr>
          <w:p>
            <w:pPr>
              <w:spacing w:after="20"/>
            </w:pPr>
            <w:r/>
            <w:r>
              <w:rPr>
                <w:rFonts w:ascii="宋体" w:hAnsi="宋体" w:eastAsia="宋体"/>
                <w:sz w:val="18"/>
              </w:rPr>
              <w:t>课堂答辩开始，每周 2–3 组，按提交顺序或抽签排序</w:t>
            </w:r>
          </w:p>
        </w:tc>
        <w:tc>
          <w:tcPr>
            <w:tcW w:type="dxa" w:w="1984"/>
          </w:tcPr>
          <w:p>
            <w:pPr>
              <w:spacing w:after="20"/>
            </w:pPr>
            <w:r/>
            <w:r>
              <w:rPr>
                <w:rFonts w:ascii="宋体" w:hAnsi="宋体" w:eastAsia="宋体"/>
                <w:sz w:val="18"/>
              </w:rPr>
              <w:t>各项目组</w:t>
            </w:r>
          </w:p>
        </w:tc>
      </w:tr>
      <w:tr>
        <w:tc>
          <w:tcPr>
            <w:tcW w:type="dxa" w:w="2835"/>
          </w:tcPr>
          <w:p>
            <w:pPr>
              <w:spacing w:after="20"/>
            </w:pPr>
            <w:r/>
            <w:r>
              <w:rPr>
                <w:rFonts w:ascii="宋体" w:hAnsi="宋体" w:eastAsia="宋体"/>
                <w:sz w:val="18"/>
              </w:rPr>
              <w:t>答辩当周</w:t>
            </w:r>
          </w:p>
        </w:tc>
        <w:tc>
          <w:tcPr>
            <w:tcW w:type="dxa" w:w="3969"/>
          </w:tcPr>
          <w:p>
            <w:pPr>
              <w:spacing w:after="20"/>
            </w:pPr>
            <w:r/>
            <w:r>
              <w:rPr>
                <w:rFonts w:ascii="宋体" w:hAnsi="宋体" w:eastAsia="宋体"/>
                <w:sz w:val="18"/>
              </w:rPr>
              <w:t>现场 5 分钟陈述 + 提问环节</w:t>
            </w:r>
          </w:p>
        </w:tc>
        <w:tc>
          <w:tcPr>
            <w:tcW w:type="dxa" w:w="1984"/>
          </w:tcPr>
          <w:p>
            <w:pPr>
              <w:spacing w:after="20"/>
            </w:pPr>
            <w:r/>
            <w:r>
              <w:rPr>
                <w:rFonts w:ascii="宋体" w:hAnsi="宋体" w:eastAsia="宋体"/>
                <w:sz w:val="18"/>
              </w:rPr>
              <w:t>各项目组</w:t>
            </w:r>
          </w:p>
        </w:tc>
      </w:tr>
      <w:tr>
        <w:tc>
          <w:tcPr>
            <w:tcW w:type="dxa" w:w="2835"/>
          </w:tcPr>
          <w:p>
            <w:pPr>
              <w:spacing w:after="20"/>
            </w:pPr>
            <w:r/>
            <w:r>
              <w:rPr>
                <w:rFonts w:ascii="宋体" w:hAnsi="宋体" w:eastAsia="宋体"/>
                <w:sz w:val="18"/>
              </w:rPr>
              <w:t>课程结束前</w:t>
            </w:r>
          </w:p>
        </w:tc>
        <w:tc>
          <w:tcPr>
            <w:tcW w:type="dxa" w:w="3969"/>
          </w:tcPr>
          <w:p>
            <w:pPr>
              <w:spacing w:after="20"/>
            </w:pPr>
            <w:r/>
            <w:r>
              <w:rPr>
                <w:rFonts w:ascii="宋体" w:hAnsi="宋体" w:eastAsia="宋体"/>
                <w:sz w:val="18"/>
              </w:rPr>
              <w:t>提交纸质 PDF 报告（学校信箱）与全部电子材料</w:t>
            </w:r>
          </w:p>
        </w:tc>
        <w:tc>
          <w:tcPr>
            <w:tcW w:type="dxa" w:w="1984"/>
          </w:tcPr>
          <w:p>
            <w:pPr>
              <w:spacing w:after="20"/>
            </w:pPr>
            <w:r/>
            <w:r>
              <w:rPr>
                <w:rFonts w:ascii="宋体" w:hAnsi="宋体" w:eastAsia="宋体"/>
                <w:sz w:val="18"/>
              </w:rPr>
              <w:t>各项目组</w:t>
            </w:r>
          </w:p>
        </w:tc>
      </w:tr>
    </w:tbl>
    <w:p/>
    <w:p>
      <w:pPr>
        <w:spacing w:before="160" w:after="80"/>
      </w:pPr>
      <w:r>
        <w:rPr>
          <w:rFonts w:ascii="微软雅黑" w:hAnsi="微软雅黑" w:eastAsia="微软雅黑"/>
          <w:b/>
          <w:color w:val="1E2630"/>
          <w:sz w:val="25"/>
        </w:rPr>
        <w:t>1.4 组队与选题申报要求</w:t>
      </w:r>
    </w:p>
    <w:p>
      <w:pPr>
        <w:pStyle w:val="ListBullet"/>
        <w:spacing w:after="40"/>
      </w:pPr>
      <w:r>
        <w:rPr>
          <w:rFonts w:ascii="宋体" w:hAnsi="宋体" w:eastAsia="宋体"/>
        </w:rPr>
        <w:t>每队人数不超过 2 人，允许单人独立完成；建议 2 人组队以覆盖“技术实现 + 业务分析”两类工作。</w:t>
      </w:r>
    </w:p>
    <w:p>
      <w:pPr>
        <w:pStyle w:val="ListBullet"/>
        <w:spacing w:after="40"/>
      </w:pPr>
      <w:r>
        <w:rPr>
          <w:rFonts w:ascii="宋体" w:hAnsi="宋体" w:eastAsia="宋体"/>
        </w:rPr>
        <w:t>可自取队名，队名应健康、简洁、便于识别（答辩与成绩登记均使用队名）。</w:t>
      </w:r>
    </w:p>
    <w:p>
      <w:pPr>
        <w:pStyle w:val="ListBullet"/>
        <w:spacing w:after="40"/>
      </w:pPr>
      <w:r>
        <w:rPr>
          <w:rFonts w:ascii="宋体" w:hAnsi="宋体" w:eastAsia="宋体"/>
        </w:rPr>
        <w:t>申报内容包括：组队学号、队名、项目选题（四个项目之一）、项目题目与简要说明（做什么、面向什么场景）。</w:t>
      </w:r>
    </w:p>
    <w:p>
      <w:pPr>
        <w:pStyle w:val="ListBullet"/>
        <w:spacing w:after="40"/>
      </w:pPr>
      <w:r>
        <w:rPr>
          <w:rFonts w:ascii="宋体" w:hAnsi="宋体" w:eastAsia="宋体"/>
        </w:rPr>
        <w:t>四个项目任选其一；同一项目允许多组选择，但题目、目标市场与研究对象不得重复（先报先得，冲突时协商调整）。</w:t>
      </w:r>
    </w:p>
    <w:p>
      <w:pPr>
        <w:pStyle w:val="ListBullet"/>
        <w:spacing w:after="40"/>
      </w:pPr>
      <w:r>
        <w:rPr>
          <w:rFonts w:ascii="宋体" w:hAnsi="宋体" w:eastAsia="宋体"/>
        </w:rPr>
        <w:t>选题一经确认，原则上不再变更；确需调整须在答辩前一周向任课教师说明理由。</w:t>
      </w:r>
    </w:p>
    <w:p>
      <w:pPr>
        <w:spacing w:before="240" w:after="80"/>
      </w:pPr>
      <w:r>
        <w:rPr>
          <w:rFonts w:ascii="微软雅黑" w:hAnsi="微软雅黑" w:eastAsia="微软雅黑"/>
          <w:b/>
          <w:color w:val="8C1A2E"/>
          <w:sz w:val="30"/>
        </w:rPr>
        <w:t>二、项目评分规则</w:t>
      </w:r>
    </w:p>
    <w:p>
      <w:pPr>
        <w:spacing w:before="160" w:after="80"/>
      </w:pPr>
      <w:r>
        <w:rPr>
          <w:rFonts w:ascii="微软雅黑" w:hAnsi="微软雅黑" w:eastAsia="微软雅黑"/>
          <w:b/>
          <w:color w:val="1E2630"/>
          <w:sz w:val="25"/>
        </w:rPr>
        <w:t>2.1 成绩构成</w:t>
      </w:r>
    </w:p>
    <w:p>
      <w:r>
        <w:rPr>
          <w:rFonts w:ascii="宋体" w:hAnsi="宋体" w:eastAsia="宋体"/>
          <w:b w:val="0"/>
          <w:i w:val="0"/>
        </w:rPr>
        <w:t>项目成绩由“课堂答辩”与“项目交付”两部分构成。答辩侧重考察思路是否清晰、工作是否真实推进；交付侧重考察成果是否完整、可复现、可验证。</w:t>
      </w:r>
    </w:p>
    <w:p>
      <w:pPr>
        <w:spacing w:before="160" w:after="80"/>
      </w:pPr>
      <w:r>
        <w:rPr>
          <w:rFonts w:ascii="微软雅黑" w:hAnsi="微软雅黑" w:eastAsia="微软雅黑"/>
          <w:b/>
          <w:color w:val="1E2630"/>
          <w:sz w:val="25"/>
        </w:rPr>
        <w:t>2.2 答辩评分维度（参考）</w:t>
      </w:r>
    </w:p>
    <w:tbl>
      <w:tblPr>
        <w:tblStyle w:val="TableGrid"/>
        <w:tblW w:type="auto" w:w="0"/>
        <w:jc w:val="center"/>
        <w:tblLook w:firstColumn="1" w:firstRow="1" w:lastColumn="0" w:lastRow="0" w:noHBand="0" w:noVBand="1" w:val="04A0"/>
      </w:tblPr>
      <w:tblGrid>
        <w:gridCol w:w="4702"/>
        <w:gridCol w:w="4702"/>
      </w:tblGrid>
      <w:tr>
        <w:tc>
          <w:tcPr>
            <w:tcW w:type="dxa" w:w="1814"/>
            <w:shd w:val="clear" w:fill="F2E9EA"/>
          </w:tcPr>
          <w:p>
            <w:r/>
            <w:r>
              <w:rPr>
                <w:rFonts w:ascii="微软雅黑" w:hAnsi="微软雅黑" w:eastAsia="微软雅黑"/>
                <w:b/>
                <w:sz w:val="18"/>
              </w:rPr>
              <w:t>维度</w:t>
            </w:r>
          </w:p>
        </w:tc>
        <w:tc>
          <w:tcPr>
            <w:tcW w:type="dxa" w:w="6803"/>
            <w:shd w:val="clear" w:fill="F2E9EA"/>
          </w:tcPr>
          <w:p>
            <w:r/>
            <w:r>
              <w:rPr>
                <w:rFonts w:ascii="微软雅黑" w:hAnsi="微软雅黑" w:eastAsia="微软雅黑"/>
                <w:b/>
                <w:sz w:val="18"/>
              </w:rPr>
              <w:t>观察点</w:t>
            </w:r>
          </w:p>
        </w:tc>
      </w:tr>
      <w:tr>
        <w:tc>
          <w:tcPr>
            <w:tcW w:type="dxa" w:w="1814"/>
          </w:tcPr>
          <w:p>
            <w:pPr>
              <w:spacing w:after="20"/>
            </w:pPr>
            <w:r/>
            <w:r>
              <w:rPr>
                <w:rFonts w:ascii="宋体" w:hAnsi="宋体" w:eastAsia="宋体"/>
                <w:sz w:val="18"/>
              </w:rPr>
              <w:t>问题界定</w:t>
            </w:r>
          </w:p>
        </w:tc>
        <w:tc>
          <w:tcPr>
            <w:tcW w:type="dxa" w:w="6803"/>
          </w:tcPr>
          <w:p>
            <w:pPr>
              <w:spacing w:after="20"/>
            </w:pPr>
            <w:r/>
            <w:r>
              <w:rPr>
                <w:rFonts w:ascii="宋体" w:hAnsi="宋体" w:eastAsia="宋体"/>
                <w:sz w:val="18"/>
              </w:rPr>
              <w:t>是否说清“要解决什么出海实际问题”、边界与对象是否明确</w:t>
            </w:r>
          </w:p>
        </w:tc>
      </w:tr>
      <w:tr>
        <w:tc>
          <w:tcPr>
            <w:tcW w:type="dxa" w:w="1814"/>
          </w:tcPr>
          <w:p>
            <w:pPr>
              <w:spacing w:after="20"/>
            </w:pPr>
            <w:r/>
            <w:r>
              <w:rPr>
                <w:rFonts w:ascii="宋体" w:hAnsi="宋体" w:eastAsia="宋体"/>
                <w:sz w:val="18"/>
              </w:rPr>
              <w:t>方法与数据</w:t>
            </w:r>
          </w:p>
        </w:tc>
        <w:tc>
          <w:tcPr>
            <w:tcW w:type="dxa" w:w="6803"/>
          </w:tcPr>
          <w:p>
            <w:pPr>
              <w:spacing w:after="20"/>
            </w:pPr>
            <w:r/>
            <w:r>
              <w:rPr>
                <w:rFonts w:ascii="宋体" w:hAnsi="宋体" w:eastAsia="宋体"/>
                <w:sz w:val="18"/>
              </w:rPr>
              <w:t>选了哪些数据源与工具、为什么这样选、合规性如何保证</w:t>
            </w:r>
          </w:p>
        </w:tc>
      </w:tr>
      <w:tr>
        <w:tc>
          <w:tcPr>
            <w:tcW w:type="dxa" w:w="1814"/>
          </w:tcPr>
          <w:p>
            <w:pPr>
              <w:spacing w:after="20"/>
            </w:pPr>
            <w:r/>
            <w:r>
              <w:rPr>
                <w:rFonts w:ascii="宋体" w:hAnsi="宋体" w:eastAsia="宋体"/>
                <w:sz w:val="18"/>
              </w:rPr>
              <w:t>过程真实性</w:t>
            </w:r>
          </w:p>
        </w:tc>
        <w:tc>
          <w:tcPr>
            <w:tcW w:type="dxa" w:w="6803"/>
          </w:tcPr>
          <w:p>
            <w:pPr>
              <w:spacing w:after="20"/>
            </w:pPr>
            <w:r/>
            <w:r>
              <w:rPr>
                <w:rFonts w:ascii="宋体" w:hAnsi="宋体" w:eastAsia="宋体"/>
                <w:sz w:val="18"/>
              </w:rPr>
              <w:t>是否展示了真实推进过程（数据、代码、迭代记录、遇到的困难）</w:t>
            </w:r>
          </w:p>
        </w:tc>
      </w:tr>
      <w:tr>
        <w:tc>
          <w:tcPr>
            <w:tcW w:type="dxa" w:w="1814"/>
          </w:tcPr>
          <w:p>
            <w:pPr>
              <w:spacing w:after="20"/>
            </w:pPr>
            <w:r/>
            <w:r>
              <w:rPr>
                <w:rFonts w:ascii="宋体" w:hAnsi="宋体" w:eastAsia="宋体"/>
                <w:sz w:val="18"/>
              </w:rPr>
              <w:t>结论与验证</w:t>
            </w:r>
          </w:p>
        </w:tc>
        <w:tc>
          <w:tcPr>
            <w:tcW w:type="dxa" w:w="6803"/>
          </w:tcPr>
          <w:p>
            <w:pPr>
              <w:spacing w:after="20"/>
            </w:pPr>
            <w:r/>
            <w:r>
              <w:rPr>
                <w:rFonts w:ascii="宋体" w:hAnsi="宋体" w:eastAsia="宋体"/>
                <w:sz w:val="18"/>
              </w:rPr>
              <w:t>结论是否有证据支撑、是否说明适用边界与不确定性</w:t>
            </w:r>
          </w:p>
        </w:tc>
      </w:tr>
      <w:tr>
        <w:tc>
          <w:tcPr>
            <w:tcW w:type="dxa" w:w="1814"/>
          </w:tcPr>
          <w:p>
            <w:pPr>
              <w:spacing w:after="20"/>
            </w:pPr>
            <w:r/>
            <w:r>
              <w:rPr>
                <w:rFonts w:ascii="宋体" w:hAnsi="宋体" w:eastAsia="宋体"/>
                <w:sz w:val="18"/>
              </w:rPr>
              <w:t>表达与时间控制</w:t>
            </w:r>
          </w:p>
        </w:tc>
        <w:tc>
          <w:tcPr>
            <w:tcW w:type="dxa" w:w="6803"/>
          </w:tcPr>
          <w:p>
            <w:pPr>
              <w:spacing w:after="20"/>
            </w:pPr>
            <w:r/>
            <w:r>
              <w:rPr>
                <w:rFonts w:ascii="宋体" w:hAnsi="宋体" w:eastAsia="宋体"/>
                <w:sz w:val="18"/>
              </w:rPr>
              <w:t>5 分钟内讲清主线，重点突出，图表清晰</w:t>
            </w:r>
          </w:p>
        </w:tc>
      </w:tr>
    </w:tbl>
    <w:p/>
    <w:p>
      <w:pPr>
        <w:ind w:left="227"/>
      </w:pPr>
      <w:r>
        <w:rPr>
          <w:rFonts w:ascii="宋体" w:hAnsi="宋体" w:eastAsia="宋体"/>
          <w:i/>
          <w:color w:val="5A6672"/>
          <w:sz w:val="19"/>
        </w:rPr>
        <w:t>以上维度为课程组给出的评分观察点，便于各组自查；最终分值权重由课程组在课堂上公布。</w:t>
      </w:r>
    </w:p>
    <w:p>
      <w:pPr>
        <w:spacing w:before="160" w:after="80"/>
      </w:pPr>
      <w:r>
        <w:rPr>
          <w:rFonts w:ascii="微软雅黑" w:hAnsi="微软雅黑" w:eastAsia="微软雅黑"/>
          <w:b/>
          <w:color w:val="1E2630"/>
          <w:sz w:val="25"/>
        </w:rPr>
        <w:t>2.3 交付物评分维度（参考）</w:t>
      </w:r>
    </w:p>
    <w:tbl>
      <w:tblPr>
        <w:tblStyle w:val="TableGrid"/>
        <w:tblW w:type="auto" w:w="0"/>
        <w:jc w:val="center"/>
        <w:tblLook w:firstColumn="1" w:firstRow="1" w:lastColumn="0" w:lastRow="0" w:noHBand="0" w:noVBand="1" w:val="04A0"/>
      </w:tblPr>
      <w:tblGrid>
        <w:gridCol w:w="4702"/>
        <w:gridCol w:w="4702"/>
      </w:tblGrid>
      <w:tr>
        <w:tc>
          <w:tcPr>
            <w:tcW w:type="dxa" w:w="2551"/>
            <w:shd w:val="clear" w:fill="F2E9EA"/>
          </w:tcPr>
          <w:p>
            <w:r/>
            <w:r>
              <w:rPr>
                <w:rFonts w:ascii="微软雅黑" w:hAnsi="微软雅黑" w:eastAsia="微软雅黑"/>
                <w:b/>
                <w:sz w:val="18"/>
              </w:rPr>
              <w:t>交付物</w:t>
            </w:r>
          </w:p>
        </w:tc>
        <w:tc>
          <w:tcPr>
            <w:tcW w:type="dxa" w:w="6066"/>
            <w:shd w:val="clear" w:fill="F2E9EA"/>
          </w:tcPr>
          <w:p>
            <w:r/>
            <w:r>
              <w:rPr>
                <w:rFonts w:ascii="微软雅黑" w:hAnsi="微软雅黑" w:eastAsia="微软雅黑"/>
                <w:b/>
                <w:sz w:val="18"/>
              </w:rPr>
              <w:t>评分关注点</w:t>
            </w:r>
          </w:p>
        </w:tc>
      </w:tr>
      <w:tr>
        <w:tc>
          <w:tcPr>
            <w:tcW w:type="dxa" w:w="2551"/>
          </w:tcPr>
          <w:p>
            <w:pPr>
              <w:spacing w:after="20"/>
            </w:pPr>
            <w:r/>
            <w:r>
              <w:rPr>
                <w:rFonts w:ascii="宋体" w:hAnsi="宋体" w:eastAsia="宋体"/>
                <w:sz w:val="18"/>
              </w:rPr>
              <w:t>纸质 PDF 报告（≤10 页）</w:t>
            </w:r>
          </w:p>
        </w:tc>
        <w:tc>
          <w:tcPr>
            <w:tcW w:type="dxa" w:w="6066"/>
          </w:tcPr>
          <w:p>
            <w:pPr>
              <w:spacing w:after="20"/>
            </w:pPr>
            <w:r/>
            <w:r>
              <w:rPr>
                <w:rFonts w:ascii="宋体" w:hAnsi="宋体" w:eastAsia="宋体"/>
                <w:sz w:val="18"/>
              </w:rPr>
              <w:t>结构完整（摘要—背景—方法—分析—方案—验证—风险—参考文献）、图表规范、结论可执行</w:t>
            </w:r>
          </w:p>
        </w:tc>
      </w:tr>
      <w:tr>
        <w:tc>
          <w:tcPr>
            <w:tcW w:type="dxa" w:w="2551"/>
          </w:tcPr>
          <w:p>
            <w:pPr>
              <w:spacing w:after="20"/>
            </w:pPr>
            <w:r/>
            <w:r>
              <w:rPr>
                <w:rFonts w:ascii="宋体" w:hAnsi="宋体" w:eastAsia="宋体"/>
                <w:sz w:val="18"/>
              </w:rPr>
              <w:t>过程材料（源代码 / Prompt / MD 文档）</w:t>
            </w:r>
          </w:p>
        </w:tc>
        <w:tc>
          <w:tcPr>
            <w:tcW w:type="dxa" w:w="6066"/>
          </w:tcPr>
          <w:p>
            <w:pPr>
              <w:spacing w:after="20"/>
            </w:pPr>
            <w:r/>
            <w:r>
              <w:rPr>
                <w:rFonts w:ascii="宋体" w:hAnsi="宋体" w:eastAsia="宋体"/>
                <w:sz w:val="18"/>
              </w:rPr>
              <w:t>是否可复现、是否有清晰的 README、Prompt 是否体现了迭代过程</w:t>
            </w:r>
          </w:p>
        </w:tc>
      </w:tr>
      <w:tr>
        <w:tc>
          <w:tcPr>
            <w:tcW w:type="dxa" w:w="2551"/>
          </w:tcPr>
          <w:p>
            <w:pPr>
              <w:spacing w:after="20"/>
            </w:pPr>
            <w:r/>
            <w:r>
              <w:rPr>
                <w:rFonts w:ascii="宋体" w:hAnsi="宋体" w:eastAsia="宋体"/>
                <w:sz w:val="18"/>
              </w:rPr>
              <w:t>展示结果（网页 / 视频 / 原型）</w:t>
            </w:r>
          </w:p>
        </w:tc>
        <w:tc>
          <w:tcPr>
            <w:tcW w:type="dxa" w:w="6066"/>
          </w:tcPr>
          <w:p>
            <w:pPr>
              <w:spacing w:after="20"/>
            </w:pPr>
            <w:r/>
            <w:r>
              <w:rPr>
                <w:rFonts w:ascii="宋体" w:hAnsi="宋体" w:eastAsia="宋体"/>
                <w:sz w:val="18"/>
              </w:rPr>
              <w:t>能否实际运行或播放、是否体现项目核心能力、交互是否可用</w:t>
            </w:r>
          </w:p>
        </w:tc>
      </w:tr>
      <w:tr>
        <w:tc>
          <w:tcPr>
            <w:tcW w:type="dxa" w:w="2551"/>
          </w:tcPr>
          <w:p>
            <w:pPr>
              <w:spacing w:after="20"/>
            </w:pPr>
            <w:r/>
            <w:r>
              <w:rPr>
                <w:rFonts w:ascii="宋体" w:hAnsi="宋体" w:eastAsia="宋体"/>
                <w:sz w:val="18"/>
              </w:rPr>
              <w:t>数据与引用合规</w:t>
            </w:r>
          </w:p>
        </w:tc>
        <w:tc>
          <w:tcPr>
            <w:tcW w:type="dxa" w:w="6066"/>
          </w:tcPr>
          <w:p>
            <w:pPr>
              <w:spacing w:after="20"/>
            </w:pPr>
            <w:r/>
            <w:r>
              <w:rPr>
                <w:rFonts w:ascii="宋体" w:hAnsi="宋体" w:eastAsia="宋体"/>
                <w:sz w:val="18"/>
              </w:rPr>
              <w:t>数据来源可追溯、引用格式规范、知识产权无瑕疵</w:t>
            </w:r>
          </w:p>
        </w:tc>
      </w:tr>
    </w:tbl>
    <w:p/>
    <w:p>
      <w:pPr>
        <w:spacing w:before="160" w:after="80"/>
      </w:pPr>
      <w:r>
        <w:rPr>
          <w:rFonts w:ascii="微软雅黑" w:hAnsi="微软雅黑" w:eastAsia="微软雅黑"/>
          <w:b/>
          <w:color w:val="1E2630"/>
          <w:sz w:val="25"/>
        </w:rPr>
        <w:t>2.4 扣分与一票否决</w:t>
      </w:r>
    </w:p>
    <w:p>
      <w:pPr>
        <w:pStyle w:val="ListBullet"/>
        <w:spacing w:after="40"/>
      </w:pPr>
      <w:r>
        <w:rPr>
          <w:rFonts w:ascii="宋体" w:hAnsi="宋体" w:eastAsia="宋体"/>
        </w:rPr>
        <w:t>迟交：按课程组规定扣分；纸质报告未在截止时间前送达学校信箱视为迟交。</w:t>
      </w:r>
    </w:p>
    <w:p>
      <w:pPr>
        <w:pStyle w:val="ListBullet"/>
        <w:spacing w:after="40"/>
      </w:pPr>
      <w:r>
        <w:rPr>
          <w:rFonts w:ascii="宋体" w:hAnsi="宋体" w:eastAsia="宋体"/>
        </w:rPr>
        <w:t>报告超页：正文超过 10 页（不含封面、目录与附录）按规定扣分。</w:t>
      </w:r>
    </w:p>
    <w:p>
      <w:pPr>
        <w:pStyle w:val="ListBullet"/>
        <w:spacing w:after="40"/>
      </w:pPr>
      <w:r>
        <w:rPr>
          <w:rFonts w:ascii="宋体" w:hAnsi="宋体" w:eastAsia="宋体"/>
        </w:rPr>
        <w:t>一票否决项（出现即该项目不及格）：数据来源无法追溯、引用他人成果未标注、使用未经授权的数据采集方式、由 AI 代替完成概念构想与流程设计等创造性环节。</w:t>
      </w:r>
    </w:p>
    <w:p>
      <w:pPr>
        <w:spacing w:before="240" w:after="80"/>
      </w:pPr>
      <w:r>
        <w:rPr>
          <w:rFonts w:ascii="微软雅黑" w:hAnsi="微软雅黑" w:eastAsia="微软雅黑"/>
          <w:b/>
          <w:color w:val="8C1A2E"/>
          <w:sz w:val="30"/>
        </w:rPr>
        <w:t>三、项目通用要求</w:t>
      </w:r>
    </w:p>
    <w:p>
      <w:pPr>
        <w:spacing w:before="160" w:after="80"/>
      </w:pPr>
      <w:r>
        <w:rPr>
          <w:rFonts w:ascii="微软雅黑" w:hAnsi="微软雅黑" w:eastAsia="微软雅黑"/>
          <w:b/>
          <w:color w:val="1E2630"/>
          <w:sz w:val="25"/>
        </w:rPr>
        <w:t>3.1 选题要求</w:t>
      </w:r>
    </w:p>
    <w:p>
      <w:r>
        <w:rPr>
          <w:rFonts w:ascii="宋体" w:hAnsi="宋体" w:eastAsia="宋体"/>
          <w:b w:val="0"/>
          <w:i w:val="0"/>
        </w:rPr>
        <w:t>四个项目均要求：运用大数据与人工智能手段，解决企业或产品出海过程中的真实问题。选题应具备三个特征：有明确的业务对象、有可获取的数据、有可验证的结果。</w:t>
      </w:r>
    </w:p>
    <w:p>
      <w:pPr>
        <w:pStyle w:val="ListBullet"/>
        <w:spacing w:after="40"/>
      </w:pPr>
      <w:r>
        <w:rPr>
          <w:rFonts w:ascii="宋体" w:hAnsi="宋体" w:eastAsia="宋体"/>
        </w:rPr>
        <w:t>业务对象明确：说清是哪类企业、哪个产品、哪个目标市场。</w:t>
      </w:r>
    </w:p>
    <w:p>
      <w:pPr>
        <w:pStyle w:val="ListBullet"/>
        <w:spacing w:after="40"/>
      </w:pPr>
      <w:r>
        <w:rPr>
          <w:rFonts w:ascii="宋体" w:hAnsi="宋体" w:eastAsia="宋体"/>
        </w:rPr>
        <w:t>数据可获取：能在合规前提下拿到支撑分析的数据（公开统计、官方 API、授权数据、自采数据）。</w:t>
      </w:r>
    </w:p>
    <w:p>
      <w:pPr>
        <w:pStyle w:val="ListBullet"/>
        <w:spacing w:after="40"/>
      </w:pPr>
      <w:r>
        <w:rPr>
          <w:rFonts w:ascii="宋体" w:hAnsi="宋体" w:eastAsia="宋体"/>
        </w:rPr>
        <w:t>结果可验证：方案效果能用指标衡量，而不是仅停留在描述与建议。</w:t>
      </w:r>
    </w:p>
    <w:p>
      <w:pPr>
        <w:spacing w:before="160" w:after="80"/>
      </w:pPr>
      <w:r>
        <w:rPr>
          <w:rFonts w:ascii="微软雅黑" w:hAnsi="微软雅黑" w:eastAsia="微软雅黑"/>
          <w:b/>
          <w:color w:val="1E2630"/>
          <w:sz w:val="25"/>
        </w:rPr>
        <w:t>3.2 AI 使用规范（重点）</w:t>
      </w:r>
    </w:p>
    <w:p>
      <w:r>
        <w:rPr>
          <w:rFonts w:ascii="宋体" w:hAnsi="宋体" w:eastAsia="宋体"/>
          <w:b/>
          <w:i w:val="0"/>
        </w:rPr>
        <w:t>本课程鼓励使用 AI 工具提升效率，但对“创造性环节”有明确边界。判断标准很简单：如果被追问“这一步为什么这样做”，你必须能完整解释自己的思路；解释不了的部分，说明不是你做的。</w:t>
      </w:r>
    </w:p>
    <w:tbl>
      <w:tblPr>
        <w:tblStyle w:val="TableGrid"/>
        <w:tblW w:type="auto" w:w="0"/>
        <w:jc w:val="center"/>
        <w:tblLook w:firstColumn="1" w:firstRow="1" w:lastColumn="0" w:lastRow="0" w:noHBand="0" w:noVBand="1" w:val="04A0"/>
      </w:tblPr>
      <w:tblGrid>
        <w:gridCol w:w="3135"/>
        <w:gridCol w:w="3135"/>
        <w:gridCol w:w="3135"/>
      </w:tblGrid>
      <w:tr>
        <w:tc>
          <w:tcPr>
            <w:tcW w:type="dxa" w:w="2608"/>
            <w:shd w:val="clear" w:fill="F2E9EA"/>
          </w:tcPr>
          <w:p>
            <w:r/>
            <w:r>
              <w:rPr>
                <w:rFonts w:ascii="微软雅黑" w:hAnsi="微软雅黑" w:eastAsia="微软雅黑"/>
                <w:b/>
                <w:sz w:val="18"/>
              </w:rPr>
              <w:t>环节</w:t>
            </w:r>
          </w:p>
        </w:tc>
        <w:tc>
          <w:tcPr>
            <w:tcW w:type="dxa" w:w="1701"/>
            <w:shd w:val="clear" w:fill="F2E9EA"/>
          </w:tcPr>
          <w:p>
            <w:r/>
            <w:r>
              <w:rPr>
                <w:rFonts w:ascii="微软雅黑" w:hAnsi="微软雅黑" w:eastAsia="微软雅黑"/>
                <w:b/>
                <w:sz w:val="18"/>
              </w:rPr>
              <w:t>是否允许 AI 参与</w:t>
            </w:r>
          </w:p>
        </w:tc>
        <w:tc>
          <w:tcPr>
            <w:tcW w:type="dxa" w:w="4309"/>
            <w:shd w:val="clear" w:fill="F2E9EA"/>
          </w:tcPr>
          <w:p>
            <w:r/>
            <w:r>
              <w:rPr>
                <w:rFonts w:ascii="微软雅黑" w:hAnsi="微软雅黑" w:eastAsia="微软雅黑"/>
                <w:b/>
                <w:sz w:val="18"/>
              </w:rPr>
              <w:t>说明</w:t>
            </w:r>
          </w:p>
        </w:tc>
      </w:tr>
      <w:tr>
        <w:tc>
          <w:tcPr>
            <w:tcW w:type="dxa" w:w="2608"/>
          </w:tcPr>
          <w:p>
            <w:pPr>
              <w:spacing w:after="20"/>
            </w:pPr>
            <w:r/>
            <w:r>
              <w:rPr>
                <w:rFonts w:ascii="宋体" w:hAnsi="宋体" w:eastAsia="宋体"/>
                <w:sz w:val="18"/>
              </w:rPr>
              <w:t>资料检索与整理</w:t>
            </w:r>
          </w:p>
        </w:tc>
        <w:tc>
          <w:tcPr>
            <w:tcW w:type="dxa" w:w="1701"/>
          </w:tcPr>
          <w:p>
            <w:pPr>
              <w:spacing w:after="20"/>
            </w:pPr>
            <w:r/>
            <w:r>
              <w:rPr>
                <w:rFonts w:ascii="宋体" w:hAnsi="宋体" w:eastAsia="宋体"/>
                <w:sz w:val="18"/>
              </w:rPr>
              <w:t>允许</w:t>
            </w:r>
          </w:p>
        </w:tc>
        <w:tc>
          <w:tcPr>
            <w:tcW w:type="dxa" w:w="4309"/>
          </w:tcPr>
          <w:p>
            <w:pPr>
              <w:spacing w:after="20"/>
            </w:pPr>
            <w:r/>
            <w:r>
              <w:rPr>
                <w:rFonts w:ascii="宋体" w:hAnsi="宋体" w:eastAsia="宋体"/>
                <w:sz w:val="18"/>
              </w:rPr>
              <w:t>用 AI 快速找到方向与线索，但关键数据必须回到原始来源核实</w:t>
            </w:r>
          </w:p>
        </w:tc>
      </w:tr>
      <w:tr>
        <w:tc>
          <w:tcPr>
            <w:tcW w:type="dxa" w:w="2608"/>
          </w:tcPr>
          <w:p>
            <w:pPr>
              <w:spacing w:after="20"/>
            </w:pPr>
            <w:r/>
            <w:r>
              <w:rPr>
                <w:rFonts w:ascii="宋体" w:hAnsi="宋体" w:eastAsia="宋体"/>
                <w:sz w:val="18"/>
              </w:rPr>
              <w:t>语言润色与翻译</w:t>
            </w:r>
          </w:p>
        </w:tc>
        <w:tc>
          <w:tcPr>
            <w:tcW w:type="dxa" w:w="1701"/>
          </w:tcPr>
          <w:p>
            <w:pPr>
              <w:spacing w:after="20"/>
            </w:pPr>
            <w:r/>
            <w:r>
              <w:rPr>
                <w:rFonts w:ascii="宋体" w:hAnsi="宋体" w:eastAsia="宋体"/>
                <w:sz w:val="18"/>
              </w:rPr>
              <w:t>允许</w:t>
            </w:r>
          </w:p>
        </w:tc>
        <w:tc>
          <w:tcPr>
            <w:tcW w:type="dxa" w:w="4309"/>
          </w:tcPr>
          <w:p>
            <w:pPr>
              <w:spacing w:after="20"/>
            </w:pPr>
            <w:r/>
            <w:r>
              <w:rPr>
                <w:rFonts w:ascii="宋体" w:hAnsi="宋体" w:eastAsia="宋体"/>
                <w:sz w:val="18"/>
              </w:rPr>
              <w:t>可用于报告与网站文案的润色、多语种翻译初稿</w:t>
            </w:r>
          </w:p>
        </w:tc>
      </w:tr>
      <w:tr>
        <w:tc>
          <w:tcPr>
            <w:tcW w:type="dxa" w:w="2608"/>
          </w:tcPr>
          <w:p>
            <w:pPr>
              <w:spacing w:after="20"/>
            </w:pPr>
            <w:r/>
            <w:r>
              <w:rPr>
                <w:rFonts w:ascii="宋体" w:hAnsi="宋体" w:eastAsia="宋体"/>
                <w:sz w:val="18"/>
              </w:rPr>
              <w:t>代码辅助与调试</w:t>
            </w:r>
          </w:p>
        </w:tc>
        <w:tc>
          <w:tcPr>
            <w:tcW w:type="dxa" w:w="1701"/>
          </w:tcPr>
          <w:p>
            <w:pPr>
              <w:spacing w:after="20"/>
            </w:pPr>
            <w:r/>
            <w:r>
              <w:rPr>
                <w:rFonts w:ascii="宋体" w:hAnsi="宋体" w:eastAsia="宋体"/>
                <w:sz w:val="18"/>
              </w:rPr>
              <w:t>允许</w:t>
            </w:r>
          </w:p>
        </w:tc>
        <w:tc>
          <w:tcPr>
            <w:tcW w:type="dxa" w:w="4309"/>
          </w:tcPr>
          <w:p>
            <w:pPr>
              <w:spacing w:after="20"/>
            </w:pPr>
            <w:r/>
            <w:r>
              <w:rPr>
                <w:rFonts w:ascii="宋体" w:hAnsi="宋体" w:eastAsia="宋体"/>
                <w:sz w:val="18"/>
              </w:rPr>
              <w:t>可以让 AI 生成代码片段、报错排查；但你必须理解并验证代码逻辑</w:t>
            </w:r>
          </w:p>
        </w:tc>
      </w:tr>
      <w:tr>
        <w:tc>
          <w:tcPr>
            <w:tcW w:type="dxa" w:w="2608"/>
          </w:tcPr>
          <w:p>
            <w:pPr>
              <w:spacing w:after="20"/>
            </w:pPr>
            <w:r/>
            <w:r>
              <w:rPr>
                <w:rFonts w:ascii="宋体" w:hAnsi="宋体" w:eastAsia="宋体"/>
                <w:sz w:val="18"/>
              </w:rPr>
              <w:t>数据处理与图表</w:t>
            </w:r>
          </w:p>
        </w:tc>
        <w:tc>
          <w:tcPr>
            <w:tcW w:type="dxa" w:w="1701"/>
          </w:tcPr>
          <w:p>
            <w:pPr>
              <w:spacing w:after="20"/>
            </w:pPr>
            <w:r/>
            <w:r>
              <w:rPr>
                <w:rFonts w:ascii="宋体" w:hAnsi="宋体" w:eastAsia="宋体"/>
                <w:sz w:val="18"/>
              </w:rPr>
              <w:t>允许</w:t>
            </w:r>
          </w:p>
        </w:tc>
        <w:tc>
          <w:tcPr>
            <w:tcW w:type="dxa" w:w="4309"/>
          </w:tcPr>
          <w:p>
            <w:pPr>
              <w:spacing w:after="20"/>
            </w:pPr>
            <w:r/>
            <w:r>
              <w:rPr>
                <w:rFonts w:ascii="宋体" w:hAnsi="宋体" w:eastAsia="宋体"/>
                <w:sz w:val="18"/>
              </w:rPr>
              <w:t>清洗、统计、可视化的脚本可以借助 AI 编写</w:t>
            </w:r>
          </w:p>
        </w:tc>
      </w:tr>
      <w:tr>
        <w:tc>
          <w:tcPr>
            <w:tcW w:type="dxa" w:w="2608"/>
          </w:tcPr>
          <w:p>
            <w:pPr>
              <w:spacing w:after="20"/>
            </w:pPr>
            <w:r/>
            <w:r>
              <w:rPr>
                <w:rFonts w:ascii="宋体" w:hAnsi="宋体" w:eastAsia="宋体"/>
                <w:sz w:val="18"/>
              </w:rPr>
              <w:t>文献格式整理</w:t>
            </w:r>
          </w:p>
        </w:tc>
        <w:tc>
          <w:tcPr>
            <w:tcW w:type="dxa" w:w="1701"/>
          </w:tcPr>
          <w:p>
            <w:pPr>
              <w:spacing w:after="20"/>
            </w:pPr>
            <w:r/>
            <w:r>
              <w:rPr>
                <w:rFonts w:ascii="宋体" w:hAnsi="宋体" w:eastAsia="宋体"/>
                <w:sz w:val="18"/>
              </w:rPr>
              <w:t>允许</w:t>
            </w:r>
          </w:p>
        </w:tc>
        <w:tc>
          <w:tcPr>
            <w:tcW w:type="dxa" w:w="4309"/>
          </w:tcPr>
          <w:p>
            <w:pPr>
              <w:spacing w:after="20"/>
            </w:pPr>
            <w:r/>
            <w:r>
              <w:rPr>
                <w:rFonts w:ascii="宋体" w:hAnsi="宋体" w:eastAsia="宋体"/>
                <w:sz w:val="18"/>
              </w:rPr>
              <w:t>参考文献格式统一、去重</w:t>
            </w:r>
          </w:p>
        </w:tc>
      </w:tr>
      <w:tr>
        <w:tc>
          <w:tcPr>
            <w:tcW w:type="dxa" w:w="2608"/>
          </w:tcPr>
          <w:p>
            <w:pPr>
              <w:spacing w:after="20"/>
            </w:pPr>
            <w:r/>
            <w:r>
              <w:rPr>
                <w:rFonts w:ascii="宋体" w:hAnsi="宋体" w:eastAsia="宋体"/>
                <w:sz w:val="18"/>
              </w:rPr>
              <w:t>概念构想（选题创意、核心洞察）</w:t>
            </w:r>
          </w:p>
        </w:tc>
        <w:tc>
          <w:tcPr>
            <w:tcW w:type="dxa" w:w="1701"/>
          </w:tcPr>
          <w:p>
            <w:pPr>
              <w:spacing w:after="20"/>
            </w:pPr>
            <w:r/>
            <w:r>
              <w:rPr>
                <w:rFonts w:ascii="宋体" w:hAnsi="宋体" w:eastAsia="宋体"/>
                <w:sz w:val="18"/>
              </w:rPr>
              <w:t>禁止</w:t>
            </w:r>
          </w:p>
        </w:tc>
        <w:tc>
          <w:tcPr>
            <w:tcW w:type="dxa" w:w="4309"/>
          </w:tcPr>
          <w:p>
            <w:pPr>
              <w:spacing w:after="20"/>
            </w:pPr>
            <w:r/>
            <w:r>
              <w:rPr>
                <w:rFonts w:ascii="宋体" w:hAnsi="宋体" w:eastAsia="宋体"/>
                <w:sz w:val="18"/>
              </w:rPr>
              <w:t>选题的独创性、项目的核心创意必须由团队自己提出</w:t>
            </w:r>
          </w:p>
        </w:tc>
      </w:tr>
      <w:tr>
        <w:tc>
          <w:tcPr>
            <w:tcW w:type="dxa" w:w="2608"/>
          </w:tcPr>
          <w:p>
            <w:pPr>
              <w:spacing w:after="20"/>
            </w:pPr>
            <w:r/>
            <w:r>
              <w:rPr>
                <w:rFonts w:ascii="宋体" w:hAnsi="宋体" w:eastAsia="宋体"/>
                <w:sz w:val="18"/>
              </w:rPr>
              <w:t>流程设计（方案架构、策略框架）</w:t>
            </w:r>
          </w:p>
        </w:tc>
        <w:tc>
          <w:tcPr>
            <w:tcW w:type="dxa" w:w="1701"/>
          </w:tcPr>
          <w:p>
            <w:pPr>
              <w:spacing w:after="20"/>
            </w:pPr>
            <w:r/>
            <w:r>
              <w:rPr>
                <w:rFonts w:ascii="宋体" w:hAnsi="宋体" w:eastAsia="宋体"/>
                <w:sz w:val="18"/>
              </w:rPr>
              <w:t>禁止</w:t>
            </w:r>
          </w:p>
        </w:tc>
        <w:tc>
          <w:tcPr>
            <w:tcW w:type="dxa" w:w="4309"/>
          </w:tcPr>
          <w:p>
            <w:pPr>
              <w:spacing w:after="20"/>
            </w:pPr>
            <w:r/>
            <w:r>
              <w:rPr>
                <w:rFonts w:ascii="宋体" w:hAnsi="宋体" w:eastAsia="宋体"/>
                <w:sz w:val="18"/>
              </w:rPr>
              <w:t>项目的整体方案、技术路线、策略框架须由团队自主设计</w:t>
            </w:r>
          </w:p>
        </w:tc>
      </w:tr>
      <w:tr>
        <w:tc>
          <w:tcPr>
            <w:tcW w:type="dxa" w:w="2608"/>
          </w:tcPr>
          <w:p>
            <w:pPr>
              <w:spacing w:after="20"/>
            </w:pPr>
            <w:r/>
            <w:r>
              <w:rPr>
                <w:rFonts w:ascii="宋体" w:hAnsi="宋体" w:eastAsia="宋体"/>
                <w:sz w:val="18"/>
              </w:rPr>
              <w:t>商业判断（定价逻辑、市场选择依据）</w:t>
            </w:r>
          </w:p>
        </w:tc>
        <w:tc>
          <w:tcPr>
            <w:tcW w:type="dxa" w:w="1701"/>
          </w:tcPr>
          <w:p>
            <w:pPr>
              <w:spacing w:after="20"/>
            </w:pPr>
            <w:r/>
            <w:r>
              <w:rPr>
                <w:rFonts w:ascii="宋体" w:hAnsi="宋体" w:eastAsia="宋体"/>
                <w:sz w:val="18"/>
              </w:rPr>
              <w:t>禁止</w:t>
            </w:r>
          </w:p>
        </w:tc>
        <w:tc>
          <w:tcPr>
            <w:tcW w:type="dxa" w:w="4309"/>
          </w:tcPr>
          <w:p>
            <w:pPr>
              <w:spacing w:after="20"/>
            </w:pPr>
            <w:r/>
            <w:r>
              <w:rPr>
                <w:rFonts w:ascii="宋体" w:hAnsi="宋体" w:eastAsia="宋体"/>
                <w:sz w:val="18"/>
              </w:rPr>
              <w:t>涉及商业决策的判断必须给出团队自己的推理过程</w:t>
            </w:r>
          </w:p>
        </w:tc>
      </w:tr>
    </w:tbl>
    <w:p/>
    <w:p>
      <w:r>
        <w:rPr>
          <w:rFonts w:ascii="宋体" w:hAnsi="宋体" w:eastAsia="宋体"/>
          <w:b w:val="0"/>
          <w:i w:val="0"/>
        </w:rPr>
        <w:t>提交要求：报告与电子材料中须包含一份《AI 使用说明》，写明：使用了哪些工具、用在哪些环节、AI 给出了什么、你们做了什么修改与取舍。没有这份说明，视为未按要求使用 AI。</w:t>
      </w:r>
    </w:p>
    <w:p>
      <w:pPr>
        <w:spacing w:before="160" w:after="80"/>
      </w:pPr>
      <w:r>
        <w:rPr>
          <w:rFonts w:ascii="微软雅黑" w:hAnsi="微软雅黑" w:eastAsia="微软雅黑"/>
          <w:b/>
          <w:color w:val="1E2630"/>
          <w:sz w:val="25"/>
        </w:rPr>
        <w:t>3.3 报告撰写规范</w:t>
      </w:r>
    </w:p>
    <w:p>
      <w:pPr>
        <w:pStyle w:val="ListBullet"/>
        <w:spacing w:after="40"/>
      </w:pPr>
      <w:r>
        <w:rPr>
          <w:rFonts w:ascii="宋体" w:hAnsi="宋体" w:eastAsia="宋体"/>
        </w:rPr>
        <w:t>篇幅：正文 10 页以内（封面、目录、附录不计入）；建议 8 页左右。</w:t>
      </w:r>
    </w:p>
    <w:p>
      <w:pPr>
        <w:pStyle w:val="ListBullet"/>
        <w:spacing w:after="40"/>
      </w:pPr>
      <w:r>
        <w:rPr>
          <w:rFonts w:ascii="宋体" w:hAnsi="宋体" w:eastAsia="宋体"/>
        </w:rPr>
        <w:t>格式：参照营销方案或项目报告的常见结构——执行摘要、背景与问题、目标与指标、数据与方法、分析与发现、方案设计与实施路径、效果验证、风险评估、结论、参考文献与附录。</w:t>
      </w:r>
    </w:p>
    <w:p>
      <w:pPr>
        <w:pStyle w:val="ListBullet"/>
        <w:spacing w:after="40"/>
      </w:pPr>
      <w:r>
        <w:rPr>
          <w:rFonts w:ascii="宋体" w:hAnsi="宋体" w:eastAsia="宋体"/>
        </w:rPr>
        <w:t>图表：每个图表都要有编号、标题与数据来源；图优于表，表优于长段落。</w:t>
      </w:r>
    </w:p>
    <w:p>
      <w:pPr>
        <w:pStyle w:val="ListBullet"/>
        <w:spacing w:after="40"/>
      </w:pPr>
      <w:r>
        <w:rPr>
          <w:rFonts w:ascii="宋体" w:hAnsi="宋体" w:eastAsia="宋体"/>
        </w:rPr>
        <w:t>写作要求：结论先行，数据支撑，避免空泛形容词；每一条建议都要写清“谁做、做什么、怎么衡量”。</w:t>
      </w:r>
    </w:p>
    <w:p>
      <w:pPr>
        <w:spacing w:before="160" w:after="80"/>
      </w:pPr>
      <w:r>
        <w:rPr>
          <w:rFonts w:ascii="微软雅黑" w:hAnsi="微软雅黑" w:eastAsia="微软雅黑"/>
          <w:b/>
          <w:color w:val="1E2630"/>
          <w:sz w:val="25"/>
        </w:rPr>
        <w:t>3.4 引用与知识产权合规</w:t>
      </w:r>
    </w:p>
    <w:p>
      <w:pPr>
        <w:pStyle w:val="ListBullet"/>
        <w:spacing w:after="40"/>
      </w:pPr>
      <w:r>
        <w:rPr>
          <w:rFonts w:ascii="宋体" w:hAnsi="宋体" w:eastAsia="宋体"/>
        </w:rPr>
        <w:t>所有数据必须标注来源（机构、报告名、年份、访问日期）；无法核实来源的数据不得使用。</w:t>
      </w:r>
    </w:p>
    <w:p>
      <w:pPr>
        <w:pStyle w:val="ListBullet"/>
        <w:spacing w:after="40"/>
      </w:pPr>
      <w:r>
        <w:rPr>
          <w:rFonts w:ascii="宋体" w:hAnsi="宋体" w:eastAsia="宋体"/>
        </w:rPr>
        <w:t>引用文献、图片、图表、代码库须规范标注，遵循相应授权（如 CC 协议、开源许可）。</w:t>
      </w:r>
    </w:p>
    <w:p>
      <w:pPr>
        <w:pStyle w:val="ListBullet"/>
        <w:spacing w:after="40"/>
      </w:pPr>
      <w:r>
        <w:rPr>
          <w:rFonts w:ascii="宋体" w:hAnsi="宋体" w:eastAsia="宋体"/>
        </w:rPr>
        <w:t>使用第三方数据服务商或平台数据时，须确认其条款允许用于本项目用途。</w:t>
      </w:r>
    </w:p>
    <w:p>
      <w:pPr>
        <w:pStyle w:val="ListBullet"/>
        <w:spacing w:after="40"/>
      </w:pPr>
      <w:r>
        <w:rPr>
          <w:rFonts w:ascii="宋体" w:hAnsi="宋体" w:eastAsia="宋体"/>
        </w:rPr>
        <w:t>不得抄袭；引用他人观点须改写并标注出处。</w:t>
      </w:r>
    </w:p>
    <w:p>
      <w:pPr>
        <w:spacing w:before="160" w:after="80"/>
      </w:pPr>
      <w:r>
        <w:rPr>
          <w:rFonts w:ascii="微软雅黑" w:hAnsi="微软雅黑" w:eastAsia="微软雅黑"/>
          <w:b/>
          <w:color w:val="1E2630"/>
          <w:sz w:val="25"/>
        </w:rPr>
        <w:t>3.5 交付物清单与提交方式</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fill="F2E9EA"/>
          </w:tcPr>
          <w:p>
            <w:r/>
            <w:r>
              <w:rPr>
                <w:rFonts w:ascii="微软雅黑" w:hAnsi="微软雅黑" w:eastAsia="微软雅黑"/>
                <w:b/>
                <w:sz w:val="18"/>
              </w:rPr>
              <w:t>交付物</w:t>
            </w:r>
          </w:p>
        </w:tc>
        <w:tc>
          <w:tcPr>
            <w:tcW w:type="dxa" w:w="3402"/>
            <w:shd w:val="clear" w:fill="F2E9EA"/>
          </w:tcPr>
          <w:p>
            <w:r/>
            <w:r>
              <w:rPr>
                <w:rFonts w:ascii="微软雅黑" w:hAnsi="微软雅黑" w:eastAsia="微软雅黑"/>
                <w:b/>
                <w:sz w:val="18"/>
              </w:rPr>
              <w:t>形式</w:t>
            </w:r>
          </w:p>
        </w:tc>
        <w:tc>
          <w:tcPr>
            <w:tcW w:type="dxa" w:w="3515"/>
            <w:shd w:val="clear" w:fill="F2E9EA"/>
          </w:tcPr>
          <w:p>
            <w:r/>
            <w:r>
              <w:rPr>
                <w:rFonts w:ascii="微软雅黑" w:hAnsi="微软雅黑" w:eastAsia="微软雅黑"/>
                <w:b/>
                <w:sz w:val="18"/>
              </w:rPr>
              <w:t>提交方式</w:t>
            </w:r>
          </w:p>
        </w:tc>
      </w:tr>
      <w:tr>
        <w:tc>
          <w:tcPr>
            <w:tcW w:type="dxa" w:w="1701"/>
          </w:tcPr>
          <w:p>
            <w:pPr>
              <w:spacing w:after="20"/>
            </w:pPr>
            <w:r/>
            <w:r>
              <w:rPr>
                <w:rFonts w:ascii="宋体" w:hAnsi="宋体" w:eastAsia="宋体"/>
                <w:sz w:val="18"/>
              </w:rPr>
              <w:t>项目报告</w:t>
            </w:r>
          </w:p>
        </w:tc>
        <w:tc>
          <w:tcPr>
            <w:tcW w:type="dxa" w:w="3402"/>
          </w:tcPr>
          <w:p>
            <w:pPr>
              <w:spacing w:after="20"/>
            </w:pPr>
            <w:r/>
            <w:r>
              <w:rPr>
                <w:rFonts w:ascii="宋体" w:hAnsi="宋体" w:eastAsia="宋体"/>
                <w:sz w:val="18"/>
              </w:rPr>
              <w:t>纸质 PDF，10 页以内</w:t>
            </w:r>
          </w:p>
        </w:tc>
        <w:tc>
          <w:tcPr>
            <w:tcW w:type="dxa" w:w="3515"/>
          </w:tcPr>
          <w:p>
            <w:pPr>
              <w:spacing w:after="20"/>
            </w:pPr>
            <w:r/>
            <w:r>
              <w:rPr>
                <w:rFonts w:ascii="宋体" w:hAnsi="宋体" w:eastAsia="宋体"/>
                <w:sz w:val="18"/>
              </w:rPr>
              <w:t>提交至学校信箱（任课教师信箱）</w:t>
            </w:r>
          </w:p>
        </w:tc>
      </w:tr>
      <w:tr>
        <w:tc>
          <w:tcPr>
            <w:tcW w:type="dxa" w:w="1701"/>
          </w:tcPr>
          <w:p>
            <w:pPr>
              <w:spacing w:after="20"/>
            </w:pPr>
            <w:r/>
            <w:r>
              <w:rPr>
                <w:rFonts w:ascii="宋体" w:hAnsi="宋体" w:eastAsia="宋体"/>
                <w:sz w:val="18"/>
              </w:rPr>
              <w:t>电子材料</w:t>
            </w:r>
          </w:p>
        </w:tc>
        <w:tc>
          <w:tcPr>
            <w:tcW w:type="dxa" w:w="3402"/>
          </w:tcPr>
          <w:p>
            <w:pPr>
              <w:spacing w:after="20"/>
            </w:pPr>
            <w:r/>
            <w:r>
              <w:rPr>
                <w:rFonts w:ascii="宋体" w:hAnsi="宋体" w:eastAsia="宋体"/>
                <w:sz w:val="18"/>
              </w:rPr>
              <w:t>源代码、AI Prompt 记录、Markdown 文档、数据集说明</w:t>
            </w:r>
          </w:p>
        </w:tc>
        <w:tc>
          <w:tcPr>
            <w:tcW w:type="dxa" w:w="3515"/>
          </w:tcPr>
          <w:p>
            <w:pPr>
              <w:spacing w:after="20"/>
            </w:pPr>
            <w:r/>
            <w:r>
              <w:rPr>
                <w:rFonts w:ascii="宋体" w:hAnsi="宋体" w:eastAsia="宋体"/>
                <w:sz w:val="18"/>
              </w:rPr>
              <w:t>发任课教师电子邮箱，或线上提交（推荐 GitHub 仓库链接）</w:t>
            </w:r>
          </w:p>
        </w:tc>
      </w:tr>
      <w:tr>
        <w:tc>
          <w:tcPr>
            <w:tcW w:type="dxa" w:w="1701"/>
          </w:tcPr>
          <w:p>
            <w:pPr>
              <w:spacing w:after="20"/>
            </w:pPr>
            <w:r/>
            <w:r>
              <w:rPr>
                <w:rFonts w:ascii="宋体" w:hAnsi="宋体" w:eastAsia="宋体"/>
                <w:sz w:val="18"/>
              </w:rPr>
              <w:t>展示结果</w:t>
            </w:r>
          </w:p>
        </w:tc>
        <w:tc>
          <w:tcPr>
            <w:tcW w:type="dxa" w:w="3402"/>
          </w:tcPr>
          <w:p>
            <w:pPr>
              <w:spacing w:after="20"/>
            </w:pPr>
            <w:r/>
            <w:r>
              <w:rPr>
                <w:rFonts w:ascii="宋体" w:hAnsi="宋体" w:eastAsia="宋体"/>
                <w:sz w:val="18"/>
              </w:rPr>
              <w:t>网页、视频、原型、交互 Demo 等</w:t>
            </w:r>
          </w:p>
        </w:tc>
        <w:tc>
          <w:tcPr>
            <w:tcW w:type="dxa" w:w="3515"/>
          </w:tcPr>
          <w:p>
            <w:pPr>
              <w:spacing w:after="20"/>
            </w:pPr>
            <w:r/>
            <w:r>
              <w:rPr>
                <w:rFonts w:ascii="宋体" w:hAnsi="宋体" w:eastAsia="宋体"/>
                <w:sz w:val="18"/>
              </w:rPr>
              <w:t>提供可访问链接（GitHub Pages / 视频平台 / 网盘），或现场演示</w:t>
            </w:r>
          </w:p>
        </w:tc>
      </w:tr>
    </w:tbl>
    <w:p/>
    <w:p>
      <w:pPr>
        <w:ind w:left="227"/>
      </w:pPr>
      <w:r>
        <w:rPr>
          <w:rFonts w:ascii="宋体" w:hAnsi="宋体" w:eastAsia="宋体"/>
          <w:i/>
          <w:color w:val="5A6672"/>
          <w:sz w:val="19"/>
        </w:rPr>
        <w:t>建议：若使用 GitHub，请提供清晰的 README（项目简介、目录结构、运行方法、数据来源、AI 使用说明），并把答辩用的演示材料一并放入仓库。这既方便老师评阅，也便于你日后作为作品集使用。</w:t>
      </w:r>
    </w:p>
    <w:p>
      <w:r>
        <w:br w:type="page"/>
      </w:r>
    </w:p>
    <w:p>
      <w:pPr>
        <w:spacing w:before="240" w:after="80"/>
      </w:pPr>
      <w:r>
        <w:rPr>
          <w:rFonts w:ascii="微软雅黑" w:hAnsi="微软雅黑" w:eastAsia="微软雅黑"/>
          <w:b/>
          <w:color w:val="8C1A2E"/>
          <w:sz w:val="30"/>
        </w:rPr>
        <w:t>四、四个项目详解</w:t>
      </w:r>
    </w:p>
    <w:p>
      <w:r>
        <w:rPr>
          <w:rFonts w:ascii="宋体" w:hAnsi="宋体" w:eastAsia="宋体"/>
          <w:b w:val="0"/>
          <w:i/>
          <w:color w:val="5A6672"/>
        </w:rPr>
        <w:t>以下对四个项目的背景、任务与交付要求作进一步说明。所有说明仅提供背景、方法方向与交付要点，不提供现成答案——具体的选题、数据、方案与结论需由各组自主完成。</w:t>
      </w:r>
    </w:p>
    <w:p>
      <w:pPr>
        <w:spacing w:before="160" w:after="80"/>
      </w:pPr>
      <w:r>
        <w:rPr>
          <w:rFonts w:ascii="微软雅黑" w:hAnsi="微软雅黑" w:eastAsia="微软雅黑"/>
          <w:b/>
          <w:color w:val="1E2630"/>
          <w:sz w:val="25"/>
        </w:rPr>
        <w:t>项目一　全球性事件影响下的出海潜在爆款产品动态预测</w:t>
      </w:r>
    </w:p>
    <w:p>
      <w:pPr>
        <w:spacing w:before="160" w:after="80"/>
      </w:pPr>
      <w:r>
        <w:rPr>
          <w:rFonts w:ascii="微软雅黑" w:hAnsi="微软雅黑" w:eastAsia="微软雅黑"/>
          <w:b/>
          <w:color w:val="1E2630"/>
          <w:sz w:val="22"/>
        </w:rPr>
        <w:t>背景与意义</w:t>
      </w:r>
    </w:p>
    <w:p>
      <w:r>
        <w:rPr>
          <w:rFonts w:ascii="宋体" w:hAnsi="宋体" w:eastAsia="宋体"/>
          <w:b w:val="0"/>
          <w:i w:val="0"/>
        </w:rPr>
        <w:t>全球性事件正在越来越频繁地重写需求结构：厄尔尼诺引发的极端高温会突然抬高某类家电的需求；中东局势与航线安全会同时改变能源价格与海运时效；贸易摩擦与关税调整会让某些品类在特定市场由“有利可图”变成“无利可图”。这类冲击的共同特征是——来得快、影响面广，但从事件发生到具体品类需求爆发之间存在明显的时滞。</w:t>
      </w:r>
    </w:p>
    <w:p>
      <w:r>
        <w:rPr>
          <w:rFonts w:ascii="宋体" w:hAnsi="宋体" w:eastAsia="宋体"/>
          <w:b w:val="0"/>
          <w:i w:val="0"/>
        </w:rPr>
        <w:t>这段时滞正是本项目要抓住的窗口：谁能在需求爆发之前完成选品、备货与渠道准备，谁就能吃到第一波红利；等产品被市场验证、榜单上已经挤满同类时，机会窗口基本关闭。这也解释了项目的一条硬性规则：已经被市场证实的产品不能作为研究对象——本项目考察的是“预测能力”，而不是“跟随能力”。</w:t>
      </w:r>
    </w:p>
    <w:p>
      <w:pPr>
        <w:spacing w:before="160" w:after="80"/>
      </w:pPr>
      <w:r>
        <w:rPr>
          <w:rFonts w:ascii="微软雅黑" w:hAnsi="微软雅黑" w:eastAsia="微软雅黑"/>
          <w:b/>
          <w:color w:val="1E2630"/>
          <w:sz w:val="22"/>
        </w:rPr>
        <w:t>任务描述</w:t>
      </w:r>
    </w:p>
    <w:p>
      <w:pPr>
        <w:pStyle w:val="ListBullet"/>
        <w:spacing w:after="40"/>
      </w:pPr>
      <w:r>
        <w:rPr>
          <w:rFonts w:ascii="宋体" w:hAnsi="宋体" w:eastAsia="宋体"/>
        </w:rPr>
        <w:t>选取一个可观测、可验证的全球性事件（如极端气候、地缘冲突、贸易政策变化等）作为驱动因素。</w:t>
      </w:r>
    </w:p>
    <w:p>
      <w:pPr>
        <w:pStyle w:val="ListBullet"/>
        <w:spacing w:after="40"/>
      </w:pPr>
      <w:r>
        <w:rPr>
          <w:rFonts w:ascii="宋体" w:hAnsi="宋体" w:eastAsia="宋体"/>
        </w:rPr>
        <w:t>从该事件出发，推导其可能影响的品类与需求变化机制，并给出可检验的因果链条。</w:t>
      </w:r>
    </w:p>
    <w:p>
      <w:pPr>
        <w:pStyle w:val="ListBullet"/>
        <w:spacing w:after="40"/>
      </w:pPr>
      <w:r>
        <w:rPr>
          <w:rFonts w:ascii="宋体" w:hAnsi="宋体" w:eastAsia="宋体"/>
        </w:rPr>
        <w:t>用数据与方法进行动态预测，锁定一个具体的“潜在爆款产品”与其目标市场。</w:t>
      </w:r>
    </w:p>
    <w:p>
      <w:pPr>
        <w:pStyle w:val="ListBullet"/>
        <w:spacing w:after="40"/>
      </w:pPr>
      <w:r>
        <w:rPr>
          <w:rFonts w:ascii="宋体" w:hAnsi="宋体" w:eastAsia="宋体"/>
        </w:rPr>
        <w:t>产品必须是尚未被市场充分验证的（例如某市场尚未大量在售或尚未形成主流榜单）。</w:t>
      </w:r>
    </w:p>
    <w:p>
      <w:pPr>
        <w:spacing w:before="160" w:after="80"/>
      </w:pPr>
      <w:r>
        <w:rPr>
          <w:rFonts w:ascii="微软雅黑" w:hAnsi="微软雅黑" w:eastAsia="微软雅黑"/>
          <w:b/>
          <w:color w:val="1E2630"/>
          <w:sz w:val="22"/>
        </w:rPr>
        <w:t>交付内容</w:t>
      </w:r>
    </w:p>
    <w:tbl>
      <w:tblPr>
        <w:tblStyle w:val="TableGrid"/>
        <w:tblW w:type="auto" w:w="0"/>
        <w:jc w:val="center"/>
        <w:tblLook w:firstColumn="1" w:firstRow="1" w:lastColumn="0" w:lastRow="0" w:noHBand="0" w:noVBand="1" w:val="04A0"/>
      </w:tblPr>
      <w:tblGrid>
        <w:gridCol w:w="3135"/>
        <w:gridCol w:w="3135"/>
        <w:gridCol w:w="3135"/>
      </w:tblGrid>
      <w:tr>
        <w:tc>
          <w:tcPr>
            <w:tcW w:type="dxa" w:w="680"/>
            <w:shd w:val="clear" w:fill="F2E9EA"/>
          </w:tcPr>
          <w:p>
            <w:r/>
            <w:r>
              <w:rPr>
                <w:rFonts w:ascii="微软雅黑" w:hAnsi="微软雅黑" w:eastAsia="微软雅黑"/>
                <w:b/>
                <w:sz w:val="18"/>
              </w:rPr>
              <w:t>序号</w:t>
            </w:r>
          </w:p>
        </w:tc>
        <w:tc>
          <w:tcPr>
            <w:tcW w:type="dxa" w:w="3118"/>
            <w:shd w:val="clear" w:fill="F2E9EA"/>
          </w:tcPr>
          <w:p>
            <w:r/>
            <w:r>
              <w:rPr>
                <w:rFonts w:ascii="微软雅黑" w:hAnsi="微软雅黑" w:eastAsia="微软雅黑"/>
                <w:b/>
                <w:sz w:val="18"/>
              </w:rPr>
              <w:t>交付项</w:t>
            </w:r>
          </w:p>
        </w:tc>
        <w:tc>
          <w:tcPr>
            <w:tcW w:type="dxa" w:w="4819"/>
            <w:shd w:val="clear" w:fill="F2E9EA"/>
          </w:tcPr>
          <w:p>
            <w:r/>
            <w:r>
              <w:rPr>
                <w:rFonts w:ascii="微软雅黑" w:hAnsi="微软雅黑" w:eastAsia="微软雅黑"/>
                <w:b/>
                <w:sz w:val="18"/>
              </w:rPr>
              <w:t>要点提示</w:t>
            </w:r>
          </w:p>
        </w:tc>
      </w:tr>
      <w:tr>
        <w:tc>
          <w:tcPr>
            <w:tcW w:type="dxa" w:w="680"/>
          </w:tcPr>
          <w:p>
            <w:pPr>
              <w:spacing w:after="20"/>
            </w:pPr>
            <w:r/>
            <w:r>
              <w:rPr>
                <w:rFonts w:ascii="宋体" w:hAnsi="宋体" w:eastAsia="宋体"/>
                <w:sz w:val="18"/>
              </w:rPr>
              <w:t>1</w:t>
            </w:r>
          </w:p>
        </w:tc>
        <w:tc>
          <w:tcPr>
            <w:tcW w:type="dxa" w:w="3118"/>
          </w:tcPr>
          <w:p>
            <w:pPr>
              <w:spacing w:after="20"/>
            </w:pPr>
            <w:r/>
            <w:r>
              <w:rPr>
                <w:rFonts w:ascii="宋体" w:hAnsi="宋体" w:eastAsia="宋体"/>
                <w:sz w:val="18"/>
              </w:rPr>
              <w:t>目标市场（国家/区域）</w:t>
            </w:r>
          </w:p>
        </w:tc>
        <w:tc>
          <w:tcPr>
            <w:tcW w:type="dxa" w:w="4819"/>
          </w:tcPr>
          <w:p>
            <w:pPr>
              <w:spacing w:after="20"/>
            </w:pPr>
            <w:r/>
            <w:r>
              <w:rPr>
                <w:rFonts w:ascii="宋体" w:hAnsi="宋体" w:eastAsia="宋体"/>
                <w:sz w:val="18"/>
              </w:rPr>
              <w:t>说明为什么是这里：事件影响强度、准入门槛、竞争空白</w:t>
            </w:r>
          </w:p>
        </w:tc>
      </w:tr>
      <w:tr>
        <w:tc>
          <w:tcPr>
            <w:tcW w:type="dxa" w:w="680"/>
          </w:tcPr>
          <w:p>
            <w:pPr>
              <w:spacing w:after="20"/>
            </w:pPr>
            <w:r/>
            <w:r>
              <w:rPr>
                <w:rFonts w:ascii="宋体" w:hAnsi="宋体" w:eastAsia="宋体"/>
                <w:sz w:val="18"/>
              </w:rPr>
              <w:t>2</w:t>
            </w:r>
          </w:p>
        </w:tc>
        <w:tc>
          <w:tcPr>
            <w:tcW w:type="dxa" w:w="3118"/>
          </w:tcPr>
          <w:p>
            <w:pPr>
              <w:spacing w:after="20"/>
            </w:pPr>
            <w:r/>
            <w:r>
              <w:rPr>
                <w:rFonts w:ascii="宋体" w:hAnsi="宋体" w:eastAsia="宋体"/>
                <w:sz w:val="18"/>
              </w:rPr>
              <w:t>宏观市场分析</w:t>
            </w:r>
          </w:p>
        </w:tc>
        <w:tc>
          <w:tcPr>
            <w:tcW w:type="dxa" w:w="4819"/>
          </w:tcPr>
          <w:p>
            <w:pPr>
              <w:spacing w:after="20"/>
            </w:pPr>
            <w:r/>
            <w:r>
              <w:rPr>
                <w:rFonts w:ascii="宋体" w:hAnsi="宋体" w:eastAsia="宋体"/>
                <w:sz w:val="18"/>
              </w:rPr>
              <w:t>市场规模与增速、进口结构与来源国、关税与认证门槛</w:t>
            </w:r>
          </w:p>
        </w:tc>
      </w:tr>
      <w:tr>
        <w:tc>
          <w:tcPr>
            <w:tcW w:type="dxa" w:w="680"/>
          </w:tcPr>
          <w:p>
            <w:pPr>
              <w:spacing w:after="20"/>
            </w:pPr>
            <w:r/>
            <w:r>
              <w:rPr>
                <w:rFonts w:ascii="宋体" w:hAnsi="宋体" w:eastAsia="宋体"/>
                <w:sz w:val="18"/>
              </w:rPr>
              <w:t>3</w:t>
            </w:r>
          </w:p>
        </w:tc>
        <w:tc>
          <w:tcPr>
            <w:tcW w:type="dxa" w:w="3118"/>
          </w:tcPr>
          <w:p>
            <w:pPr>
              <w:spacing w:after="20"/>
            </w:pPr>
            <w:r/>
            <w:r>
              <w:rPr>
                <w:rFonts w:ascii="宋体" w:hAnsi="宋体" w:eastAsia="宋体"/>
                <w:sz w:val="18"/>
              </w:rPr>
              <w:t>微观潜在消费者需求与销量预估</w:t>
            </w:r>
          </w:p>
        </w:tc>
        <w:tc>
          <w:tcPr>
            <w:tcW w:type="dxa" w:w="4819"/>
          </w:tcPr>
          <w:p>
            <w:pPr>
              <w:spacing w:after="20"/>
            </w:pPr>
            <w:r/>
            <w:r>
              <w:rPr>
                <w:rFonts w:ascii="宋体" w:hAnsi="宋体" w:eastAsia="宋体"/>
                <w:sz w:val="18"/>
              </w:rPr>
              <w:t>目标人群、价格敏感度、销量区间与估算依据</w:t>
            </w:r>
          </w:p>
        </w:tc>
      </w:tr>
      <w:tr>
        <w:tc>
          <w:tcPr>
            <w:tcW w:type="dxa" w:w="680"/>
          </w:tcPr>
          <w:p>
            <w:pPr>
              <w:spacing w:after="20"/>
            </w:pPr>
            <w:r/>
            <w:r>
              <w:rPr>
                <w:rFonts w:ascii="宋体" w:hAnsi="宋体" w:eastAsia="宋体"/>
                <w:sz w:val="18"/>
              </w:rPr>
              <w:t>4</w:t>
            </w:r>
          </w:p>
        </w:tc>
        <w:tc>
          <w:tcPr>
            <w:tcW w:type="dxa" w:w="3118"/>
          </w:tcPr>
          <w:p>
            <w:pPr>
              <w:spacing w:after="20"/>
            </w:pPr>
            <w:r/>
            <w:r>
              <w:rPr>
                <w:rFonts w:ascii="宋体" w:hAnsi="宋体" w:eastAsia="宋体"/>
                <w:sz w:val="18"/>
              </w:rPr>
              <w:t>产品针对该市场的优化设计展示页</w:t>
            </w:r>
          </w:p>
        </w:tc>
        <w:tc>
          <w:tcPr>
            <w:tcW w:type="dxa" w:w="4819"/>
          </w:tcPr>
          <w:p>
            <w:pPr>
              <w:spacing w:after="20"/>
            </w:pPr>
            <w:r/>
            <w:r>
              <w:rPr>
                <w:rFonts w:ascii="宋体" w:hAnsi="宋体" w:eastAsia="宋体"/>
                <w:sz w:val="18"/>
              </w:rPr>
              <w:t>面向当地需求的产品改良点与展示页面（图文）</w:t>
            </w:r>
          </w:p>
        </w:tc>
      </w:tr>
      <w:tr>
        <w:tc>
          <w:tcPr>
            <w:tcW w:type="dxa" w:w="680"/>
          </w:tcPr>
          <w:p>
            <w:pPr>
              <w:spacing w:after="20"/>
            </w:pPr>
            <w:r/>
            <w:r>
              <w:rPr>
                <w:rFonts w:ascii="宋体" w:hAnsi="宋体" w:eastAsia="宋体"/>
                <w:sz w:val="18"/>
              </w:rPr>
              <w:t>5</w:t>
            </w:r>
          </w:p>
        </w:tc>
        <w:tc>
          <w:tcPr>
            <w:tcW w:type="dxa" w:w="3118"/>
          </w:tcPr>
          <w:p>
            <w:pPr>
              <w:spacing w:after="20"/>
            </w:pPr>
            <w:r/>
            <w:r>
              <w:rPr>
                <w:rFonts w:ascii="宋体" w:hAnsi="宋体" w:eastAsia="宋体"/>
                <w:sz w:val="18"/>
              </w:rPr>
              <w:t>2B 营销方案</w:t>
            </w:r>
          </w:p>
        </w:tc>
        <w:tc>
          <w:tcPr>
            <w:tcW w:type="dxa" w:w="4819"/>
          </w:tcPr>
          <w:p>
            <w:pPr>
              <w:spacing w:after="20"/>
            </w:pPr>
            <w:r/>
            <w:r>
              <w:rPr>
                <w:rFonts w:ascii="宋体" w:hAnsi="宋体" w:eastAsia="宋体"/>
                <w:sz w:val="18"/>
              </w:rPr>
              <w:t>如何获客与获取经销商、激励制度、渠道政策与落地节奏</w:t>
            </w:r>
          </w:p>
        </w:tc>
      </w:tr>
    </w:tbl>
    <w:p/>
    <w:p>
      <w:pPr>
        <w:spacing w:before="160" w:after="80"/>
      </w:pPr>
      <w:r>
        <w:rPr>
          <w:rFonts w:ascii="微软雅黑" w:hAnsi="微软雅黑" w:eastAsia="微软雅黑"/>
          <w:b/>
          <w:color w:val="1E2630"/>
          <w:sz w:val="22"/>
        </w:rPr>
        <w:t>方法方向与数据来源</w:t>
      </w:r>
    </w:p>
    <w:p>
      <w:pPr>
        <w:pStyle w:val="ListBullet"/>
        <w:spacing w:after="40"/>
      </w:pPr>
      <w:r>
        <w:rPr>
          <w:rFonts w:ascii="宋体" w:hAnsi="宋体" w:eastAsia="宋体"/>
        </w:rPr>
        <w:t>事件分析：识别事件的传导路径（气候 → 使用场景 → 品类需求 → 具体规格）。</w:t>
      </w:r>
    </w:p>
    <w:p>
      <w:pPr>
        <w:pStyle w:val="ListBullet"/>
        <w:spacing w:after="40"/>
      </w:pPr>
      <w:r>
        <w:rPr>
          <w:rFonts w:ascii="宋体" w:hAnsi="宋体" w:eastAsia="宋体"/>
        </w:rPr>
        <w:t>动态预测：时间序列预测、事件影响评估、情景分析（保守/基准/乐观）。</w:t>
      </w:r>
    </w:p>
    <w:p>
      <w:pPr>
        <w:pStyle w:val="ListBullet"/>
        <w:spacing w:after="40"/>
      </w:pPr>
      <w:r>
        <w:rPr>
          <w:rFonts w:ascii="宋体" w:hAnsi="宋体" w:eastAsia="宋体"/>
        </w:rPr>
        <w:t>数据来源方向：气象与气候数据（如 Copernicus、NOAA）、贸易统计（UN Comtrade / ITC Trade Map）、搜索趋势（Google Trends）、电商平台公开榜单与评论、行业研究报告。</w:t>
      </w:r>
    </w:p>
    <w:p>
      <w:pPr>
        <w:pStyle w:val="ListBullet"/>
        <w:spacing w:after="40"/>
      </w:pPr>
      <w:r>
        <w:rPr>
          <w:rFonts w:ascii="宋体" w:hAnsi="宋体" w:eastAsia="宋体"/>
        </w:rPr>
        <w:t>方法上可结合课程模块三中的纵向时间序列分析与横向竞品分析方法。</w:t>
      </w:r>
    </w:p>
    <w:p>
      <w:pPr>
        <w:spacing w:before="160" w:after="80"/>
      </w:pPr>
      <w:r>
        <w:rPr>
          <w:rFonts w:ascii="微软雅黑" w:hAnsi="微软雅黑" w:eastAsia="微软雅黑"/>
          <w:b/>
          <w:color w:val="1E2630"/>
          <w:sz w:val="22"/>
        </w:rPr>
        <w:t>评分关注点</w:t>
      </w:r>
    </w:p>
    <w:p>
      <w:pPr>
        <w:pStyle w:val="ListBullet"/>
        <w:spacing w:after="40"/>
      </w:pPr>
      <w:r>
        <w:rPr>
          <w:rFonts w:ascii="宋体" w:hAnsi="宋体" w:eastAsia="宋体"/>
        </w:rPr>
        <w:t>事件与产品之间的因果链条是否成立、是否可被证据支持。</w:t>
      </w:r>
    </w:p>
    <w:p>
      <w:pPr>
        <w:pStyle w:val="ListBullet"/>
        <w:spacing w:after="40"/>
      </w:pPr>
      <w:r>
        <w:rPr>
          <w:rFonts w:ascii="宋体" w:hAnsi="宋体" w:eastAsia="宋体"/>
        </w:rPr>
        <w:t>预测是否给出了量化依据与不确定性范围，而不是“看好这个市场”式的判断。</w:t>
      </w:r>
    </w:p>
    <w:p>
      <w:pPr>
        <w:pStyle w:val="ListBullet"/>
        <w:spacing w:after="40"/>
      </w:pPr>
      <w:r>
        <w:rPr>
          <w:rFonts w:ascii="宋体" w:hAnsi="宋体" w:eastAsia="宋体"/>
        </w:rPr>
        <w:t>营销方案是否具体到“找谁、说什么、给什么激励、怎么衡量”。</w:t>
      </w:r>
    </w:p>
    <w:p>
      <w:pPr>
        <w:spacing w:before="160" w:after="80"/>
      </w:pPr>
      <w:r>
        <w:rPr>
          <w:rFonts w:ascii="微软雅黑" w:hAnsi="微软雅黑" w:eastAsia="微软雅黑"/>
          <w:b/>
          <w:color w:val="1E2630"/>
          <w:sz w:val="22"/>
        </w:rPr>
        <w:t>常见误区</w:t>
      </w:r>
    </w:p>
    <w:p>
      <w:pPr>
        <w:pStyle w:val="ListBullet"/>
        <w:spacing w:after="40"/>
      </w:pPr>
      <w:r>
        <w:rPr>
          <w:rFonts w:ascii="宋体" w:hAnsi="宋体" w:eastAsia="宋体"/>
        </w:rPr>
        <w:t>选了已被市场验证的产品（违反硬性规则）。</w:t>
      </w:r>
    </w:p>
    <w:p>
      <w:pPr>
        <w:pStyle w:val="ListBullet"/>
        <w:spacing w:after="40"/>
      </w:pPr>
      <w:r>
        <w:rPr>
          <w:rFonts w:ascii="宋体" w:hAnsi="宋体" w:eastAsia="宋体"/>
        </w:rPr>
        <w:t>把“事件发生”直接等同于“需求爆发”，缺少中间机制的论证。</w:t>
      </w:r>
    </w:p>
    <w:p>
      <w:pPr>
        <w:pStyle w:val="ListBullet"/>
        <w:spacing w:after="40"/>
      </w:pPr>
      <w:r>
        <w:rPr>
          <w:rFonts w:ascii="宋体" w:hAnsi="宋体" w:eastAsia="宋体"/>
        </w:rPr>
        <w:t>宏观分析堆砌数据，却推不出具体产品与具体规格。</w:t>
      </w:r>
    </w:p>
    <w:p>
      <w:pPr>
        <w:pStyle w:val="ListBullet"/>
        <w:spacing w:after="40"/>
      </w:pPr>
      <w:r>
        <w:rPr>
          <w:rFonts w:ascii="宋体" w:hAnsi="宋体" w:eastAsia="宋体"/>
        </w:rPr>
        <w:t>营销方案只讲投放渠道，没有获客与经销商激励的具体设计。</w:t>
      </w:r>
    </w:p>
    <w:p>
      <w:r>
        <w:br w:type="page"/>
      </w:r>
    </w:p>
    <w:p>
      <w:pPr>
        <w:spacing w:before="160" w:after="80"/>
      </w:pPr>
      <w:r>
        <w:rPr>
          <w:rFonts w:ascii="微软雅黑" w:hAnsi="微软雅黑" w:eastAsia="微软雅黑"/>
          <w:b/>
          <w:color w:val="1E2630"/>
          <w:sz w:val="25"/>
        </w:rPr>
        <w:t>项目二　跨境电商平台数据挖掘识别出口快消品并建立营销方案</w:t>
      </w:r>
    </w:p>
    <w:p>
      <w:pPr>
        <w:spacing w:before="160" w:after="80"/>
      </w:pPr>
      <w:r>
        <w:rPr>
          <w:rFonts w:ascii="微软雅黑" w:hAnsi="微软雅黑" w:eastAsia="微软雅黑"/>
          <w:b/>
          <w:color w:val="1E2630"/>
          <w:sz w:val="22"/>
        </w:rPr>
        <w:t>背景与意义</w:t>
      </w:r>
    </w:p>
    <w:p>
      <w:r>
        <w:rPr>
          <w:rFonts w:ascii="宋体" w:hAnsi="宋体" w:eastAsia="宋体"/>
          <w:b w:val="0"/>
          <w:i w:val="0"/>
        </w:rPr>
        <w:t>跨境电商的竞争已经从前些年的“铺货赚差价”，转向“精细化选品 + 内容与流量运营”。平台上的公开数据（榜单排名、价格分布、评论内容、上新节奏）里其实藏着大量结构性信号：哪些价格带正在被挤压、哪些规格还缺少供给、哪些痛点反复出现在差评里。问题是这些信号以非结构化形式散落在成千上万个商品页中，靠人工浏览无法发现。</w:t>
      </w:r>
    </w:p>
    <w:p>
      <w:r>
        <w:rPr>
          <w:rFonts w:ascii="宋体" w:hAnsi="宋体" w:eastAsia="宋体"/>
          <w:b w:val="0"/>
          <w:i w:val="0"/>
        </w:rPr>
        <w:t>本项目要求用程序化方法把噪声变成可比较的结构，再从结构中识别出可做的快消品；更关键的是后半段——识别出产品只是起点，如何设计并验证一套更有效的营销策略，才是真正区分团队水平的地方。</w:t>
      </w:r>
    </w:p>
    <w:p>
      <w:pPr>
        <w:spacing w:before="160" w:after="80"/>
      </w:pPr>
      <w:r>
        <w:rPr>
          <w:rFonts w:ascii="微软雅黑" w:hAnsi="微软雅黑" w:eastAsia="微软雅黑"/>
          <w:b/>
          <w:color w:val="1E2630"/>
          <w:sz w:val="22"/>
        </w:rPr>
        <w:t>任务描述</w:t>
      </w:r>
    </w:p>
    <w:p>
      <w:pPr>
        <w:pStyle w:val="ListBullet"/>
        <w:spacing w:after="40"/>
      </w:pPr>
      <w:r>
        <w:rPr>
          <w:rFonts w:ascii="宋体" w:hAnsi="宋体" w:eastAsia="宋体"/>
        </w:rPr>
        <w:t>用数据挖掘方法从跨境平台上识别出一类有出口潜力的快消产品（需说明识别逻辑与筛选标准）。</w:t>
      </w:r>
    </w:p>
    <w:p>
      <w:pPr>
        <w:pStyle w:val="ListBullet"/>
        <w:spacing w:after="40"/>
      </w:pPr>
      <w:r>
        <w:rPr>
          <w:rFonts w:ascii="宋体" w:hAnsi="宋体" w:eastAsia="宋体"/>
        </w:rPr>
        <w:t>尽调该类商品当前主流的营销手段（网络直播、内容营销、达人分销、私域运营等）及其效果特征。</w:t>
      </w:r>
    </w:p>
    <w:p>
      <w:pPr>
        <w:pStyle w:val="ListBullet"/>
        <w:spacing w:after="40"/>
      </w:pPr>
      <w:r>
        <w:rPr>
          <w:rFonts w:ascii="宋体" w:hAnsi="宋体" w:eastAsia="宋体"/>
        </w:rPr>
        <w:t>提出一套新的营销策略，并说明 AI 在哪些环节赋能、如何赋能。</w:t>
      </w:r>
    </w:p>
    <w:p>
      <w:pPr>
        <w:pStyle w:val="ListBullet"/>
        <w:spacing w:after="40"/>
      </w:pPr>
      <w:r>
        <w:rPr>
          <w:rFonts w:ascii="宋体" w:hAnsi="宋体" w:eastAsia="宋体"/>
        </w:rPr>
        <w:t>设计验证方法，证明你的策略相对现有主流方案更有效。</w:t>
      </w:r>
    </w:p>
    <w:p>
      <w:pPr>
        <w:spacing w:before="160" w:after="80"/>
      </w:pPr>
      <w:r>
        <w:rPr>
          <w:rFonts w:ascii="微软雅黑" w:hAnsi="微软雅黑" w:eastAsia="微软雅黑"/>
          <w:b/>
          <w:color w:val="1E2630"/>
          <w:sz w:val="22"/>
        </w:rPr>
        <w:t>交付内容</w:t>
      </w:r>
    </w:p>
    <w:tbl>
      <w:tblPr>
        <w:tblStyle w:val="TableGrid"/>
        <w:tblW w:type="auto" w:w="0"/>
        <w:jc w:val="center"/>
        <w:tblLook w:firstColumn="1" w:firstRow="1" w:lastColumn="0" w:lastRow="0" w:noHBand="0" w:noVBand="1" w:val="04A0"/>
      </w:tblPr>
      <w:tblGrid>
        <w:gridCol w:w="3135"/>
        <w:gridCol w:w="3135"/>
        <w:gridCol w:w="3135"/>
      </w:tblGrid>
      <w:tr>
        <w:tc>
          <w:tcPr>
            <w:tcW w:type="dxa" w:w="680"/>
            <w:shd w:val="clear" w:fill="F2E9EA"/>
          </w:tcPr>
          <w:p>
            <w:r/>
            <w:r>
              <w:rPr>
                <w:rFonts w:ascii="微软雅黑" w:hAnsi="微软雅黑" w:eastAsia="微软雅黑"/>
                <w:b/>
                <w:sz w:val="18"/>
              </w:rPr>
              <w:t>序号</w:t>
            </w:r>
          </w:p>
        </w:tc>
        <w:tc>
          <w:tcPr>
            <w:tcW w:type="dxa" w:w="2721"/>
            <w:shd w:val="clear" w:fill="F2E9EA"/>
          </w:tcPr>
          <w:p>
            <w:r/>
            <w:r>
              <w:rPr>
                <w:rFonts w:ascii="微软雅黑" w:hAnsi="微软雅黑" w:eastAsia="微软雅黑"/>
                <w:b/>
                <w:sz w:val="18"/>
              </w:rPr>
              <w:t>交付项</w:t>
            </w:r>
          </w:p>
        </w:tc>
        <w:tc>
          <w:tcPr>
            <w:tcW w:type="dxa" w:w="5216"/>
            <w:shd w:val="clear" w:fill="F2E9EA"/>
          </w:tcPr>
          <w:p>
            <w:r/>
            <w:r>
              <w:rPr>
                <w:rFonts w:ascii="微软雅黑" w:hAnsi="微软雅黑" w:eastAsia="微软雅黑"/>
                <w:b/>
                <w:sz w:val="18"/>
              </w:rPr>
              <w:t>要点提示</w:t>
            </w:r>
          </w:p>
        </w:tc>
      </w:tr>
      <w:tr>
        <w:tc>
          <w:tcPr>
            <w:tcW w:type="dxa" w:w="680"/>
          </w:tcPr>
          <w:p>
            <w:pPr>
              <w:spacing w:after="20"/>
            </w:pPr>
            <w:r/>
            <w:r>
              <w:rPr>
                <w:rFonts w:ascii="宋体" w:hAnsi="宋体" w:eastAsia="宋体"/>
                <w:sz w:val="18"/>
              </w:rPr>
              <w:t>1</w:t>
            </w:r>
          </w:p>
        </w:tc>
        <w:tc>
          <w:tcPr>
            <w:tcW w:type="dxa" w:w="2721"/>
          </w:tcPr>
          <w:p>
            <w:pPr>
              <w:spacing w:after="20"/>
            </w:pPr>
            <w:r/>
            <w:r>
              <w:rPr>
                <w:rFonts w:ascii="宋体" w:hAnsi="宋体" w:eastAsia="宋体"/>
                <w:sz w:val="18"/>
              </w:rPr>
              <w:t>挖掘商品的程序与算法</w:t>
            </w:r>
          </w:p>
        </w:tc>
        <w:tc>
          <w:tcPr>
            <w:tcW w:type="dxa" w:w="5216"/>
          </w:tcPr>
          <w:p>
            <w:pPr>
              <w:spacing w:after="20"/>
            </w:pPr>
            <w:r/>
            <w:r>
              <w:rPr>
                <w:rFonts w:ascii="宋体" w:hAnsi="宋体" w:eastAsia="宋体"/>
                <w:sz w:val="18"/>
              </w:rPr>
              <w:t>数据获取方式（须合规）、清洗流程、识别算法与筛选阈值</w:t>
            </w:r>
          </w:p>
        </w:tc>
      </w:tr>
      <w:tr>
        <w:tc>
          <w:tcPr>
            <w:tcW w:type="dxa" w:w="680"/>
          </w:tcPr>
          <w:p>
            <w:pPr>
              <w:spacing w:after="20"/>
            </w:pPr>
            <w:r/>
            <w:r>
              <w:rPr>
                <w:rFonts w:ascii="宋体" w:hAnsi="宋体" w:eastAsia="宋体"/>
                <w:sz w:val="18"/>
              </w:rPr>
              <w:t>2</w:t>
            </w:r>
          </w:p>
        </w:tc>
        <w:tc>
          <w:tcPr>
            <w:tcW w:type="dxa" w:w="2721"/>
          </w:tcPr>
          <w:p>
            <w:pPr>
              <w:spacing w:after="20"/>
            </w:pPr>
            <w:r/>
            <w:r>
              <w:rPr>
                <w:rFonts w:ascii="宋体" w:hAnsi="宋体" w:eastAsia="宋体"/>
                <w:sz w:val="18"/>
              </w:rPr>
              <w:t>主流营销方案尽调</w:t>
            </w:r>
          </w:p>
        </w:tc>
        <w:tc>
          <w:tcPr>
            <w:tcW w:type="dxa" w:w="5216"/>
          </w:tcPr>
          <w:p>
            <w:pPr>
              <w:spacing w:after="20"/>
            </w:pPr>
            <w:r/>
            <w:r>
              <w:rPr>
                <w:rFonts w:ascii="宋体" w:hAnsi="宋体" w:eastAsia="宋体"/>
                <w:sz w:val="18"/>
              </w:rPr>
              <w:t>具体手段、投放结构、成本与效果特征、案例佐证</w:t>
            </w:r>
          </w:p>
        </w:tc>
      </w:tr>
      <w:tr>
        <w:tc>
          <w:tcPr>
            <w:tcW w:type="dxa" w:w="680"/>
          </w:tcPr>
          <w:p>
            <w:pPr>
              <w:spacing w:after="20"/>
            </w:pPr>
            <w:r/>
            <w:r>
              <w:rPr>
                <w:rFonts w:ascii="宋体" w:hAnsi="宋体" w:eastAsia="宋体"/>
                <w:sz w:val="18"/>
              </w:rPr>
              <w:t>3</w:t>
            </w:r>
          </w:p>
        </w:tc>
        <w:tc>
          <w:tcPr>
            <w:tcW w:type="dxa" w:w="2721"/>
          </w:tcPr>
          <w:p>
            <w:pPr>
              <w:spacing w:after="20"/>
            </w:pPr>
            <w:r/>
            <w:r>
              <w:rPr>
                <w:rFonts w:ascii="宋体" w:hAnsi="宋体" w:eastAsia="宋体"/>
                <w:sz w:val="18"/>
              </w:rPr>
              <w:t>新营销策略 + AI 赋能</w:t>
            </w:r>
          </w:p>
        </w:tc>
        <w:tc>
          <w:tcPr>
            <w:tcW w:type="dxa" w:w="5216"/>
          </w:tcPr>
          <w:p>
            <w:pPr>
              <w:spacing w:after="20"/>
            </w:pPr>
            <w:r/>
            <w:r>
              <w:rPr>
                <w:rFonts w:ascii="宋体" w:hAnsi="宋体" w:eastAsia="宋体"/>
                <w:sz w:val="18"/>
              </w:rPr>
              <w:t>策略框架与创新点；AI 用在内容生产、投放优化、客服还是数据分析</w:t>
            </w:r>
          </w:p>
        </w:tc>
      </w:tr>
      <w:tr>
        <w:tc>
          <w:tcPr>
            <w:tcW w:type="dxa" w:w="680"/>
          </w:tcPr>
          <w:p>
            <w:pPr>
              <w:spacing w:after="20"/>
            </w:pPr>
            <w:r/>
            <w:r>
              <w:rPr>
                <w:rFonts w:ascii="宋体" w:hAnsi="宋体" w:eastAsia="宋体"/>
                <w:sz w:val="18"/>
              </w:rPr>
              <w:t>4</w:t>
            </w:r>
          </w:p>
        </w:tc>
        <w:tc>
          <w:tcPr>
            <w:tcW w:type="dxa" w:w="2721"/>
          </w:tcPr>
          <w:p>
            <w:pPr>
              <w:spacing w:after="20"/>
            </w:pPr>
            <w:r/>
            <w:r>
              <w:rPr>
                <w:rFonts w:ascii="宋体" w:hAnsi="宋体" w:eastAsia="宋体"/>
                <w:sz w:val="18"/>
              </w:rPr>
              <w:t>策略有效性验证</w:t>
            </w:r>
          </w:p>
        </w:tc>
        <w:tc>
          <w:tcPr>
            <w:tcW w:type="dxa" w:w="5216"/>
          </w:tcPr>
          <w:p>
            <w:pPr>
              <w:spacing w:after="20"/>
            </w:pPr>
            <w:r/>
            <w:r>
              <w:rPr>
                <w:rFonts w:ascii="宋体" w:hAnsi="宋体" w:eastAsia="宋体"/>
                <w:sz w:val="18"/>
              </w:rPr>
              <w:t>验证设计（对照/回溯/A-B）、评价指标与结果呈现</w:t>
            </w:r>
          </w:p>
        </w:tc>
      </w:tr>
    </w:tbl>
    <w:p/>
    <w:p>
      <w:pPr>
        <w:spacing w:before="160" w:after="80"/>
      </w:pPr>
      <w:r>
        <w:rPr>
          <w:rFonts w:ascii="微软雅黑" w:hAnsi="微软雅黑" w:eastAsia="微软雅黑"/>
          <w:b/>
          <w:color w:val="1E2630"/>
          <w:sz w:val="22"/>
        </w:rPr>
        <w:t>方法方向与数据来源</w:t>
      </w:r>
    </w:p>
    <w:p>
      <w:pPr>
        <w:pStyle w:val="ListBullet"/>
        <w:spacing w:after="40"/>
      </w:pPr>
      <w:r>
        <w:rPr>
          <w:rFonts w:ascii="宋体" w:hAnsi="宋体" w:eastAsia="宋体"/>
        </w:rPr>
        <w:t>文本挖掘：评论主题归纳、情感分析、卖点词频（可参考课程模块三第 5、7 节的方法）。</w:t>
      </w:r>
    </w:p>
    <w:p>
      <w:pPr>
        <w:pStyle w:val="ListBullet"/>
        <w:spacing w:after="40"/>
      </w:pPr>
      <w:r>
        <w:rPr>
          <w:rFonts w:ascii="宋体" w:hAnsi="宋体" w:eastAsia="宋体"/>
        </w:rPr>
        <w:t>结构化分析：价格带分布、竞品聚类、关联规则（捆绑与配件机会）。</w:t>
      </w:r>
    </w:p>
    <w:p>
      <w:pPr>
        <w:pStyle w:val="ListBullet"/>
        <w:spacing w:after="40"/>
      </w:pPr>
      <w:r>
        <w:rPr>
          <w:rFonts w:ascii="宋体" w:hAnsi="宋体" w:eastAsia="宋体"/>
        </w:rPr>
        <w:t>营销验证：指标设计（曝光、点击、转化、复购）、对照组设计与统计显著性判断。</w:t>
      </w:r>
    </w:p>
    <w:p>
      <w:pPr>
        <w:pStyle w:val="ListBullet"/>
        <w:spacing w:after="40"/>
      </w:pPr>
      <w:r>
        <w:rPr>
          <w:rFonts w:ascii="宋体" w:hAnsi="宋体" w:eastAsia="宋体"/>
        </w:rPr>
        <w:t>数据来源：平台官方 API、授权数据服务商、公开榜单与人工抽样核对。</w:t>
      </w:r>
    </w:p>
    <w:p>
      <w:pPr>
        <w:pStyle w:val="ListBullet"/>
        <w:spacing w:after="40"/>
      </w:pPr>
      <w:r>
        <w:rPr>
          <w:rFonts w:ascii="宋体" w:hAnsi="宋体" w:eastAsia="宋体"/>
        </w:rPr>
        <w:t>合规底线：不得绕过平台反爬机制抓取数据；数据来源须在报告中说明并留痕。</w:t>
      </w:r>
    </w:p>
    <w:p>
      <w:pPr>
        <w:spacing w:before="160" w:after="80"/>
      </w:pPr>
      <w:r>
        <w:rPr>
          <w:rFonts w:ascii="微软雅黑" w:hAnsi="微软雅黑" w:eastAsia="微软雅黑"/>
          <w:b/>
          <w:color w:val="1E2630"/>
          <w:sz w:val="22"/>
        </w:rPr>
        <w:t>评分关注点</w:t>
      </w:r>
    </w:p>
    <w:p>
      <w:pPr>
        <w:pStyle w:val="ListBullet"/>
        <w:spacing w:after="40"/>
      </w:pPr>
      <w:r>
        <w:rPr>
          <w:rFonts w:ascii="宋体" w:hAnsi="宋体" w:eastAsia="宋体"/>
        </w:rPr>
        <w:t>识别算法是否有明确的逻辑与阈值，而不是“挑了几个看起来不错的商品”。</w:t>
      </w:r>
    </w:p>
    <w:p>
      <w:pPr>
        <w:pStyle w:val="ListBullet"/>
        <w:spacing w:after="40"/>
      </w:pPr>
      <w:r>
        <w:rPr>
          <w:rFonts w:ascii="宋体" w:hAnsi="宋体" w:eastAsia="宋体"/>
        </w:rPr>
        <w:t>营销策略是否真的“新”，是否针对了尽调中发现的现有方案短板。</w:t>
      </w:r>
    </w:p>
    <w:p>
      <w:pPr>
        <w:pStyle w:val="ListBullet"/>
        <w:spacing w:after="40"/>
      </w:pPr>
      <w:r>
        <w:rPr>
          <w:rFonts w:ascii="宋体" w:hAnsi="宋体" w:eastAsia="宋体"/>
        </w:rPr>
        <w:t>验证是否可比、可信——这是本项目最容易做虚的部分。</w:t>
      </w:r>
    </w:p>
    <w:p>
      <w:pPr>
        <w:spacing w:before="160" w:after="80"/>
      </w:pPr>
      <w:r>
        <w:rPr>
          <w:rFonts w:ascii="微软雅黑" w:hAnsi="微软雅黑" w:eastAsia="微软雅黑"/>
          <w:b/>
          <w:color w:val="1E2630"/>
          <w:sz w:val="22"/>
        </w:rPr>
        <w:t>常见误区</w:t>
      </w:r>
    </w:p>
    <w:p>
      <w:pPr>
        <w:pStyle w:val="ListBullet"/>
        <w:spacing w:after="40"/>
      </w:pPr>
      <w:r>
        <w:rPr>
          <w:rFonts w:ascii="宋体" w:hAnsi="宋体" w:eastAsia="宋体"/>
        </w:rPr>
        <w:t>把“选品”做成“抄榜单”：直接取销量前列商品，缺少筛选逻辑。</w:t>
      </w:r>
    </w:p>
    <w:p>
      <w:pPr>
        <w:pStyle w:val="ListBullet"/>
        <w:spacing w:after="40"/>
      </w:pPr>
      <w:r>
        <w:rPr>
          <w:rFonts w:ascii="宋体" w:hAnsi="宋体" w:eastAsia="宋体"/>
        </w:rPr>
        <w:t>营销策略是通用套话（做直播、找达人），没有针对性，也没有与自身产品特征挂钩。</w:t>
      </w:r>
    </w:p>
    <w:p>
      <w:pPr>
        <w:pStyle w:val="ListBullet"/>
        <w:spacing w:after="40"/>
      </w:pPr>
      <w:r>
        <w:rPr>
          <w:rFonts w:ascii="宋体" w:hAnsi="宋体" w:eastAsia="宋体"/>
        </w:rPr>
        <w:t>验证环节只给结论不给过程：没有对照组、没有指标定义、没有数据支撑。</w:t>
      </w:r>
    </w:p>
    <w:p>
      <w:r>
        <w:br w:type="page"/>
      </w:r>
    </w:p>
    <w:p>
      <w:pPr>
        <w:spacing w:before="160" w:after="80"/>
      </w:pPr>
      <w:r>
        <w:rPr>
          <w:rFonts w:ascii="微软雅黑" w:hAnsi="微软雅黑" w:eastAsia="微软雅黑"/>
          <w:b/>
          <w:color w:val="1E2630"/>
          <w:sz w:val="25"/>
        </w:rPr>
        <w:t>项目三　粤港澳大湾区制造业中小企业的官网国际化</w:t>
      </w:r>
    </w:p>
    <w:p>
      <w:pPr>
        <w:spacing w:before="160" w:after="80"/>
      </w:pPr>
      <w:r>
        <w:rPr>
          <w:rFonts w:ascii="微软雅黑" w:hAnsi="微软雅黑" w:eastAsia="微软雅黑"/>
          <w:b/>
          <w:color w:val="1E2630"/>
          <w:sz w:val="22"/>
        </w:rPr>
        <w:t>背景与意义</w:t>
      </w:r>
    </w:p>
    <w:p>
      <w:r>
        <w:rPr>
          <w:rFonts w:ascii="宋体" w:hAnsi="宋体" w:eastAsia="宋体"/>
          <w:b w:val="0"/>
          <w:i w:val="0"/>
        </w:rPr>
        <w:t>大湾区有大量制造能力扎实的中小企业，产品能出口，但“表达”跟不上：官网只有中文或机翻英文，信息架构按国内习惯组织，海外客户打开后既看不懂、也不敢信、更找不到入口。在国际贸易中，官网其实是企业“24 小时在线的国际业务员”，同时承担四件事：获取客户与合作伙伴、展示产品与技术能力、传递公司可信度与历史、支撑融资与招商沟通。</w:t>
      </w:r>
    </w:p>
    <w:p>
      <w:r>
        <w:rPr>
          <w:rFonts w:ascii="宋体" w:hAnsi="宋体" w:eastAsia="宋体"/>
          <w:b w:val="0"/>
          <w:i w:val="0"/>
        </w:rPr>
        <w:t>本项目的价值在于把一个常被当作“做页面”的任务，还原成一次完整的国际化改造：先诊断痛点、明确目标，再设计策略，最后用数据评估市场效应。</w:t>
      </w:r>
    </w:p>
    <w:p>
      <w:pPr>
        <w:spacing w:before="160" w:after="80"/>
      </w:pPr>
      <w:r>
        <w:rPr>
          <w:rFonts w:ascii="微软雅黑" w:hAnsi="微软雅黑" w:eastAsia="微软雅黑"/>
          <w:b/>
          <w:color w:val="1E2630"/>
          <w:sz w:val="22"/>
        </w:rPr>
        <w:t>任务描述</w:t>
      </w:r>
    </w:p>
    <w:p>
      <w:pPr>
        <w:pStyle w:val="ListBullet"/>
        <w:spacing w:after="40"/>
      </w:pPr>
      <w:r>
        <w:rPr>
          <w:rFonts w:ascii="宋体" w:hAnsi="宋体" w:eastAsia="宋体"/>
        </w:rPr>
        <w:t>选择一家你熟悉的、有出海业务的大湾区制造业中小企业（需说明选择理由）。</w:t>
      </w:r>
    </w:p>
    <w:p>
      <w:pPr>
        <w:pStyle w:val="ListBullet"/>
        <w:spacing w:after="40"/>
      </w:pPr>
      <w:r>
        <w:rPr>
          <w:rFonts w:ascii="宋体" w:hAnsi="宋体" w:eastAsia="宋体"/>
        </w:rPr>
        <w:t>尽调该企业当前出海的痛点与困境，明确网站优化的目标与方向（获客、招商、融资、产品展示、公司介绍等）。</w:t>
      </w:r>
    </w:p>
    <w:p>
      <w:pPr>
        <w:pStyle w:val="ListBullet"/>
        <w:spacing w:after="40"/>
      </w:pPr>
      <w:r>
        <w:rPr>
          <w:rFonts w:ascii="宋体" w:hAnsi="宋体" w:eastAsia="宋体"/>
        </w:rPr>
        <w:t>提出网站优化策略：信息架构、内容体系、多语种、视觉风格、交互设计、转化路径。</w:t>
      </w:r>
    </w:p>
    <w:p>
      <w:pPr>
        <w:pStyle w:val="ListBullet"/>
        <w:spacing w:after="40"/>
      </w:pPr>
      <w:r>
        <w:rPr>
          <w:rFonts w:ascii="宋体" w:hAnsi="宋体" w:eastAsia="宋体"/>
        </w:rPr>
        <w:t>实施并评估网站优化的市场效应（用数据说明效果）。</w:t>
      </w:r>
    </w:p>
    <w:p>
      <w:pPr>
        <w:spacing w:before="160" w:after="80"/>
      </w:pPr>
      <w:r>
        <w:rPr>
          <w:rFonts w:ascii="微软雅黑" w:hAnsi="微软雅黑" w:eastAsia="微软雅黑"/>
          <w:b/>
          <w:color w:val="1E2630"/>
          <w:sz w:val="22"/>
        </w:rPr>
        <w:t>交付内容</w:t>
      </w:r>
    </w:p>
    <w:tbl>
      <w:tblPr>
        <w:tblStyle w:val="TableGrid"/>
        <w:tblW w:type="auto" w:w="0"/>
        <w:jc w:val="center"/>
        <w:tblLook w:firstColumn="1" w:firstRow="1" w:lastColumn="0" w:lastRow="0" w:noHBand="0" w:noVBand="1" w:val="04A0"/>
      </w:tblPr>
      <w:tblGrid>
        <w:gridCol w:w="3135"/>
        <w:gridCol w:w="3135"/>
        <w:gridCol w:w="3135"/>
      </w:tblGrid>
      <w:tr>
        <w:tc>
          <w:tcPr>
            <w:tcW w:type="dxa" w:w="680"/>
            <w:shd w:val="clear" w:fill="F2E9EA"/>
          </w:tcPr>
          <w:p>
            <w:r/>
            <w:r>
              <w:rPr>
                <w:rFonts w:ascii="微软雅黑" w:hAnsi="微软雅黑" w:eastAsia="微软雅黑"/>
                <w:b/>
                <w:sz w:val="18"/>
              </w:rPr>
              <w:t>序号</w:t>
            </w:r>
          </w:p>
        </w:tc>
        <w:tc>
          <w:tcPr>
            <w:tcW w:type="dxa" w:w="2381"/>
            <w:shd w:val="clear" w:fill="F2E9EA"/>
          </w:tcPr>
          <w:p>
            <w:r/>
            <w:r>
              <w:rPr>
                <w:rFonts w:ascii="微软雅黑" w:hAnsi="微软雅黑" w:eastAsia="微软雅黑"/>
                <w:b/>
                <w:sz w:val="18"/>
              </w:rPr>
              <w:t>交付项</w:t>
            </w:r>
          </w:p>
        </w:tc>
        <w:tc>
          <w:tcPr>
            <w:tcW w:type="dxa" w:w="5556"/>
            <w:shd w:val="clear" w:fill="F2E9EA"/>
          </w:tcPr>
          <w:p>
            <w:r/>
            <w:r>
              <w:rPr>
                <w:rFonts w:ascii="微软雅黑" w:hAnsi="微软雅黑" w:eastAsia="微软雅黑"/>
                <w:b/>
                <w:sz w:val="18"/>
              </w:rPr>
              <w:t>要点提示</w:t>
            </w:r>
          </w:p>
        </w:tc>
      </w:tr>
      <w:tr>
        <w:tc>
          <w:tcPr>
            <w:tcW w:type="dxa" w:w="680"/>
          </w:tcPr>
          <w:p>
            <w:pPr>
              <w:spacing w:after="20"/>
            </w:pPr>
            <w:r/>
            <w:r>
              <w:rPr>
                <w:rFonts w:ascii="宋体" w:hAnsi="宋体" w:eastAsia="宋体"/>
                <w:sz w:val="18"/>
              </w:rPr>
              <w:t>1</w:t>
            </w:r>
          </w:p>
        </w:tc>
        <w:tc>
          <w:tcPr>
            <w:tcW w:type="dxa" w:w="2381"/>
          </w:tcPr>
          <w:p>
            <w:pPr>
              <w:spacing w:after="20"/>
            </w:pPr>
            <w:r/>
            <w:r>
              <w:rPr>
                <w:rFonts w:ascii="宋体" w:hAnsi="宋体" w:eastAsia="宋体"/>
                <w:sz w:val="18"/>
              </w:rPr>
              <w:t>可展示的网页</w:t>
            </w:r>
          </w:p>
        </w:tc>
        <w:tc>
          <w:tcPr>
            <w:tcW w:type="dxa" w:w="5556"/>
          </w:tcPr>
          <w:p>
            <w:pPr>
              <w:spacing w:after="20"/>
            </w:pPr>
            <w:r/>
            <w:r>
              <w:rPr>
                <w:rFonts w:ascii="宋体" w:hAnsi="宋体" w:eastAsia="宋体"/>
                <w:sz w:val="18"/>
              </w:rPr>
              <w:t>真实可访问的站点或可运行的原型，提供链接</w:t>
            </w:r>
          </w:p>
        </w:tc>
      </w:tr>
      <w:tr>
        <w:tc>
          <w:tcPr>
            <w:tcW w:type="dxa" w:w="680"/>
          </w:tcPr>
          <w:p>
            <w:pPr>
              <w:spacing w:after="20"/>
            </w:pPr>
            <w:r/>
            <w:r>
              <w:rPr>
                <w:rFonts w:ascii="宋体" w:hAnsi="宋体" w:eastAsia="宋体"/>
                <w:sz w:val="18"/>
              </w:rPr>
              <w:t>2</w:t>
            </w:r>
          </w:p>
        </w:tc>
        <w:tc>
          <w:tcPr>
            <w:tcW w:type="dxa" w:w="2381"/>
          </w:tcPr>
          <w:p>
            <w:pPr>
              <w:spacing w:after="20"/>
            </w:pPr>
            <w:r/>
            <w:r>
              <w:rPr>
                <w:rFonts w:ascii="宋体" w:hAnsi="宋体" w:eastAsia="宋体"/>
                <w:sz w:val="18"/>
              </w:rPr>
              <w:t>新旧网站对比</w:t>
            </w:r>
          </w:p>
        </w:tc>
        <w:tc>
          <w:tcPr>
            <w:tcW w:type="dxa" w:w="5556"/>
          </w:tcPr>
          <w:p>
            <w:pPr>
              <w:spacing w:after="20"/>
            </w:pPr>
            <w:r/>
            <w:r>
              <w:rPr>
                <w:rFonts w:ascii="宋体" w:hAnsi="宋体" w:eastAsia="宋体"/>
                <w:sz w:val="18"/>
              </w:rPr>
              <w:t>从信息架构、内容、视觉、性能、转化路径等维度做对照</w:t>
            </w:r>
          </w:p>
        </w:tc>
      </w:tr>
      <w:tr>
        <w:tc>
          <w:tcPr>
            <w:tcW w:type="dxa" w:w="680"/>
          </w:tcPr>
          <w:p>
            <w:pPr>
              <w:spacing w:after="20"/>
            </w:pPr>
            <w:r/>
            <w:r>
              <w:rPr>
                <w:rFonts w:ascii="宋体" w:hAnsi="宋体" w:eastAsia="宋体"/>
                <w:sz w:val="18"/>
              </w:rPr>
              <w:t>3</w:t>
            </w:r>
          </w:p>
        </w:tc>
        <w:tc>
          <w:tcPr>
            <w:tcW w:type="dxa" w:w="2381"/>
          </w:tcPr>
          <w:p>
            <w:pPr>
              <w:spacing w:after="20"/>
            </w:pPr>
            <w:r/>
            <w:r>
              <w:rPr>
                <w:rFonts w:ascii="宋体" w:hAnsi="宋体" w:eastAsia="宋体"/>
                <w:sz w:val="18"/>
              </w:rPr>
              <w:t>多语种网站链接</w:t>
            </w:r>
          </w:p>
        </w:tc>
        <w:tc>
          <w:tcPr>
            <w:tcW w:type="dxa" w:w="5556"/>
          </w:tcPr>
          <w:p>
            <w:pPr>
              <w:spacing w:after="20"/>
            </w:pPr>
            <w:r/>
            <w:r>
              <w:rPr>
                <w:rFonts w:ascii="宋体" w:hAnsi="宋体" w:eastAsia="宋体"/>
                <w:sz w:val="18"/>
              </w:rPr>
              <w:t>面向不同潜在客户国家，设计不同风格的界面（本地化而非仅翻译）</w:t>
            </w:r>
          </w:p>
        </w:tc>
      </w:tr>
      <w:tr>
        <w:tc>
          <w:tcPr>
            <w:tcW w:type="dxa" w:w="680"/>
          </w:tcPr>
          <w:p>
            <w:pPr>
              <w:spacing w:after="20"/>
            </w:pPr>
            <w:r/>
            <w:r>
              <w:rPr>
                <w:rFonts w:ascii="宋体" w:hAnsi="宋体" w:eastAsia="宋体"/>
                <w:sz w:val="18"/>
              </w:rPr>
              <w:t>4</w:t>
            </w:r>
          </w:p>
        </w:tc>
        <w:tc>
          <w:tcPr>
            <w:tcW w:type="dxa" w:w="2381"/>
          </w:tcPr>
          <w:p>
            <w:pPr>
              <w:spacing w:after="20"/>
            </w:pPr>
            <w:r/>
            <w:r>
              <w:rPr>
                <w:rFonts w:ascii="宋体" w:hAnsi="宋体" w:eastAsia="宋体"/>
                <w:sz w:val="18"/>
              </w:rPr>
              <w:t>AIGC 内容丰富</w:t>
            </w:r>
          </w:p>
        </w:tc>
        <w:tc>
          <w:tcPr>
            <w:tcW w:type="dxa" w:w="5556"/>
          </w:tcPr>
          <w:p>
            <w:pPr>
              <w:spacing w:after="20"/>
            </w:pPr>
            <w:r/>
            <w:r>
              <w:rPr>
                <w:rFonts w:ascii="宋体" w:hAnsi="宋体" w:eastAsia="宋体"/>
                <w:sz w:val="18"/>
              </w:rPr>
              <w:t>使用图像生成、视频生成等能力补充产品与场景内容</w:t>
            </w:r>
          </w:p>
        </w:tc>
      </w:tr>
      <w:tr>
        <w:tc>
          <w:tcPr>
            <w:tcW w:type="dxa" w:w="680"/>
          </w:tcPr>
          <w:p>
            <w:pPr>
              <w:spacing w:after="20"/>
            </w:pPr>
            <w:r/>
            <w:r>
              <w:rPr>
                <w:rFonts w:ascii="宋体" w:hAnsi="宋体" w:eastAsia="宋体"/>
                <w:sz w:val="18"/>
              </w:rPr>
              <w:t>5</w:t>
            </w:r>
          </w:p>
        </w:tc>
        <w:tc>
          <w:tcPr>
            <w:tcW w:type="dxa" w:w="2381"/>
          </w:tcPr>
          <w:p>
            <w:pPr>
              <w:spacing w:after="20"/>
            </w:pPr>
            <w:r/>
            <w:r>
              <w:rPr>
                <w:rFonts w:ascii="宋体" w:hAnsi="宋体" w:eastAsia="宋体"/>
                <w:sz w:val="18"/>
              </w:rPr>
              <w:t>交互性与行为洞察</w:t>
            </w:r>
          </w:p>
        </w:tc>
        <w:tc>
          <w:tcPr>
            <w:tcW w:type="dxa" w:w="5556"/>
          </w:tcPr>
          <w:p>
            <w:pPr>
              <w:spacing w:after="20"/>
            </w:pPr>
            <w:r/>
            <w:r>
              <w:rPr>
                <w:rFonts w:ascii="宋体" w:hAnsi="宋体" w:eastAsia="宋体"/>
                <w:sz w:val="18"/>
              </w:rPr>
              <w:t>通过埋点采集访问者点击与路径，输出可行动的洞察</w:t>
            </w:r>
          </w:p>
        </w:tc>
      </w:tr>
      <w:tr>
        <w:tc>
          <w:tcPr>
            <w:tcW w:type="dxa" w:w="680"/>
          </w:tcPr>
          <w:p>
            <w:pPr>
              <w:spacing w:after="20"/>
            </w:pPr>
            <w:r/>
            <w:r>
              <w:rPr>
                <w:rFonts w:ascii="宋体" w:hAnsi="宋体" w:eastAsia="宋体"/>
                <w:sz w:val="18"/>
              </w:rPr>
              <w:t>6</w:t>
            </w:r>
          </w:p>
        </w:tc>
        <w:tc>
          <w:tcPr>
            <w:tcW w:type="dxa" w:w="2381"/>
          </w:tcPr>
          <w:p>
            <w:pPr>
              <w:spacing w:after="20"/>
            </w:pPr>
            <w:r/>
            <w:r>
              <w:rPr>
                <w:rFonts w:ascii="宋体" w:hAnsi="宋体" w:eastAsia="宋体"/>
                <w:sz w:val="18"/>
              </w:rPr>
              <w:t>智能客服（可选强化项）</w:t>
            </w:r>
          </w:p>
        </w:tc>
        <w:tc>
          <w:tcPr>
            <w:tcW w:type="dxa" w:w="5556"/>
          </w:tcPr>
          <w:p>
            <w:pPr>
              <w:spacing w:after="20"/>
            </w:pPr>
            <w:r/>
            <w:r>
              <w:rPr>
                <w:rFonts w:ascii="宋体" w:hAnsi="宋体" w:eastAsia="宋体"/>
                <w:sz w:val="18"/>
              </w:rPr>
              <w:t>涉及产品信息时提供智能客服，回答规格、认证与询价问题</w:t>
            </w:r>
          </w:p>
        </w:tc>
      </w:tr>
    </w:tbl>
    <w:p/>
    <w:p>
      <w:pPr>
        <w:spacing w:before="160" w:after="80"/>
      </w:pPr>
      <w:r>
        <w:rPr>
          <w:rFonts w:ascii="微软雅黑" w:hAnsi="微软雅黑" w:eastAsia="微软雅黑"/>
          <w:b/>
          <w:color w:val="1E2630"/>
          <w:sz w:val="22"/>
        </w:rPr>
        <w:t>方法方向与工具</w:t>
      </w:r>
    </w:p>
    <w:p>
      <w:pPr>
        <w:pStyle w:val="ListBullet"/>
        <w:spacing w:after="40"/>
      </w:pPr>
      <w:r>
        <w:rPr>
          <w:rFonts w:ascii="宋体" w:hAnsi="宋体" w:eastAsia="宋体"/>
        </w:rPr>
        <w:t>信息架构与转化率优化（CRO）：从“客户想看到什么”出发重组页面，而非按内部组织架构排列。</w:t>
      </w:r>
    </w:p>
    <w:p>
      <w:pPr>
        <w:pStyle w:val="ListBullet"/>
        <w:spacing w:after="40"/>
      </w:pPr>
      <w:r>
        <w:rPr>
          <w:rFonts w:ascii="宋体" w:hAnsi="宋体" w:eastAsia="宋体"/>
        </w:rPr>
        <w:t>多语种与本地化：术语一致性、度量衡与日期格式、按目标国调整风格与配色。</w:t>
      </w:r>
    </w:p>
    <w:p>
      <w:pPr>
        <w:pStyle w:val="ListBullet"/>
        <w:spacing w:after="40"/>
      </w:pPr>
      <w:r>
        <w:rPr>
          <w:rFonts w:ascii="宋体" w:hAnsi="宋体" w:eastAsia="宋体"/>
        </w:rPr>
        <w:t>AIGC 内容：图像/视频生成、产品场景化展示、多语种文案初稿（须人工校准）。</w:t>
      </w:r>
    </w:p>
    <w:p>
      <w:pPr>
        <w:pStyle w:val="ListBullet"/>
        <w:spacing w:after="40"/>
      </w:pPr>
      <w:r>
        <w:rPr>
          <w:rFonts w:ascii="宋体" w:hAnsi="宋体" w:eastAsia="宋体"/>
        </w:rPr>
        <w:t>行为分析：事件埋点（点击、滚动、路径）、跳出与停留、询盘转化漏斗。</w:t>
      </w:r>
    </w:p>
    <w:p>
      <w:pPr>
        <w:pStyle w:val="ListBullet"/>
        <w:spacing w:after="40"/>
      </w:pPr>
      <w:r>
        <w:rPr>
          <w:rFonts w:ascii="宋体" w:hAnsi="宋体" w:eastAsia="宋体"/>
        </w:rPr>
        <w:t>智能客服：可用检索增强（RAG）方式接入产品资料与常见问答。</w:t>
      </w:r>
    </w:p>
    <w:p>
      <w:pPr>
        <w:pStyle w:val="ListBullet"/>
        <w:spacing w:after="40"/>
      </w:pPr>
      <w:r>
        <w:rPr>
          <w:rFonts w:ascii="宋体" w:hAnsi="宋体" w:eastAsia="宋体"/>
        </w:rPr>
        <w:t>工具方向：静态站点托管（如 GitHub Pages）、建站平台、站点分析工具、埋点与分析服务。</w:t>
      </w:r>
    </w:p>
    <w:p>
      <w:pPr>
        <w:spacing w:before="160" w:after="80"/>
      </w:pPr>
      <w:r>
        <w:rPr>
          <w:rFonts w:ascii="微软雅黑" w:hAnsi="微软雅黑" w:eastAsia="微软雅黑"/>
          <w:b/>
          <w:color w:val="1E2630"/>
          <w:sz w:val="22"/>
        </w:rPr>
        <w:t>评分关注点</w:t>
      </w:r>
    </w:p>
    <w:p>
      <w:pPr>
        <w:pStyle w:val="ListBullet"/>
        <w:spacing w:after="40"/>
      </w:pPr>
      <w:r>
        <w:rPr>
          <w:rFonts w:ascii="宋体" w:hAnsi="宋体" w:eastAsia="宋体"/>
        </w:rPr>
        <w:t>诊断是否具体到该企业的真实痛点，而不是通用清单。</w:t>
      </w:r>
    </w:p>
    <w:p>
      <w:pPr>
        <w:pStyle w:val="ListBullet"/>
        <w:spacing w:after="40"/>
      </w:pPr>
      <w:r>
        <w:rPr>
          <w:rFonts w:ascii="宋体" w:hAnsi="宋体" w:eastAsia="宋体"/>
        </w:rPr>
        <w:t>多语种与风格差异是否体现“针对不同国家的客户”，而非同一页面换语言。</w:t>
      </w:r>
    </w:p>
    <w:p>
      <w:pPr>
        <w:pStyle w:val="ListBullet"/>
        <w:spacing w:after="40"/>
      </w:pPr>
      <w:r>
        <w:rPr>
          <w:rFonts w:ascii="宋体" w:hAnsi="宋体" w:eastAsia="宋体"/>
        </w:rPr>
        <w:t>市场效应是否有数据支撑（对比新旧站点的关键指标），并说明数据采集方式。</w:t>
      </w:r>
    </w:p>
    <w:p>
      <w:pPr>
        <w:spacing w:before="160" w:after="80"/>
      </w:pPr>
      <w:r>
        <w:rPr>
          <w:rFonts w:ascii="微软雅黑" w:hAnsi="微软雅黑" w:eastAsia="微软雅黑"/>
          <w:b/>
          <w:color w:val="1E2630"/>
          <w:sz w:val="22"/>
        </w:rPr>
        <w:t>常见误区</w:t>
      </w:r>
    </w:p>
    <w:p>
      <w:pPr>
        <w:pStyle w:val="ListBullet"/>
        <w:spacing w:after="40"/>
      </w:pPr>
      <w:r>
        <w:rPr>
          <w:rFonts w:ascii="宋体" w:hAnsi="宋体" w:eastAsia="宋体"/>
        </w:rPr>
        <w:t>把官网国际化等同于“翻译成英文”。</w:t>
      </w:r>
    </w:p>
    <w:p>
      <w:pPr>
        <w:pStyle w:val="ListBullet"/>
        <w:spacing w:after="40"/>
      </w:pPr>
      <w:r>
        <w:rPr>
          <w:rFonts w:ascii="宋体" w:hAnsi="宋体" w:eastAsia="宋体"/>
        </w:rPr>
        <w:t>页面做得漂亮，但没有明确的目标转化动作（询盘、留资、预约）。</w:t>
      </w:r>
    </w:p>
    <w:p>
      <w:pPr>
        <w:pStyle w:val="ListBullet"/>
        <w:spacing w:after="40"/>
      </w:pPr>
      <w:r>
        <w:rPr>
          <w:rFonts w:ascii="宋体" w:hAnsi="宋体" w:eastAsia="宋体"/>
        </w:rPr>
        <w:t>只讲设计不讲效果，缺少可比的指标。</w:t>
      </w:r>
    </w:p>
    <w:p>
      <w:r>
        <w:br w:type="page"/>
      </w:r>
    </w:p>
    <w:p>
      <w:pPr>
        <w:spacing w:before="160" w:after="80"/>
      </w:pPr>
      <w:r>
        <w:rPr>
          <w:rFonts w:ascii="微软雅黑" w:hAnsi="微软雅黑" w:eastAsia="微软雅黑"/>
          <w:b/>
          <w:color w:val="1E2630"/>
          <w:sz w:val="25"/>
        </w:rPr>
        <w:t>项目四　全球企业出海风险自动更新平台</w:t>
      </w:r>
    </w:p>
    <w:p>
      <w:pPr>
        <w:spacing w:before="160" w:after="80"/>
      </w:pPr>
      <w:r>
        <w:rPr>
          <w:rFonts w:ascii="微软雅黑" w:hAnsi="微软雅黑" w:eastAsia="微软雅黑"/>
          <w:b/>
          <w:color w:val="1E2630"/>
          <w:sz w:val="22"/>
        </w:rPr>
        <w:t>背景与意义</w:t>
      </w:r>
    </w:p>
    <w:p>
      <w:r>
        <w:rPr>
          <w:rFonts w:ascii="宋体" w:hAnsi="宋体" w:eastAsia="宋体"/>
          <w:b w:val="0"/>
          <w:i w:val="0"/>
        </w:rPr>
        <w:t>中国企业出海正在从“机会驱动”转向“风险管理驱动”。风险不再是单一的关税问题，而是多个维度同时作用：贸易合规、地缘政治、物流航运、法务、资本流动与结算。这些风险既相互关联（如地缘冲突同时影响航运与结算），又各自有不同的数据源与更新频率，靠人工定期检索既不及时，也无法给出可比的风险暴露度。</w:t>
      </w:r>
    </w:p>
    <w:p>
      <w:r>
        <w:rPr>
          <w:rFonts w:ascii="宋体" w:hAnsi="宋体" w:eastAsia="宋体"/>
          <w:b w:val="0"/>
          <w:i w:val="0"/>
        </w:rPr>
        <w:t>本项目的核心挑战在于“量化”：金融领域用 VaR（Value at Risk，在险价值）表达“在给定置信水平与时间窗口下可能的最大损失”。把它迁移到出海风险场景，需要你自己设计清晰的口径——什么样的风险算高？用哪些指标合成？这一层设计做得好不好，直接决定项目的高度。</w:t>
      </w:r>
    </w:p>
    <w:p>
      <w:pPr>
        <w:spacing w:before="160" w:after="80"/>
      </w:pPr>
      <w:r>
        <w:rPr>
          <w:rFonts w:ascii="微软雅黑" w:hAnsi="微软雅黑" w:eastAsia="微软雅黑"/>
          <w:b/>
          <w:color w:val="1E2630"/>
          <w:sz w:val="22"/>
        </w:rPr>
        <w:t>任务描述</w:t>
      </w:r>
    </w:p>
    <w:p>
      <w:pPr>
        <w:pStyle w:val="ListBullet"/>
        <w:spacing w:after="40"/>
      </w:pPr>
      <w:r>
        <w:rPr>
          <w:rFonts w:ascii="宋体" w:hAnsi="宋体" w:eastAsia="宋体"/>
        </w:rPr>
        <w:t>确定你要评估的风险维度（可包括贸易合规、地缘政治、物流航运、法务、资本流动与结算等）。</w:t>
      </w:r>
    </w:p>
    <w:p>
      <w:pPr>
        <w:pStyle w:val="ListBullet"/>
        <w:spacing w:after="40"/>
      </w:pPr>
      <w:r>
        <w:rPr>
          <w:rFonts w:ascii="宋体" w:hAnsi="宋体" w:eastAsia="宋体"/>
        </w:rPr>
        <w:t>为每个维度设计可量化指标，并建立数据采集与自动更新机制，形成风险数据库。</w:t>
      </w:r>
    </w:p>
    <w:p>
      <w:pPr>
        <w:pStyle w:val="ListBullet"/>
        <w:spacing w:after="40"/>
      </w:pPr>
      <w:r>
        <w:rPr>
          <w:rFonts w:ascii="宋体" w:hAnsi="宋体" w:eastAsia="宋体"/>
        </w:rPr>
        <w:t>开发用户交互界面：输入企业名称、经营内容与业务范围，输出各维度风险暴露度与动态趋势。</w:t>
      </w:r>
    </w:p>
    <w:p>
      <w:pPr>
        <w:pStyle w:val="ListBullet"/>
        <w:spacing w:after="40"/>
      </w:pPr>
      <w:r>
        <w:rPr>
          <w:rFonts w:ascii="宋体" w:hAnsi="宋体" w:eastAsia="宋体"/>
        </w:rPr>
        <w:t>对无法量化的风险，自动生成结构化文本风险报告。</w:t>
      </w:r>
    </w:p>
    <w:p>
      <w:pPr>
        <w:spacing w:before="160" w:after="80"/>
      </w:pPr>
      <w:r>
        <w:rPr>
          <w:rFonts w:ascii="微软雅黑" w:hAnsi="微软雅黑" w:eastAsia="微软雅黑"/>
          <w:b/>
          <w:color w:val="1E2630"/>
          <w:sz w:val="22"/>
        </w:rPr>
        <w:t>交付内容</w:t>
      </w:r>
    </w:p>
    <w:tbl>
      <w:tblPr>
        <w:tblStyle w:val="TableGrid"/>
        <w:tblW w:type="auto" w:w="0"/>
        <w:jc w:val="center"/>
        <w:tblLook w:firstColumn="1" w:firstRow="1" w:lastColumn="0" w:lastRow="0" w:noHBand="0" w:noVBand="1" w:val="04A0"/>
      </w:tblPr>
      <w:tblGrid>
        <w:gridCol w:w="3135"/>
        <w:gridCol w:w="3135"/>
        <w:gridCol w:w="3135"/>
      </w:tblGrid>
      <w:tr>
        <w:tc>
          <w:tcPr>
            <w:tcW w:type="dxa" w:w="680"/>
            <w:shd w:val="clear" w:fill="F2E9EA"/>
          </w:tcPr>
          <w:p>
            <w:r/>
            <w:r>
              <w:rPr>
                <w:rFonts w:ascii="微软雅黑" w:hAnsi="微软雅黑" w:eastAsia="微软雅黑"/>
                <w:b/>
                <w:sz w:val="18"/>
              </w:rPr>
              <w:t>序号</w:t>
            </w:r>
          </w:p>
        </w:tc>
        <w:tc>
          <w:tcPr>
            <w:tcW w:type="dxa" w:w="2608"/>
            <w:shd w:val="clear" w:fill="F2E9EA"/>
          </w:tcPr>
          <w:p>
            <w:r/>
            <w:r>
              <w:rPr>
                <w:rFonts w:ascii="微软雅黑" w:hAnsi="微软雅黑" w:eastAsia="微软雅黑"/>
                <w:b/>
                <w:sz w:val="18"/>
              </w:rPr>
              <w:t>交付项</w:t>
            </w:r>
          </w:p>
        </w:tc>
        <w:tc>
          <w:tcPr>
            <w:tcW w:type="dxa" w:w="5329"/>
            <w:shd w:val="clear" w:fill="F2E9EA"/>
          </w:tcPr>
          <w:p>
            <w:r/>
            <w:r>
              <w:rPr>
                <w:rFonts w:ascii="微软雅黑" w:hAnsi="微软雅黑" w:eastAsia="微软雅黑"/>
                <w:b/>
                <w:sz w:val="18"/>
              </w:rPr>
              <w:t>要点提示</w:t>
            </w:r>
          </w:p>
        </w:tc>
      </w:tr>
      <w:tr>
        <w:tc>
          <w:tcPr>
            <w:tcW w:type="dxa" w:w="680"/>
          </w:tcPr>
          <w:p>
            <w:pPr>
              <w:spacing w:after="20"/>
            </w:pPr>
            <w:r/>
            <w:r>
              <w:rPr>
                <w:rFonts w:ascii="宋体" w:hAnsi="宋体" w:eastAsia="宋体"/>
                <w:sz w:val="18"/>
              </w:rPr>
              <w:t>1</w:t>
            </w:r>
          </w:p>
        </w:tc>
        <w:tc>
          <w:tcPr>
            <w:tcW w:type="dxa" w:w="2608"/>
          </w:tcPr>
          <w:p>
            <w:pPr>
              <w:spacing w:after="20"/>
            </w:pPr>
            <w:r/>
            <w:r>
              <w:rPr>
                <w:rFonts w:ascii="宋体" w:hAnsi="宋体" w:eastAsia="宋体"/>
                <w:sz w:val="18"/>
              </w:rPr>
              <w:t>可自动更新的风险数据库</w:t>
            </w:r>
          </w:p>
        </w:tc>
        <w:tc>
          <w:tcPr>
            <w:tcW w:type="dxa" w:w="5329"/>
          </w:tcPr>
          <w:p>
            <w:pPr>
              <w:spacing w:after="20"/>
            </w:pPr>
            <w:r/>
            <w:r>
              <w:rPr>
                <w:rFonts w:ascii="宋体" w:hAnsi="宋体" w:eastAsia="宋体"/>
                <w:sz w:val="18"/>
              </w:rPr>
              <w:t>数据源清单、更新频率、清洗与存储方案</w:t>
            </w:r>
          </w:p>
        </w:tc>
      </w:tr>
      <w:tr>
        <w:tc>
          <w:tcPr>
            <w:tcW w:type="dxa" w:w="680"/>
          </w:tcPr>
          <w:p>
            <w:pPr>
              <w:spacing w:after="20"/>
            </w:pPr>
            <w:r/>
            <w:r>
              <w:rPr>
                <w:rFonts w:ascii="宋体" w:hAnsi="宋体" w:eastAsia="宋体"/>
                <w:sz w:val="18"/>
              </w:rPr>
              <w:t>2</w:t>
            </w:r>
          </w:p>
        </w:tc>
        <w:tc>
          <w:tcPr>
            <w:tcW w:type="dxa" w:w="2608"/>
          </w:tcPr>
          <w:p>
            <w:pPr>
              <w:spacing w:after="20"/>
            </w:pPr>
            <w:r/>
            <w:r>
              <w:rPr>
                <w:rFonts w:ascii="宋体" w:hAnsi="宋体" w:eastAsia="宋体"/>
                <w:sz w:val="18"/>
              </w:rPr>
              <w:t>风险维度可视化地图</w:t>
            </w:r>
          </w:p>
        </w:tc>
        <w:tc>
          <w:tcPr>
            <w:tcW w:type="dxa" w:w="5329"/>
          </w:tcPr>
          <w:p>
            <w:pPr>
              <w:spacing w:after="20"/>
            </w:pPr>
            <w:r/>
            <w:r>
              <w:rPr>
                <w:rFonts w:ascii="宋体" w:hAnsi="宋体" w:eastAsia="宋体"/>
                <w:sz w:val="18"/>
              </w:rPr>
              <w:t>按国家/地区呈现风险暴露度（热力图、分级着色等）</w:t>
            </w:r>
          </w:p>
        </w:tc>
      </w:tr>
      <w:tr>
        <w:tc>
          <w:tcPr>
            <w:tcW w:type="dxa" w:w="680"/>
          </w:tcPr>
          <w:p>
            <w:pPr>
              <w:spacing w:after="20"/>
            </w:pPr>
            <w:r/>
            <w:r>
              <w:rPr>
                <w:rFonts w:ascii="宋体" w:hAnsi="宋体" w:eastAsia="宋体"/>
                <w:sz w:val="18"/>
              </w:rPr>
              <w:t>3</w:t>
            </w:r>
          </w:p>
        </w:tc>
        <w:tc>
          <w:tcPr>
            <w:tcW w:type="dxa" w:w="2608"/>
          </w:tcPr>
          <w:p>
            <w:pPr>
              <w:spacing w:after="20"/>
            </w:pPr>
            <w:r/>
            <w:r>
              <w:rPr>
                <w:rFonts w:ascii="宋体" w:hAnsi="宋体" w:eastAsia="宋体"/>
                <w:sz w:val="18"/>
              </w:rPr>
              <w:t>用户交互界面</w:t>
            </w:r>
          </w:p>
        </w:tc>
        <w:tc>
          <w:tcPr>
            <w:tcW w:type="dxa" w:w="5329"/>
          </w:tcPr>
          <w:p>
            <w:pPr>
              <w:spacing w:after="20"/>
            </w:pPr>
            <w:r/>
            <w:r>
              <w:rPr>
                <w:rFonts w:ascii="宋体" w:hAnsi="宋体" w:eastAsia="宋体"/>
                <w:sz w:val="18"/>
              </w:rPr>
              <w:t>输入企业与业务信息 → 输出各维度暴露度与动态变化</w:t>
            </w:r>
          </w:p>
        </w:tc>
      </w:tr>
      <w:tr>
        <w:tc>
          <w:tcPr>
            <w:tcW w:type="dxa" w:w="680"/>
          </w:tcPr>
          <w:p>
            <w:pPr>
              <w:spacing w:after="20"/>
            </w:pPr>
            <w:r/>
            <w:r>
              <w:rPr>
                <w:rFonts w:ascii="宋体" w:hAnsi="宋体" w:eastAsia="宋体"/>
                <w:sz w:val="18"/>
              </w:rPr>
              <w:t>4</w:t>
            </w:r>
          </w:p>
        </w:tc>
        <w:tc>
          <w:tcPr>
            <w:tcW w:type="dxa" w:w="2608"/>
          </w:tcPr>
          <w:p>
            <w:pPr>
              <w:spacing w:after="20"/>
            </w:pPr>
            <w:r/>
            <w:r>
              <w:rPr>
                <w:rFonts w:ascii="宋体" w:hAnsi="宋体" w:eastAsia="宋体"/>
                <w:sz w:val="18"/>
              </w:rPr>
              <w:t>量化指标体系与工具</w:t>
            </w:r>
          </w:p>
        </w:tc>
        <w:tc>
          <w:tcPr>
            <w:tcW w:type="dxa" w:w="5329"/>
          </w:tcPr>
          <w:p>
            <w:pPr>
              <w:spacing w:after="20"/>
            </w:pPr>
            <w:r/>
            <w:r>
              <w:rPr>
                <w:rFonts w:ascii="宋体" w:hAnsi="宋体" w:eastAsia="宋体"/>
                <w:sz w:val="18"/>
              </w:rPr>
              <w:t>每个维度的指标定义、权重、合成方法与依据</w:t>
            </w:r>
          </w:p>
        </w:tc>
      </w:tr>
      <w:tr>
        <w:tc>
          <w:tcPr>
            <w:tcW w:type="dxa" w:w="680"/>
          </w:tcPr>
          <w:p>
            <w:pPr>
              <w:spacing w:after="20"/>
            </w:pPr>
            <w:r/>
            <w:r>
              <w:rPr>
                <w:rFonts w:ascii="宋体" w:hAnsi="宋体" w:eastAsia="宋体"/>
                <w:sz w:val="18"/>
              </w:rPr>
              <w:t>5</w:t>
            </w:r>
          </w:p>
        </w:tc>
        <w:tc>
          <w:tcPr>
            <w:tcW w:type="dxa" w:w="2608"/>
          </w:tcPr>
          <w:p>
            <w:pPr>
              <w:spacing w:after="20"/>
            </w:pPr>
            <w:r/>
            <w:r>
              <w:rPr>
                <w:rFonts w:ascii="宋体" w:hAnsi="宋体" w:eastAsia="宋体"/>
                <w:sz w:val="18"/>
              </w:rPr>
              <w:t>文本风险报告生成</w:t>
            </w:r>
          </w:p>
        </w:tc>
        <w:tc>
          <w:tcPr>
            <w:tcW w:type="dxa" w:w="5329"/>
          </w:tcPr>
          <w:p>
            <w:pPr>
              <w:spacing w:after="20"/>
            </w:pPr>
            <w:r/>
            <w:r>
              <w:rPr>
                <w:rFonts w:ascii="宋体" w:hAnsi="宋体" w:eastAsia="宋体"/>
                <w:sz w:val="18"/>
              </w:rPr>
              <w:t>对不可量化维度自动生成结构化文字报告</w:t>
            </w:r>
          </w:p>
        </w:tc>
      </w:tr>
    </w:tbl>
    <w:p/>
    <w:p>
      <w:pPr>
        <w:spacing w:before="160" w:after="80"/>
      </w:pPr>
      <w:r>
        <w:rPr>
          <w:rFonts w:ascii="微软雅黑" w:hAnsi="微软雅黑" w:eastAsia="微软雅黑"/>
          <w:b/>
          <w:color w:val="1E2630"/>
          <w:sz w:val="22"/>
        </w:rPr>
        <w:t>方法方向与数据来源</w:t>
      </w:r>
    </w:p>
    <w:p>
      <w:pPr>
        <w:pStyle w:val="ListBullet"/>
        <w:spacing w:after="40"/>
      </w:pPr>
      <w:r>
        <w:rPr>
          <w:rFonts w:ascii="宋体" w:hAnsi="宋体" w:eastAsia="宋体"/>
        </w:rPr>
        <w:t>指标体系设计：先定义风险口径（暴露度、损失可能性、传导速度、持续时间），再选择代理指标。</w:t>
      </w:r>
    </w:p>
    <w:p>
      <w:pPr>
        <w:pStyle w:val="ListBullet"/>
        <w:spacing w:after="40"/>
      </w:pPr>
      <w:r>
        <w:rPr>
          <w:rFonts w:ascii="宋体" w:hAnsi="宋体" w:eastAsia="宋体"/>
        </w:rPr>
        <w:t>数据管道：定时任务抓取/调用官方数据源 → 清洗 → 入库 → 计算分值 → 更新前端。</w:t>
      </w:r>
    </w:p>
    <w:p>
      <w:pPr>
        <w:pStyle w:val="ListBullet"/>
        <w:spacing w:after="40"/>
      </w:pPr>
      <w:r>
        <w:rPr>
          <w:rFonts w:ascii="宋体" w:hAnsi="宋体" w:eastAsia="宋体"/>
        </w:rPr>
        <w:t>量化方法：指标标准化与加权合成、情景分析与压力测试、VaR 思路的迁移应用。</w:t>
      </w:r>
    </w:p>
    <w:p>
      <w:pPr>
        <w:pStyle w:val="ListBullet"/>
        <w:spacing w:after="40"/>
      </w:pPr>
      <w:r>
        <w:rPr>
          <w:rFonts w:ascii="宋体" w:hAnsi="宋体" w:eastAsia="宋体"/>
        </w:rPr>
        <w:t>可视化：地理热力图、时间趋势折线、雷达图（企业各维度对比）。</w:t>
      </w:r>
    </w:p>
    <w:p>
      <w:pPr>
        <w:pStyle w:val="ListBullet"/>
        <w:spacing w:after="40"/>
      </w:pPr>
      <w:r>
        <w:rPr>
          <w:rFonts w:ascii="宋体" w:hAnsi="宋体" w:eastAsia="宋体"/>
        </w:rPr>
        <w:t>数据来源方向：官方贸易与制裁清单、行业与航运指数、公开法律与监管动态、企业与新闻数据库。</w:t>
      </w:r>
    </w:p>
    <w:p>
      <w:pPr>
        <w:pStyle w:val="ListBullet"/>
        <w:spacing w:after="40"/>
      </w:pPr>
      <w:r>
        <w:rPr>
          <w:rFonts w:ascii="宋体" w:hAnsi="宋体" w:eastAsia="宋体"/>
        </w:rPr>
        <w:t>合规要求：所有数据来源合法可溯；输出报告须声明数据时效与不确定性，不能替代专业合规意见。</w:t>
      </w:r>
    </w:p>
    <w:p>
      <w:pPr>
        <w:spacing w:before="160" w:after="80"/>
      </w:pPr>
      <w:r>
        <w:rPr>
          <w:rFonts w:ascii="微软雅黑" w:hAnsi="微软雅黑" w:eastAsia="微软雅黑"/>
          <w:b/>
          <w:color w:val="1E2630"/>
          <w:sz w:val="22"/>
        </w:rPr>
        <w:t>评分关注点</w:t>
      </w:r>
    </w:p>
    <w:p>
      <w:pPr>
        <w:pStyle w:val="ListBullet"/>
        <w:spacing w:after="40"/>
      </w:pPr>
      <w:r>
        <w:rPr>
          <w:rFonts w:ascii="宋体" w:hAnsi="宋体" w:eastAsia="宋体"/>
        </w:rPr>
        <w:t>风险维度与量化指标的设计是否自洽、是否有依据、是否可计算。</w:t>
      </w:r>
    </w:p>
    <w:p>
      <w:pPr>
        <w:pStyle w:val="ListBullet"/>
        <w:spacing w:after="40"/>
      </w:pPr>
      <w:r>
        <w:rPr>
          <w:rFonts w:ascii="宋体" w:hAnsi="宋体" w:eastAsia="宋体"/>
        </w:rPr>
        <w:t>“自动更新”是否真的自动（有定时机制），还是手工整理后的一次性展示。</w:t>
      </w:r>
    </w:p>
    <w:p>
      <w:pPr>
        <w:pStyle w:val="ListBullet"/>
        <w:spacing w:after="40"/>
      </w:pPr>
      <w:r>
        <w:rPr>
          <w:rFonts w:ascii="宋体" w:hAnsi="宋体" w:eastAsia="宋体"/>
        </w:rPr>
        <w:t>交互界面是否可用：输入信息后能否得到有意义、可解释的结果。</w:t>
      </w:r>
    </w:p>
    <w:p>
      <w:pPr>
        <w:pStyle w:val="ListBullet"/>
        <w:spacing w:after="40"/>
      </w:pPr>
      <w:r>
        <w:rPr>
          <w:rFonts w:ascii="宋体" w:hAnsi="宋体" w:eastAsia="宋体"/>
        </w:rPr>
        <w:t>文本报告是否基于实时风险数据生成，而非模板套话。</w:t>
      </w:r>
    </w:p>
    <w:p>
      <w:pPr>
        <w:spacing w:before="160" w:after="80"/>
      </w:pPr>
      <w:r>
        <w:rPr>
          <w:rFonts w:ascii="微软雅黑" w:hAnsi="微软雅黑" w:eastAsia="微软雅黑"/>
          <w:b/>
          <w:color w:val="1E2630"/>
          <w:sz w:val="22"/>
        </w:rPr>
        <w:t>常见误区</w:t>
      </w:r>
    </w:p>
    <w:p>
      <w:pPr>
        <w:pStyle w:val="ListBullet"/>
        <w:spacing w:after="40"/>
      </w:pPr>
      <w:r>
        <w:rPr>
          <w:rFonts w:ascii="宋体" w:hAnsi="宋体" w:eastAsia="宋体"/>
        </w:rPr>
        <w:t>维度很多，但每个维度都只是定性描述，无法量化。</w:t>
      </w:r>
    </w:p>
    <w:p>
      <w:pPr>
        <w:pStyle w:val="ListBullet"/>
        <w:spacing w:after="40"/>
      </w:pPr>
      <w:r>
        <w:rPr>
          <w:rFonts w:ascii="宋体" w:hAnsi="宋体" w:eastAsia="宋体"/>
        </w:rPr>
        <w:t>风险数据库是静态的（一次性整理），没有更新机制。</w:t>
      </w:r>
    </w:p>
    <w:p>
      <w:pPr>
        <w:pStyle w:val="ListBullet"/>
        <w:spacing w:after="40"/>
      </w:pPr>
      <w:r>
        <w:rPr>
          <w:rFonts w:ascii="宋体" w:hAnsi="宋体" w:eastAsia="宋体"/>
        </w:rPr>
        <w:t>界面只展示数据，不解释“为什么这家企业在这个维度暴露度高”。</w:t>
      </w:r>
    </w:p>
    <w:p>
      <w:pPr>
        <w:pStyle w:val="ListBullet"/>
        <w:spacing w:after="40"/>
      </w:pPr>
      <w:r>
        <w:rPr>
          <w:rFonts w:ascii="宋体" w:hAnsi="宋体" w:eastAsia="宋体"/>
        </w:rPr>
        <w:t>忽略免责声明与不确定性说明，把风险分值当成结论使用。</w:t>
      </w:r>
    </w:p>
    <w:p>
      <w:r>
        <w:br w:type="page"/>
      </w:r>
    </w:p>
    <w:p>
      <w:pPr>
        <w:spacing w:before="240" w:after="80"/>
      </w:pPr>
      <w:r>
        <w:rPr>
          <w:rFonts w:ascii="微软雅黑" w:hAnsi="微软雅黑" w:eastAsia="微软雅黑"/>
          <w:b/>
          <w:color w:val="8C1A2E"/>
          <w:sz w:val="30"/>
        </w:rPr>
        <w:t>五、团队协作与分工建议</w:t>
      </w:r>
    </w:p>
    <w:p>
      <w:r>
        <w:rPr>
          <w:rFonts w:ascii="宋体" w:hAnsi="宋体" w:eastAsia="宋体"/>
          <w:b w:val="0"/>
          <w:i w:val="0"/>
        </w:rPr>
        <w:t>每队不超过 2 人，因此分工的核心是“不要两个人做同一件事”。建议按以下两条主线拆分，并在报告中写清各自负责的部分（这也是答辩时会被追问的内容）。</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val="clear" w:fill="F2E9EA"/>
          </w:tcPr>
          <w:p>
            <w:r/>
            <w:r>
              <w:rPr>
                <w:rFonts w:ascii="微软雅黑" w:hAnsi="微软雅黑" w:eastAsia="微软雅黑"/>
                <w:b/>
                <w:sz w:val="18"/>
              </w:rPr>
              <w:t>主线</w:t>
            </w:r>
          </w:p>
        </w:tc>
        <w:tc>
          <w:tcPr>
            <w:tcW w:type="dxa" w:w="4535"/>
            <w:shd w:val="clear" w:fill="F2E9EA"/>
          </w:tcPr>
          <w:p>
            <w:r/>
            <w:r>
              <w:rPr>
                <w:rFonts w:ascii="微软雅黑" w:hAnsi="微软雅黑" w:eastAsia="微软雅黑"/>
                <w:b/>
                <w:sz w:val="18"/>
              </w:rPr>
              <w:t>主要工作</w:t>
            </w:r>
          </w:p>
        </w:tc>
        <w:tc>
          <w:tcPr>
            <w:tcW w:type="dxa" w:w="2268"/>
            <w:shd w:val="clear" w:fill="F2E9EA"/>
          </w:tcPr>
          <w:p>
            <w:r/>
            <w:r>
              <w:rPr>
                <w:rFonts w:ascii="微软雅黑" w:hAnsi="微软雅黑" w:eastAsia="微软雅黑"/>
                <w:b/>
                <w:sz w:val="18"/>
              </w:rPr>
              <w:t>对应能力</w:t>
            </w:r>
          </w:p>
        </w:tc>
      </w:tr>
      <w:tr>
        <w:tc>
          <w:tcPr>
            <w:tcW w:type="dxa" w:w="1814"/>
          </w:tcPr>
          <w:p>
            <w:pPr>
              <w:spacing w:after="20"/>
            </w:pPr>
            <w:r/>
            <w:r>
              <w:rPr>
                <w:rFonts w:ascii="宋体" w:hAnsi="宋体" w:eastAsia="宋体"/>
                <w:sz w:val="18"/>
              </w:rPr>
              <w:t>业务与策略线</w:t>
            </w:r>
          </w:p>
        </w:tc>
        <w:tc>
          <w:tcPr>
            <w:tcW w:type="dxa" w:w="4535"/>
          </w:tcPr>
          <w:p>
            <w:pPr>
              <w:spacing w:after="20"/>
            </w:pPr>
            <w:r/>
            <w:r>
              <w:rPr>
                <w:rFonts w:ascii="宋体" w:hAnsi="宋体" w:eastAsia="宋体"/>
                <w:sz w:val="18"/>
              </w:rPr>
              <w:t>痛点诊断、目标设定、方案设计、商业逻辑、报告撰写</w:t>
            </w:r>
          </w:p>
        </w:tc>
        <w:tc>
          <w:tcPr>
            <w:tcW w:type="dxa" w:w="2268"/>
          </w:tcPr>
          <w:p>
            <w:pPr>
              <w:spacing w:after="20"/>
            </w:pPr>
            <w:r/>
            <w:r>
              <w:rPr>
                <w:rFonts w:ascii="宋体" w:hAnsi="宋体" w:eastAsia="宋体"/>
                <w:sz w:val="18"/>
              </w:rPr>
              <w:t>业务理解、逻辑表达、写作</w:t>
            </w:r>
          </w:p>
        </w:tc>
      </w:tr>
      <w:tr>
        <w:tc>
          <w:tcPr>
            <w:tcW w:type="dxa" w:w="1814"/>
          </w:tcPr>
          <w:p>
            <w:pPr>
              <w:spacing w:after="20"/>
            </w:pPr>
            <w:r/>
            <w:r>
              <w:rPr>
                <w:rFonts w:ascii="宋体" w:hAnsi="宋体" w:eastAsia="宋体"/>
                <w:sz w:val="18"/>
              </w:rPr>
              <w:t>数据与技术线</w:t>
            </w:r>
          </w:p>
        </w:tc>
        <w:tc>
          <w:tcPr>
            <w:tcW w:type="dxa" w:w="4535"/>
          </w:tcPr>
          <w:p>
            <w:pPr>
              <w:spacing w:after="20"/>
            </w:pPr>
            <w:r/>
            <w:r>
              <w:rPr>
                <w:rFonts w:ascii="宋体" w:hAnsi="宋体" w:eastAsia="宋体"/>
                <w:sz w:val="18"/>
              </w:rPr>
              <w:t>数据获取与清洗、算法与模型、可视化、系统或网页实现</w:t>
            </w:r>
          </w:p>
        </w:tc>
        <w:tc>
          <w:tcPr>
            <w:tcW w:type="dxa" w:w="2268"/>
          </w:tcPr>
          <w:p>
            <w:pPr>
              <w:spacing w:after="20"/>
            </w:pPr>
            <w:r/>
            <w:r>
              <w:rPr>
                <w:rFonts w:ascii="宋体" w:hAnsi="宋体" w:eastAsia="宋体"/>
                <w:sz w:val="18"/>
              </w:rPr>
              <w:t>编程、数据处理、工程实现</w:t>
            </w:r>
          </w:p>
        </w:tc>
      </w:tr>
    </w:tbl>
    <w:p/>
    <w:p>
      <w:r>
        <w:rPr>
          <w:rFonts w:ascii="宋体" w:hAnsi="宋体" w:eastAsia="宋体"/>
          <w:b w:val="0"/>
          <w:i w:val="0"/>
        </w:rPr>
        <w:t>协作要求：</w:t>
      </w:r>
    </w:p>
    <w:p>
      <w:pPr>
        <w:pStyle w:val="ListBullet"/>
        <w:spacing w:after="40"/>
      </w:pPr>
      <w:r>
        <w:rPr>
          <w:rFonts w:ascii="宋体" w:hAnsi="宋体" w:eastAsia="宋体"/>
        </w:rPr>
        <w:t>过程留痕：使用 Git 仓库或共享文档记录每周进展，答辩时可直接展示迭代过程。</w:t>
      </w:r>
    </w:p>
    <w:p>
      <w:pPr>
        <w:pStyle w:val="ListBullet"/>
        <w:spacing w:after="40"/>
      </w:pPr>
      <w:r>
        <w:rPr>
          <w:rFonts w:ascii="宋体" w:hAnsi="宋体" w:eastAsia="宋体"/>
        </w:rPr>
        <w:t>AI 使用共享：团队共用一份《AI 使用说明》，避免口径不一致。</w:t>
      </w:r>
    </w:p>
    <w:p>
      <w:pPr>
        <w:pStyle w:val="ListBullet"/>
        <w:spacing w:after="40"/>
      </w:pPr>
      <w:r>
        <w:rPr>
          <w:rFonts w:ascii="宋体" w:hAnsi="宋体" w:eastAsia="宋体"/>
        </w:rPr>
        <w:t>答辩分工：5 分钟内两人都要有陈述（若 2 人组队），并明确谁回答哪一类问题。</w:t>
      </w:r>
    </w:p>
    <w:p>
      <w:pPr>
        <w:spacing w:before="240" w:after="80"/>
      </w:pPr>
      <w:r>
        <w:rPr>
          <w:rFonts w:ascii="微软雅黑" w:hAnsi="微软雅黑" w:eastAsia="微软雅黑"/>
          <w:b/>
          <w:color w:val="8C1A2E"/>
          <w:sz w:val="30"/>
        </w:rPr>
        <w:t>六、常见问题</w:t>
      </w:r>
    </w:p>
    <w:p>
      <w:r>
        <w:rPr>
          <w:rFonts w:ascii="宋体" w:hAnsi="宋体" w:eastAsia="宋体"/>
          <w:b/>
          <w:i w:val="0"/>
        </w:rPr>
        <w:t>Q：可以一个人组队吗？</w:t>
      </w:r>
    </w:p>
    <w:p>
      <w:pPr>
        <w:ind w:left="283"/>
      </w:pPr>
      <w:r>
        <w:rPr>
          <w:rFonts w:ascii="宋体" w:hAnsi="宋体" w:eastAsia="宋体"/>
          <w:b w:val="0"/>
          <w:i w:val="0"/>
        </w:rPr>
        <w:t>A：可以。人数上限为 2 人，单人完成同样评分标准，但需自行覆盖业务与数据两类工作。</w:t>
      </w:r>
    </w:p>
    <w:p>
      <w:r>
        <w:rPr>
          <w:rFonts w:ascii="宋体" w:hAnsi="宋体" w:eastAsia="宋体"/>
          <w:b/>
          <w:i w:val="0"/>
        </w:rPr>
        <w:t>Q：四个项目可以选同一个吗？</w:t>
      </w:r>
    </w:p>
    <w:p>
      <w:pPr>
        <w:ind w:left="283"/>
      </w:pPr>
      <w:r>
        <w:rPr>
          <w:rFonts w:ascii="宋体" w:hAnsi="宋体" w:eastAsia="宋体"/>
          <w:b w:val="0"/>
          <w:i w:val="0"/>
        </w:rPr>
        <w:t>A：同一项目允许多组选择，但题目、目标市场与研究对象不得重复；如遇冲突，按申报时间先后协商调整。</w:t>
      </w:r>
    </w:p>
    <w:p>
      <w:r>
        <w:rPr>
          <w:rFonts w:ascii="宋体" w:hAnsi="宋体" w:eastAsia="宋体"/>
          <w:b/>
          <w:i w:val="0"/>
        </w:rPr>
        <w:t>Q：必须写代码吗？</w:t>
      </w:r>
    </w:p>
    <w:p>
      <w:pPr>
        <w:ind w:left="283"/>
      </w:pPr>
      <w:r>
        <w:rPr>
          <w:rFonts w:ascii="宋体" w:hAnsi="宋体" w:eastAsia="宋体"/>
          <w:b w:val="0"/>
          <w:i w:val="0"/>
        </w:rPr>
        <w:t>A：不强制要求“从零写代码”，但项目必须体现数据驱动的过程。使用现成工具与平台可视化分析也可以，关键是方法与结论可被复核。</w:t>
      </w:r>
    </w:p>
    <w:p>
      <w:r>
        <w:rPr>
          <w:rFonts w:ascii="宋体" w:hAnsi="宋体" w:eastAsia="宋体"/>
          <w:b/>
          <w:i w:val="0"/>
        </w:rPr>
        <w:t>Q：可以用 AI 生成报告文字吗？</w:t>
      </w:r>
    </w:p>
    <w:p>
      <w:pPr>
        <w:ind w:left="283"/>
      </w:pPr>
      <w:r>
        <w:rPr>
          <w:rFonts w:ascii="宋体" w:hAnsi="宋体" w:eastAsia="宋体"/>
          <w:b w:val="0"/>
          <w:i w:val="0"/>
        </w:rPr>
        <w:t>A：语言润色、翻译、格式整理可以；概念构想、流程设计与商业判断不可以。请提交《AI 使用说明》。</w:t>
      </w:r>
    </w:p>
    <w:p>
      <w:r>
        <w:rPr>
          <w:rFonts w:ascii="宋体" w:hAnsi="宋体" w:eastAsia="宋体"/>
          <w:b/>
          <w:i w:val="0"/>
        </w:rPr>
        <w:t>Q：数据从哪里来？</w:t>
      </w:r>
    </w:p>
    <w:p>
      <w:pPr>
        <w:ind w:left="283"/>
      </w:pPr>
      <w:r>
        <w:rPr>
          <w:rFonts w:ascii="宋体" w:hAnsi="宋体" w:eastAsia="宋体"/>
          <w:b w:val="0"/>
          <w:i w:val="0"/>
        </w:rPr>
        <w:t>A：优先使用公开统计与官方 API；也可以使用授权数据服务商或自采数据。无论哪种，来源必须可追溯。课程模块三第 4–6 节提供了海关数据 API、电商数据分析、地理信息平台找客户三项实操教程与代码。</w:t>
      </w:r>
    </w:p>
    <w:p>
      <w:r>
        <w:rPr>
          <w:rFonts w:ascii="宋体" w:hAnsi="宋体" w:eastAsia="宋体"/>
          <w:b/>
          <w:i w:val="0"/>
        </w:rPr>
        <w:t>Q：报告 10 页怎么分配？</w:t>
      </w:r>
    </w:p>
    <w:p>
      <w:pPr>
        <w:ind w:left="283"/>
      </w:pPr>
      <w:r>
        <w:rPr>
          <w:rFonts w:ascii="宋体" w:hAnsi="宋体" w:eastAsia="宋体"/>
          <w:b w:val="0"/>
          <w:i w:val="0"/>
        </w:rPr>
        <w:t>A：建议：执行摘要 1 页、背景与问题 1 页、数据与方法 2 页、分析与发现 2 页、方案与实施 2 页、验证与风险 1 页、参考文献与附录 1 页。</w:t>
      </w:r>
    </w:p>
    <w:p>
      <w:r>
        <w:rPr>
          <w:rFonts w:ascii="宋体" w:hAnsi="宋体" w:eastAsia="宋体"/>
          <w:b/>
          <w:i w:val="0"/>
        </w:rPr>
        <w:t>Q：答辩 5 分钟讲什么？</w:t>
      </w:r>
    </w:p>
    <w:p>
      <w:pPr>
        <w:ind w:left="283"/>
      </w:pPr>
      <w:r>
        <w:rPr>
          <w:rFonts w:ascii="宋体" w:hAnsi="宋体" w:eastAsia="宋体"/>
          <w:b w:val="0"/>
          <w:i w:val="0"/>
        </w:rPr>
        <w:t>A：建议结构：问题与对象（1 分钟）→ 数据与方法（1.5 分钟）→ 核心发现与方案（1.5 分钟）→ 验证与风险（1 分钟）。</w:t>
      </w:r>
    </w:p>
    <w:p>
      <w:r>
        <w:rPr>
          <w:rFonts w:ascii="宋体" w:hAnsi="宋体" w:eastAsia="宋体"/>
          <w:b/>
          <w:i w:val="0"/>
        </w:rPr>
        <w:t>Q：电子材料可以用 GitHub 提交吗？</w:t>
      </w:r>
    </w:p>
    <w:p>
      <w:pPr>
        <w:ind w:left="283"/>
      </w:pPr>
      <w:r>
        <w:rPr>
          <w:rFonts w:ascii="宋体" w:hAnsi="宋体" w:eastAsia="宋体"/>
          <w:b w:val="0"/>
          <w:i w:val="0"/>
        </w:rPr>
        <w:t>A：推荐。请在仓库中提供 README（项目简介、目录结构、运行方法、数据来源、AI 使用说明），并确保仓库为公开可访问或提前为老师开通权限。</w:t>
      </w:r>
    </w:p>
    <w:p>
      <w:pPr>
        <w:spacing w:before="240" w:after="80"/>
      </w:pPr>
      <w:r>
        <w:rPr>
          <w:rFonts w:ascii="微软雅黑" w:hAnsi="微软雅黑" w:eastAsia="微软雅黑"/>
          <w:b/>
          <w:color w:val="8C1A2E"/>
          <w:sz w:val="30"/>
        </w:rPr>
        <w:t>七、附录</w:t>
      </w:r>
    </w:p>
    <w:p>
      <w:pPr>
        <w:spacing w:before="160" w:after="80"/>
      </w:pPr>
      <w:r>
        <w:rPr>
          <w:rFonts w:ascii="微软雅黑" w:hAnsi="微软雅黑" w:eastAsia="微软雅黑"/>
          <w:b/>
          <w:color w:val="1E2630"/>
          <w:sz w:val="25"/>
        </w:rPr>
        <w:t>附录 A　交付清单自查表</w:t>
      </w:r>
    </w:p>
    <w:tbl>
      <w:tblPr>
        <w:tblStyle w:val="TableGrid"/>
        <w:tblW w:type="auto" w:w="0"/>
        <w:jc w:val="center"/>
        <w:tblLook w:firstColumn="1" w:firstRow="1" w:lastColumn="0" w:lastRow="0" w:noHBand="0" w:noVBand="1" w:val="04A0"/>
      </w:tblPr>
      <w:tblGrid>
        <w:gridCol w:w="3135"/>
        <w:gridCol w:w="3135"/>
        <w:gridCol w:w="3135"/>
      </w:tblGrid>
      <w:tr>
        <w:tc>
          <w:tcPr>
            <w:tcW w:type="dxa" w:w="4819"/>
            <w:shd w:val="clear" w:fill="F2E9EA"/>
          </w:tcPr>
          <w:p>
            <w:r/>
            <w:r>
              <w:rPr>
                <w:rFonts w:ascii="微软雅黑" w:hAnsi="微软雅黑" w:eastAsia="微软雅黑"/>
                <w:b/>
                <w:sz w:val="18"/>
              </w:rPr>
              <w:t>项目</w:t>
            </w:r>
          </w:p>
        </w:tc>
        <w:tc>
          <w:tcPr>
            <w:tcW w:type="dxa" w:w="1134"/>
            <w:shd w:val="clear" w:fill="F2E9EA"/>
          </w:tcPr>
          <w:p>
            <w:r/>
            <w:r>
              <w:rPr>
                <w:rFonts w:ascii="微软雅黑" w:hAnsi="微软雅黑" w:eastAsia="微软雅黑"/>
                <w:b/>
                <w:sz w:val="18"/>
              </w:rPr>
              <w:t>是否完成</w:t>
            </w:r>
          </w:p>
        </w:tc>
        <w:tc>
          <w:tcPr>
            <w:tcW w:type="dxa" w:w="2665"/>
            <w:shd w:val="clear" w:fill="F2E9EA"/>
          </w:tcPr>
          <w:p>
            <w:r/>
            <w:r>
              <w:rPr>
                <w:rFonts w:ascii="微软雅黑" w:hAnsi="微软雅黑" w:eastAsia="微软雅黑"/>
                <w:b/>
                <w:sz w:val="18"/>
              </w:rPr>
              <w:t>备注</w:t>
            </w:r>
          </w:p>
        </w:tc>
      </w:tr>
      <w:tr>
        <w:tc>
          <w:tcPr>
            <w:tcW w:type="dxa" w:w="4819"/>
          </w:tcPr>
          <w:p>
            <w:pPr>
              <w:spacing w:after="20"/>
            </w:pPr>
            <w:r/>
            <w:r>
              <w:rPr>
                <w:rFonts w:ascii="宋体" w:hAnsi="宋体" w:eastAsia="宋体"/>
                <w:sz w:val="18"/>
              </w:rPr>
              <w:t>纸质 PDF 报告（≤10 页）已提交学校信箱</w:t>
            </w:r>
          </w:p>
        </w:tc>
        <w:tc>
          <w:tcPr>
            <w:tcW w:type="dxa" w:w="1134"/>
          </w:tcPr>
          <w:p>
            <w:pPr>
              <w:spacing w:after="20"/>
            </w:pPr>
            <w:r/>
            <w:r>
              <w:rPr>
                <w:rFonts w:ascii="宋体" w:hAnsi="宋体" w:eastAsia="宋体"/>
                <w:sz w:val="18"/>
              </w:rPr>
              <w:t>□</w:t>
            </w:r>
          </w:p>
        </w:tc>
        <w:tc>
          <w:tcPr>
            <w:tcW w:type="dxa" w:w="2665"/>
          </w:tcPr>
          <w:p>
            <w:pPr>
              <w:spacing w:after="20"/>
            </w:pPr>
            <w:r/>
            <w:r>
              <w:rPr>
                <w:rFonts w:ascii="宋体" w:hAnsi="宋体" w:eastAsia="宋体"/>
                <w:sz w:val="18"/>
              </w:rPr>
              <w:t>含封面、目录、正文、参考文献</w:t>
            </w:r>
          </w:p>
        </w:tc>
      </w:tr>
      <w:tr>
        <w:tc>
          <w:tcPr>
            <w:tcW w:type="dxa" w:w="4819"/>
          </w:tcPr>
          <w:p>
            <w:pPr>
              <w:spacing w:after="20"/>
            </w:pPr>
            <w:r/>
            <w:r>
              <w:rPr>
                <w:rFonts w:ascii="宋体" w:hAnsi="宋体" w:eastAsia="宋体"/>
                <w:sz w:val="18"/>
              </w:rPr>
              <w:t>电子材料已提交（邮箱或 GitHub）</w:t>
            </w:r>
          </w:p>
        </w:tc>
        <w:tc>
          <w:tcPr>
            <w:tcW w:type="dxa" w:w="1134"/>
          </w:tcPr>
          <w:p>
            <w:pPr>
              <w:spacing w:after="20"/>
            </w:pPr>
            <w:r/>
            <w:r>
              <w:rPr>
                <w:rFonts w:ascii="宋体" w:hAnsi="宋体" w:eastAsia="宋体"/>
                <w:sz w:val="18"/>
              </w:rPr>
              <w:t>□</w:t>
            </w:r>
          </w:p>
        </w:tc>
        <w:tc>
          <w:tcPr>
            <w:tcW w:type="dxa" w:w="2665"/>
          </w:tcPr>
          <w:p>
            <w:pPr>
              <w:spacing w:after="20"/>
            </w:pPr>
            <w:r/>
            <w:r>
              <w:rPr>
                <w:rFonts w:ascii="宋体" w:hAnsi="宋体" w:eastAsia="宋体"/>
                <w:sz w:val="18"/>
              </w:rPr>
              <w:t>源代码、Prompt 记录、Markdown 文档、数据集说明</w:t>
            </w:r>
          </w:p>
        </w:tc>
      </w:tr>
      <w:tr>
        <w:tc>
          <w:tcPr>
            <w:tcW w:type="dxa" w:w="4819"/>
          </w:tcPr>
          <w:p>
            <w:pPr>
              <w:spacing w:after="20"/>
            </w:pPr>
            <w:r/>
            <w:r>
              <w:rPr>
                <w:rFonts w:ascii="宋体" w:hAnsi="宋体" w:eastAsia="宋体"/>
                <w:sz w:val="18"/>
              </w:rPr>
              <w:t>《AI 使用说明》已包含在材料中</w:t>
            </w:r>
          </w:p>
        </w:tc>
        <w:tc>
          <w:tcPr>
            <w:tcW w:type="dxa" w:w="1134"/>
          </w:tcPr>
          <w:p>
            <w:pPr>
              <w:spacing w:after="20"/>
            </w:pPr>
            <w:r/>
            <w:r>
              <w:rPr>
                <w:rFonts w:ascii="宋体" w:hAnsi="宋体" w:eastAsia="宋体"/>
                <w:sz w:val="18"/>
              </w:rPr>
              <w:t>□</w:t>
            </w:r>
          </w:p>
        </w:tc>
        <w:tc>
          <w:tcPr>
            <w:tcW w:type="dxa" w:w="2665"/>
          </w:tcPr>
          <w:p>
            <w:pPr>
              <w:spacing w:after="20"/>
            </w:pPr>
            <w:r/>
            <w:r>
              <w:rPr>
                <w:rFonts w:ascii="宋体" w:hAnsi="宋体" w:eastAsia="宋体"/>
                <w:sz w:val="18"/>
              </w:rPr>
              <w:t>工具、环节、AI 产出、团队修改</w:t>
            </w:r>
          </w:p>
        </w:tc>
      </w:tr>
      <w:tr>
        <w:tc>
          <w:tcPr>
            <w:tcW w:type="dxa" w:w="4819"/>
          </w:tcPr>
          <w:p>
            <w:pPr>
              <w:spacing w:after="20"/>
            </w:pPr>
            <w:r/>
            <w:r>
              <w:rPr>
                <w:rFonts w:ascii="宋体" w:hAnsi="宋体" w:eastAsia="宋体"/>
                <w:sz w:val="18"/>
              </w:rPr>
              <w:t>展示结果（网页/视频/原型）链接可用</w:t>
            </w:r>
          </w:p>
        </w:tc>
        <w:tc>
          <w:tcPr>
            <w:tcW w:type="dxa" w:w="1134"/>
          </w:tcPr>
          <w:p>
            <w:pPr>
              <w:spacing w:after="20"/>
            </w:pPr>
            <w:r/>
            <w:r>
              <w:rPr>
                <w:rFonts w:ascii="宋体" w:hAnsi="宋体" w:eastAsia="宋体"/>
                <w:sz w:val="18"/>
              </w:rPr>
              <w:t>□</w:t>
            </w:r>
          </w:p>
        </w:tc>
        <w:tc>
          <w:tcPr>
            <w:tcW w:type="dxa" w:w="2665"/>
          </w:tcPr>
          <w:p>
            <w:pPr>
              <w:spacing w:after="20"/>
            </w:pPr>
            <w:r/>
            <w:r>
              <w:rPr>
                <w:rFonts w:ascii="宋体" w:hAnsi="宋体" w:eastAsia="宋体"/>
                <w:sz w:val="18"/>
              </w:rPr>
              <w:t>提前测试链接有效性</w:t>
            </w:r>
          </w:p>
        </w:tc>
      </w:tr>
      <w:tr>
        <w:tc>
          <w:tcPr>
            <w:tcW w:type="dxa" w:w="4819"/>
          </w:tcPr>
          <w:p>
            <w:pPr>
              <w:spacing w:after="20"/>
            </w:pPr>
            <w:r/>
            <w:r>
              <w:rPr>
                <w:rFonts w:ascii="宋体" w:hAnsi="宋体" w:eastAsia="宋体"/>
                <w:sz w:val="18"/>
              </w:rPr>
              <w:t>数据来源与引用已标注</w:t>
            </w:r>
          </w:p>
        </w:tc>
        <w:tc>
          <w:tcPr>
            <w:tcW w:type="dxa" w:w="1134"/>
          </w:tcPr>
          <w:p>
            <w:pPr>
              <w:spacing w:after="20"/>
            </w:pPr>
            <w:r/>
            <w:r>
              <w:rPr>
                <w:rFonts w:ascii="宋体" w:hAnsi="宋体" w:eastAsia="宋体"/>
                <w:sz w:val="18"/>
              </w:rPr>
              <w:t>□</w:t>
            </w:r>
          </w:p>
        </w:tc>
        <w:tc>
          <w:tcPr>
            <w:tcW w:type="dxa" w:w="2665"/>
          </w:tcPr>
          <w:p>
            <w:pPr>
              <w:spacing w:after="20"/>
            </w:pPr>
            <w:r/>
            <w:r>
              <w:rPr>
                <w:rFonts w:ascii="宋体" w:hAnsi="宋体" w:eastAsia="宋体"/>
                <w:sz w:val="18"/>
              </w:rPr>
              <w:t>机构、年份、访问日期、授权说明</w:t>
            </w:r>
          </w:p>
        </w:tc>
      </w:tr>
      <w:tr>
        <w:tc>
          <w:tcPr>
            <w:tcW w:type="dxa" w:w="4819"/>
          </w:tcPr>
          <w:p>
            <w:pPr>
              <w:spacing w:after="20"/>
            </w:pPr>
            <w:r/>
            <w:r>
              <w:rPr>
                <w:rFonts w:ascii="宋体" w:hAnsi="宋体" w:eastAsia="宋体"/>
                <w:sz w:val="18"/>
              </w:rPr>
              <w:t>答辩材料已准备（5 分钟）</w:t>
            </w:r>
          </w:p>
        </w:tc>
        <w:tc>
          <w:tcPr>
            <w:tcW w:type="dxa" w:w="1134"/>
          </w:tcPr>
          <w:p>
            <w:pPr>
              <w:spacing w:after="20"/>
            </w:pPr>
            <w:r/>
            <w:r>
              <w:rPr>
                <w:rFonts w:ascii="宋体" w:hAnsi="宋体" w:eastAsia="宋体"/>
                <w:sz w:val="18"/>
              </w:rPr>
              <w:t>□</w:t>
            </w:r>
          </w:p>
        </w:tc>
        <w:tc>
          <w:tcPr>
            <w:tcW w:type="dxa" w:w="2665"/>
          </w:tcPr>
          <w:p>
            <w:pPr>
              <w:spacing w:after="20"/>
            </w:pPr>
            <w:r/>
            <w:r>
              <w:rPr>
                <w:rFonts w:ascii="宋体" w:hAnsi="宋体" w:eastAsia="宋体"/>
                <w:sz w:val="18"/>
              </w:rPr>
              <w:t>PPT 或网页演示，含备份方案</w:t>
            </w:r>
          </w:p>
        </w:tc>
      </w:tr>
    </w:tbl>
    <w:p/>
    <w:p>
      <w:pPr>
        <w:spacing w:before="160" w:after="80"/>
      </w:pPr>
      <w:r>
        <w:rPr>
          <w:rFonts w:ascii="微软雅黑" w:hAnsi="微软雅黑" w:eastAsia="微软雅黑"/>
          <w:b/>
          <w:color w:val="1E2630"/>
          <w:sz w:val="25"/>
        </w:rPr>
        <w:t>附录 B　关键词与术语</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fill="F2E9EA"/>
          </w:tcPr>
          <w:p>
            <w:r/>
            <w:r>
              <w:rPr>
                <w:rFonts w:ascii="微软雅黑" w:hAnsi="微软雅黑" w:eastAsia="微软雅黑"/>
                <w:b/>
                <w:sz w:val="18"/>
              </w:rPr>
              <w:t>术语</w:t>
            </w:r>
          </w:p>
        </w:tc>
        <w:tc>
          <w:tcPr>
            <w:tcW w:type="dxa" w:w="2608"/>
            <w:shd w:val="clear" w:fill="F2E9EA"/>
          </w:tcPr>
          <w:p>
            <w:r/>
            <w:r>
              <w:rPr>
                <w:rFonts w:ascii="微软雅黑" w:hAnsi="微软雅黑" w:eastAsia="微软雅黑"/>
                <w:b/>
                <w:sz w:val="18"/>
              </w:rPr>
              <w:t>英文</w:t>
            </w:r>
          </w:p>
        </w:tc>
        <w:tc>
          <w:tcPr>
            <w:tcW w:type="dxa" w:w="4309"/>
            <w:shd w:val="clear" w:fill="F2E9EA"/>
          </w:tcPr>
          <w:p>
            <w:r/>
            <w:r>
              <w:rPr>
                <w:rFonts w:ascii="微软雅黑" w:hAnsi="微软雅黑" w:eastAsia="微软雅黑"/>
                <w:b/>
                <w:sz w:val="18"/>
              </w:rPr>
              <w:t>简要说明</w:t>
            </w:r>
          </w:p>
        </w:tc>
      </w:tr>
      <w:tr>
        <w:tc>
          <w:tcPr>
            <w:tcW w:type="dxa" w:w="1701"/>
          </w:tcPr>
          <w:p>
            <w:pPr>
              <w:spacing w:after="20"/>
            </w:pPr>
            <w:r/>
            <w:r>
              <w:rPr>
                <w:rFonts w:ascii="宋体" w:hAnsi="宋体" w:eastAsia="宋体"/>
                <w:sz w:val="18"/>
              </w:rPr>
              <w:t>动态预测</w:t>
            </w:r>
          </w:p>
        </w:tc>
        <w:tc>
          <w:tcPr>
            <w:tcW w:type="dxa" w:w="2608"/>
          </w:tcPr>
          <w:p>
            <w:pPr>
              <w:spacing w:after="20"/>
            </w:pPr>
            <w:r/>
            <w:r>
              <w:rPr>
                <w:rFonts w:ascii="宋体" w:hAnsi="宋体" w:eastAsia="宋体"/>
                <w:sz w:val="18"/>
              </w:rPr>
              <w:t>Dynamic Forecasting</w:t>
            </w:r>
          </w:p>
        </w:tc>
        <w:tc>
          <w:tcPr>
            <w:tcW w:type="dxa" w:w="4309"/>
          </w:tcPr>
          <w:p>
            <w:pPr>
              <w:spacing w:after="20"/>
            </w:pPr>
            <w:r/>
            <w:r>
              <w:rPr>
                <w:rFonts w:ascii="宋体" w:hAnsi="宋体" w:eastAsia="宋体"/>
                <w:sz w:val="18"/>
              </w:rPr>
              <w:t>随外部事件与数据更新而调整的预测，而非一次性静态估算</w:t>
            </w:r>
          </w:p>
        </w:tc>
      </w:tr>
      <w:tr>
        <w:tc>
          <w:tcPr>
            <w:tcW w:type="dxa" w:w="1701"/>
          </w:tcPr>
          <w:p>
            <w:pPr>
              <w:spacing w:after="20"/>
            </w:pPr>
            <w:r/>
            <w:r>
              <w:rPr>
                <w:rFonts w:ascii="宋体" w:hAnsi="宋体" w:eastAsia="宋体"/>
                <w:sz w:val="18"/>
              </w:rPr>
              <w:t>潜在爆款</w:t>
            </w:r>
          </w:p>
        </w:tc>
        <w:tc>
          <w:tcPr>
            <w:tcW w:type="dxa" w:w="2608"/>
          </w:tcPr>
          <w:p>
            <w:pPr>
              <w:spacing w:after="20"/>
            </w:pPr>
            <w:r/>
            <w:r>
              <w:rPr>
                <w:rFonts w:ascii="宋体" w:hAnsi="宋体" w:eastAsia="宋体"/>
                <w:sz w:val="18"/>
              </w:rPr>
              <w:t>Potential Hit Product</w:t>
            </w:r>
          </w:p>
        </w:tc>
        <w:tc>
          <w:tcPr>
            <w:tcW w:type="dxa" w:w="4309"/>
          </w:tcPr>
          <w:p>
            <w:pPr>
              <w:spacing w:after="20"/>
            </w:pPr>
            <w:r/>
            <w:r>
              <w:rPr>
                <w:rFonts w:ascii="宋体" w:hAnsi="宋体" w:eastAsia="宋体"/>
                <w:sz w:val="18"/>
              </w:rPr>
              <w:t>尚未被市场充分验证、但需求信号正在形成的产品</w:t>
            </w:r>
          </w:p>
        </w:tc>
      </w:tr>
      <w:tr>
        <w:tc>
          <w:tcPr>
            <w:tcW w:type="dxa" w:w="1701"/>
          </w:tcPr>
          <w:p>
            <w:pPr>
              <w:spacing w:after="20"/>
            </w:pPr>
            <w:r/>
            <w:r>
              <w:rPr>
                <w:rFonts w:ascii="宋体" w:hAnsi="宋体" w:eastAsia="宋体"/>
                <w:sz w:val="18"/>
              </w:rPr>
              <w:t>数据挖掘</w:t>
            </w:r>
          </w:p>
        </w:tc>
        <w:tc>
          <w:tcPr>
            <w:tcW w:type="dxa" w:w="2608"/>
          </w:tcPr>
          <w:p>
            <w:pPr>
              <w:spacing w:after="20"/>
            </w:pPr>
            <w:r/>
            <w:r>
              <w:rPr>
                <w:rFonts w:ascii="宋体" w:hAnsi="宋体" w:eastAsia="宋体"/>
                <w:sz w:val="18"/>
              </w:rPr>
              <w:t>Data Mining</w:t>
            </w:r>
          </w:p>
        </w:tc>
        <w:tc>
          <w:tcPr>
            <w:tcW w:type="dxa" w:w="4309"/>
          </w:tcPr>
          <w:p>
            <w:pPr>
              <w:spacing w:after="20"/>
            </w:pPr>
            <w:r/>
            <w:r>
              <w:rPr>
                <w:rFonts w:ascii="宋体" w:hAnsi="宋体" w:eastAsia="宋体"/>
                <w:sz w:val="18"/>
              </w:rPr>
              <w:t>从大量数据中发现结构、模式与关联的方法集合</w:t>
            </w:r>
          </w:p>
        </w:tc>
      </w:tr>
      <w:tr>
        <w:tc>
          <w:tcPr>
            <w:tcW w:type="dxa" w:w="1701"/>
          </w:tcPr>
          <w:p>
            <w:pPr>
              <w:spacing w:after="20"/>
            </w:pPr>
            <w:r/>
            <w:r>
              <w:rPr>
                <w:rFonts w:ascii="宋体" w:hAnsi="宋体" w:eastAsia="宋体"/>
                <w:sz w:val="18"/>
              </w:rPr>
              <w:t>转化率优化</w:t>
            </w:r>
          </w:p>
        </w:tc>
        <w:tc>
          <w:tcPr>
            <w:tcW w:type="dxa" w:w="2608"/>
          </w:tcPr>
          <w:p>
            <w:pPr>
              <w:spacing w:after="20"/>
            </w:pPr>
            <w:r/>
            <w:r>
              <w:rPr>
                <w:rFonts w:ascii="宋体" w:hAnsi="宋体" w:eastAsia="宋体"/>
                <w:sz w:val="18"/>
              </w:rPr>
              <w:t>Conversion Rate Optimization</w:t>
            </w:r>
          </w:p>
        </w:tc>
        <w:tc>
          <w:tcPr>
            <w:tcW w:type="dxa" w:w="4309"/>
          </w:tcPr>
          <w:p>
            <w:pPr>
              <w:spacing w:after="20"/>
            </w:pPr>
            <w:r/>
            <w:r>
              <w:rPr>
                <w:rFonts w:ascii="宋体" w:hAnsi="宋体" w:eastAsia="宋体"/>
                <w:sz w:val="18"/>
              </w:rPr>
              <w:t>通过结构与内容调整提升访问者完成目标动作的比例</w:t>
            </w:r>
          </w:p>
        </w:tc>
      </w:tr>
      <w:tr>
        <w:tc>
          <w:tcPr>
            <w:tcW w:type="dxa" w:w="1701"/>
          </w:tcPr>
          <w:p>
            <w:pPr>
              <w:spacing w:after="20"/>
            </w:pPr>
            <w:r/>
            <w:r>
              <w:rPr>
                <w:rFonts w:ascii="宋体" w:hAnsi="宋体" w:eastAsia="宋体"/>
                <w:sz w:val="18"/>
              </w:rPr>
              <w:t>在险价值</w:t>
            </w:r>
          </w:p>
        </w:tc>
        <w:tc>
          <w:tcPr>
            <w:tcW w:type="dxa" w:w="2608"/>
          </w:tcPr>
          <w:p>
            <w:pPr>
              <w:spacing w:after="20"/>
            </w:pPr>
            <w:r/>
            <w:r>
              <w:rPr>
                <w:rFonts w:ascii="宋体" w:hAnsi="宋体" w:eastAsia="宋体"/>
                <w:sz w:val="18"/>
              </w:rPr>
              <w:t>Value at Risk (VaR)</w:t>
            </w:r>
          </w:p>
        </w:tc>
        <w:tc>
          <w:tcPr>
            <w:tcW w:type="dxa" w:w="4309"/>
          </w:tcPr>
          <w:p>
            <w:pPr>
              <w:spacing w:after="20"/>
            </w:pPr>
            <w:r/>
            <w:r>
              <w:rPr>
                <w:rFonts w:ascii="宋体" w:hAnsi="宋体" w:eastAsia="宋体"/>
                <w:sz w:val="18"/>
              </w:rPr>
              <w:t>在给定置信水平与时间窗口下可能的最大损失，本项目用于表达风险暴露度</w:t>
            </w:r>
          </w:p>
        </w:tc>
      </w:tr>
      <w:tr>
        <w:tc>
          <w:tcPr>
            <w:tcW w:type="dxa" w:w="1701"/>
          </w:tcPr>
          <w:p>
            <w:pPr>
              <w:spacing w:after="20"/>
            </w:pPr>
            <w:r/>
            <w:r>
              <w:rPr>
                <w:rFonts w:ascii="宋体" w:hAnsi="宋体" w:eastAsia="宋体"/>
                <w:sz w:val="18"/>
              </w:rPr>
              <w:t>风险暴露度</w:t>
            </w:r>
          </w:p>
        </w:tc>
        <w:tc>
          <w:tcPr>
            <w:tcW w:type="dxa" w:w="2608"/>
          </w:tcPr>
          <w:p>
            <w:pPr>
              <w:spacing w:after="20"/>
            </w:pPr>
            <w:r/>
            <w:r>
              <w:rPr>
                <w:rFonts w:ascii="宋体" w:hAnsi="宋体" w:eastAsia="宋体"/>
                <w:sz w:val="18"/>
              </w:rPr>
              <w:t>Risk Exposure</w:t>
            </w:r>
          </w:p>
        </w:tc>
        <w:tc>
          <w:tcPr>
            <w:tcW w:type="dxa" w:w="4309"/>
          </w:tcPr>
          <w:p>
            <w:pPr>
              <w:spacing w:after="20"/>
            </w:pPr>
            <w:r/>
            <w:r>
              <w:rPr>
                <w:rFonts w:ascii="宋体" w:hAnsi="宋体" w:eastAsia="宋体"/>
                <w:sz w:val="18"/>
              </w:rPr>
              <w:t>企业业务在某一风险维度上受影响的程度</w:t>
            </w:r>
          </w:p>
        </w:tc>
      </w:tr>
      <w:tr>
        <w:tc>
          <w:tcPr>
            <w:tcW w:type="dxa" w:w="1701"/>
          </w:tcPr>
          <w:p>
            <w:pPr>
              <w:spacing w:after="20"/>
            </w:pPr>
            <w:r/>
            <w:r>
              <w:rPr>
                <w:rFonts w:ascii="宋体" w:hAnsi="宋体" w:eastAsia="宋体"/>
                <w:sz w:val="18"/>
              </w:rPr>
              <w:t>本地化</w:t>
            </w:r>
          </w:p>
        </w:tc>
        <w:tc>
          <w:tcPr>
            <w:tcW w:type="dxa" w:w="2608"/>
          </w:tcPr>
          <w:p>
            <w:pPr>
              <w:spacing w:after="20"/>
            </w:pPr>
            <w:r/>
            <w:r>
              <w:rPr>
                <w:rFonts w:ascii="宋体" w:hAnsi="宋体" w:eastAsia="宋体"/>
                <w:sz w:val="18"/>
              </w:rPr>
              <w:t>Localization</w:t>
            </w:r>
          </w:p>
        </w:tc>
        <w:tc>
          <w:tcPr>
            <w:tcW w:type="dxa" w:w="4309"/>
          </w:tcPr>
          <w:p>
            <w:pPr>
              <w:spacing w:after="20"/>
            </w:pPr>
            <w:r/>
            <w:r>
              <w:rPr>
                <w:rFonts w:ascii="宋体" w:hAnsi="宋体" w:eastAsia="宋体"/>
                <w:sz w:val="18"/>
              </w:rPr>
              <w:t>按目标市场的语言、文化与习惯调整内容与设计，而非仅翻译</w:t>
            </w:r>
          </w:p>
        </w:tc>
      </w:tr>
      <w:tr>
        <w:tc>
          <w:tcPr>
            <w:tcW w:type="dxa" w:w="1701"/>
          </w:tcPr>
          <w:p>
            <w:pPr>
              <w:spacing w:after="20"/>
            </w:pPr>
            <w:r/>
            <w:r>
              <w:rPr>
                <w:rFonts w:ascii="宋体" w:hAnsi="宋体" w:eastAsia="宋体"/>
                <w:sz w:val="18"/>
              </w:rPr>
              <w:t>提示词记录</w:t>
            </w:r>
          </w:p>
        </w:tc>
        <w:tc>
          <w:tcPr>
            <w:tcW w:type="dxa" w:w="2608"/>
          </w:tcPr>
          <w:p>
            <w:pPr>
              <w:spacing w:after="20"/>
            </w:pPr>
            <w:r/>
            <w:r>
              <w:rPr>
                <w:rFonts w:ascii="宋体" w:hAnsi="宋体" w:eastAsia="宋体"/>
                <w:sz w:val="18"/>
              </w:rPr>
              <w:t>Prompt Log</w:t>
            </w:r>
          </w:p>
        </w:tc>
        <w:tc>
          <w:tcPr>
            <w:tcW w:type="dxa" w:w="4309"/>
          </w:tcPr>
          <w:p>
            <w:pPr>
              <w:spacing w:after="20"/>
            </w:pPr>
            <w:r/>
            <w:r>
              <w:rPr>
                <w:rFonts w:ascii="宋体" w:hAnsi="宋体" w:eastAsia="宋体"/>
                <w:sz w:val="18"/>
              </w:rPr>
              <w:t>记录与 AI 交互的过程，用于说明 AI 使用的真实情况</w:t>
            </w:r>
          </w:p>
        </w:tc>
      </w:tr>
    </w:tbl>
    <w:p/>
    <w:p>
      <w:pPr>
        <w:spacing w:before="160" w:after="80"/>
      </w:pPr>
      <w:r>
        <w:rPr>
          <w:rFonts w:ascii="微软雅黑" w:hAnsi="微软雅黑" w:eastAsia="微软雅黑"/>
          <w:b/>
          <w:color w:val="1E2630"/>
          <w:sz w:val="25"/>
        </w:rPr>
        <w:t>附录 C　建议的推进节奏</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val="clear" w:fill="F2E9EA"/>
          </w:tcPr>
          <w:p>
            <w:r/>
            <w:r>
              <w:rPr>
                <w:rFonts w:ascii="微软雅黑" w:hAnsi="微软雅黑" w:eastAsia="微软雅黑"/>
                <w:b/>
                <w:sz w:val="18"/>
              </w:rPr>
              <w:t>阶段</w:t>
            </w:r>
          </w:p>
        </w:tc>
        <w:tc>
          <w:tcPr>
            <w:tcW w:type="dxa" w:w="2268"/>
            <w:shd w:val="clear" w:fill="F2E9EA"/>
          </w:tcPr>
          <w:p>
            <w:r/>
            <w:r>
              <w:rPr>
                <w:rFonts w:ascii="微软雅黑" w:hAnsi="微软雅黑" w:eastAsia="微软雅黑"/>
                <w:b/>
                <w:sz w:val="18"/>
              </w:rPr>
              <w:t>时间</w:t>
            </w:r>
          </w:p>
        </w:tc>
        <w:tc>
          <w:tcPr>
            <w:tcW w:type="dxa" w:w="4876"/>
            <w:shd w:val="clear" w:fill="F2E9EA"/>
          </w:tcPr>
          <w:p>
            <w:r/>
            <w:r>
              <w:rPr>
                <w:rFonts w:ascii="微软雅黑" w:hAnsi="微软雅黑" w:eastAsia="微软雅黑"/>
                <w:b/>
                <w:sz w:val="18"/>
              </w:rPr>
              <w:t>关键动作</w:t>
            </w:r>
          </w:p>
        </w:tc>
      </w:tr>
      <w:tr>
        <w:tc>
          <w:tcPr>
            <w:tcW w:type="dxa" w:w="1474"/>
          </w:tcPr>
          <w:p>
            <w:pPr>
              <w:spacing w:after="20"/>
            </w:pPr>
            <w:r/>
            <w:r>
              <w:rPr>
                <w:rFonts w:ascii="宋体" w:hAnsi="宋体" w:eastAsia="宋体"/>
                <w:sz w:val="18"/>
              </w:rPr>
              <w:t>选题与组队</w:t>
            </w:r>
          </w:p>
        </w:tc>
        <w:tc>
          <w:tcPr>
            <w:tcW w:type="dxa" w:w="2268"/>
          </w:tcPr>
          <w:p>
            <w:pPr>
              <w:spacing w:after="20"/>
            </w:pPr>
            <w:r/>
            <w:r>
              <w:rPr>
                <w:rFonts w:ascii="宋体" w:hAnsi="宋体" w:eastAsia="宋体"/>
                <w:sz w:val="18"/>
              </w:rPr>
              <w:t>第 11 周前</w:t>
            </w:r>
          </w:p>
        </w:tc>
        <w:tc>
          <w:tcPr>
            <w:tcW w:type="dxa" w:w="4876"/>
          </w:tcPr>
          <w:p>
            <w:pPr>
              <w:spacing w:after="20"/>
            </w:pPr>
            <w:r/>
            <w:r>
              <w:rPr>
                <w:rFonts w:ascii="宋体" w:hAnsi="宋体" w:eastAsia="宋体"/>
                <w:sz w:val="18"/>
              </w:rPr>
              <w:t>确定队名、选题、题目并向任课教师申报</w:t>
            </w:r>
          </w:p>
        </w:tc>
      </w:tr>
      <w:tr>
        <w:tc>
          <w:tcPr>
            <w:tcW w:type="dxa" w:w="1474"/>
          </w:tcPr>
          <w:p>
            <w:pPr>
              <w:spacing w:after="20"/>
            </w:pPr>
            <w:r/>
            <w:r>
              <w:rPr>
                <w:rFonts w:ascii="宋体" w:hAnsi="宋体" w:eastAsia="宋体"/>
                <w:sz w:val="18"/>
              </w:rPr>
              <w:t>问题界定</w:t>
            </w:r>
          </w:p>
        </w:tc>
        <w:tc>
          <w:tcPr>
            <w:tcW w:type="dxa" w:w="2268"/>
          </w:tcPr>
          <w:p>
            <w:pPr>
              <w:spacing w:after="20"/>
            </w:pPr>
            <w:r/>
            <w:r>
              <w:rPr>
                <w:rFonts w:ascii="宋体" w:hAnsi="宋体" w:eastAsia="宋体"/>
                <w:sz w:val="18"/>
              </w:rPr>
              <w:t>第 11–12 周</w:t>
            </w:r>
          </w:p>
        </w:tc>
        <w:tc>
          <w:tcPr>
            <w:tcW w:type="dxa" w:w="4876"/>
          </w:tcPr>
          <w:p>
            <w:pPr>
              <w:spacing w:after="20"/>
            </w:pPr>
            <w:r/>
            <w:r>
              <w:rPr>
                <w:rFonts w:ascii="宋体" w:hAnsi="宋体" w:eastAsia="宋体"/>
                <w:sz w:val="18"/>
              </w:rPr>
              <w:t>明确业务对象、目标市场与可衡量的指标</w:t>
            </w:r>
          </w:p>
        </w:tc>
      </w:tr>
      <w:tr>
        <w:tc>
          <w:tcPr>
            <w:tcW w:type="dxa" w:w="1474"/>
          </w:tcPr>
          <w:p>
            <w:pPr>
              <w:spacing w:after="20"/>
            </w:pPr>
            <w:r/>
            <w:r>
              <w:rPr>
                <w:rFonts w:ascii="宋体" w:hAnsi="宋体" w:eastAsia="宋体"/>
                <w:sz w:val="18"/>
              </w:rPr>
              <w:t>数据获取</w:t>
            </w:r>
          </w:p>
        </w:tc>
        <w:tc>
          <w:tcPr>
            <w:tcW w:type="dxa" w:w="2268"/>
          </w:tcPr>
          <w:p>
            <w:pPr>
              <w:spacing w:after="20"/>
            </w:pPr>
            <w:r/>
            <w:r>
              <w:rPr>
                <w:rFonts w:ascii="宋体" w:hAnsi="宋体" w:eastAsia="宋体"/>
                <w:sz w:val="18"/>
              </w:rPr>
              <w:t>第 12–13 周</w:t>
            </w:r>
          </w:p>
        </w:tc>
        <w:tc>
          <w:tcPr>
            <w:tcW w:type="dxa" w:w="4876"/>
          </w:tcPr>
          <w:p>
            <w:pPr>
              <w:spacing w:after="20"/>
            </w:pPr>
            <w:r/>
            <w:r>
              <w:rPr>
                <w:rFonts w:ascii="宋体" w:hAnsi="宋体" w:eastAsia="宋体"/>
                <w:sz w:val="18"/>
              </w:rPr>
              <w:t>落实合规数据源，完成一次完整的数据管道</w:t>
            </w:r>
          </w:p>
        </w:tc>
      </w:tr>
      <w:tr>
        <w:tc>
          <w:tcPr>
            <w:tcW w:type="dxa" w:w="1474"/>
          </w:tcPr>
          <w:p>
            <w:pPr>
              <w:spacing w:after="20"/>
            </w:pPr>
            <w:r/>
            <w:r>
              <w:rPr>
                <w:rFonts w:ascii="宋体" w:hAnsi="宋体" w:eastAsia="宋体"/>
                <w:sz w:val="18"/>
              </w:rPr>
              <w:t>分析与方案</w:t>
            </w:r>
          </w:p>
        </w:tc>
        <w:tc>
          <w:tcPr>
            <w:tcW w:type="dxa" w:w="2268"/>
          </w:tcPr>
          <w:p>
            <w:pPr>
              <w:spacing w:after="20"/>
            </w:pPr>
            <w:r/>
            <w:r>
              <w:rPr>
                <w:rFonts w:ascii="宋体" w:hAnsi="宋体" w:eastAsia="宋体"/>
                <w:sz w:val="18"/>
              </w:rPr>
              <w:t>第 13–14 周</w:t>
            </w:r>
          </w:p>
        </w:tc>
        <w:tc>
          <w:tcPr>
            <w:tcW w:type="dxa" w:w="4876"/>
          </w:tcPr>
          <w:p>
            <w:pPr>
              <w:spacing w:after="20"/>
            </w:pPr>
            <w:r/>
            <w:r>
              <w:rPr>
                <w:rFonts w:ascii="宋体" w:hAnsi="宋体" w:eastAsia="宋体"/>
                <w:sz w:val="18"/>
              </w:rPr>
              <w:t>完成核心分析与方案设计，形成初稿</w:t>
            </w:r>
          </w:p>
        </w:tc>
      </w:tr>
      <w:tr>
        <w:tc>
          <w:tcPr>
            <w:tcW w:type="dxa" w:w="1474"/>
          </w:tcPr>
          <w:p>
            <w:pPr>
              <w:spacing w:after="20"/>
            </w:pPr>
            <w:r/>
            <w:r>
              <w:rPr>
                <w:rFonts w:ascii="宋体" w:hAnsi="宋体" w:eastAsia="宋体"/>
                <w:sz w:val="18"/>
              </w:rPr>
              <w:t>验证与迭代</w:t>
            </w:r>
          </w:p>
        </w:tc>
        <w:tc>
          <w:tcPr>
            <w:tcW w:type="dxa" w:w="2268"/>
          </w:tcPr>
          <w:p>
            <w:pPr>
              <w:spacing w:after="20"/>
            </w:pPr>
            <w:r/>
            <w:r>
              <w:rPr>
                <w:rFonts w:ascii="宋体" w:hAnsi="宋体" w:eastAsia="宋体"/>
                <w:sz w:val="18"/>
              </w:rPr>
              <w:t>第 14–15 周</w:t>
            </w:r>
          </w:p>
        </w:tc>
        <w:tc>
          <w:tcPr>
            <w:tcW w:type="dxa" w:w="4876"/>
          </w:tcPr>
          <w:p>
            <w:pPr>
              <w:spacing w:after="20"/>
            </w:pPr>
            <w:r/>
            <w:r>
              <w:rPr>
                <w:rFonts w:ascii="宋体" w:hAnsi="宋体" w:eastAsia="宋体"/>
                <w:sz w:val="18"/>
              </w:rPr>
              <w:t>设计验证方法，根据结果迭代方案</w:t>
            </w:r>
          </w:p>
        </w:tc>
      </w:tr>
      <w:tr>
        <w:tc>
          <w:tcPr>
            <w:tcW w:type="dxa" w:w="1474"/>
          </w:tcPr>
          <w:p>
            <w:pPr>
              <w:spacing w:after="20"/>
            </w:pPr>
            <w:r/>
            <w:r>
              <w:rPr>
                <w:rFonts w:ascii="宋体" w:hAnsi="宋体" w:eastAsia="宋体"/>
                <w:sz w:val="18"/>
              </w:rPr>
              <w:t>答辩与交付</w:t>
            </w:r>
          </w:p>
        </w:tc>
        <w:tc>
          <w:tcPr>
            <w:tcW w:type="dxa" w:w="2268"/>
          </w:tcPr>
          <w:p>
            <w:pPr>
              <w:spacing w:after="20"/>
            </w:pPr>
            <w:r/>
            <w:r>
              <w:rPr>
                <w:rFonts w:ascii="宋体" w:hAnsi="宋体" w:eastAsia="宋体"/>
                <w:sz w:val="18"/>
              </w:rPr>
              <w:t>第 11 周起按序答辩；课程结束前交付</w:t>
            </w:r>
          </w:p>
        </w:tc>
        <w:tc>
          <w:tcPr>
            <w:tcW w:type="dxa" w:w="4876"/>
          </w:tcPr>
          <w:p>
            <w:pPr>
              <w:spacing w:after="20"/>
            </w:pPr>
            <w:r/>
            <w:r>
              <w:rPr>
                <w:rFonts w:ascii="宋体" w:hAnsi="宋体" w:eastAsia="宋体"/>
                <w:sz w:val="18"/>
              </w:rPr>
              <w:t>准备 5 分钟陈述；提交报告与电子材料</w:t>
            </w:r>
          </w:p>
        </w:tc>
      </w:tr>
    </w:tbl>
    <w:p/>
    <w:p>
      <w:pPr>
        <w:ind w:left="227"/>
      </w:pPr>
      <w:r>
        <w:rPr>
          <w:rFonts w:ascii="宋体" w:hAnsi="宋体" w:eastAsia="宋体"/>
          <w:i/>
          <w:color w:val="5A6672"/>
          <w:sz w:val="19"/>
        </w:rPr>
        <w:t>说明：以上节奏为建议安排，各组可根据选题复杂度自行调整，但选题申报时间与交付截止时间为硬性要求。</w:t>
      </w:r>
    </w:p>
    <w:p/>
    <w:p>
      <w:r>
        <w:rPr>
          <w:rFonts w:ascii="宋体" w:hAnsi="宋体" w:eastAsia="宋体"/>
          <w:b/>
          <w:i w:val="0"/>
        </w:rPr>
        <w:t>深圳大学《智能贸易》课程组</w:t>
      </w:r>
    </w:p>
    <w:p>
      <w:r>
        <w:rPr>
          <w:rFonts w:ascii="宋体" w:hAnsi="宋体" w:eastAsia="宋体"/>
          <w:b w:val="0"/>
          <w:i w:val="0"/>
          <w:color w:val="5A6672"/>
          <w:sz w:val="19"/>
        </w:rPr>
        <w:t>如对项目要求有疑问，请在课堂上提出，或通过课程邮箱与任课教师联系。</w:t>
      </w:r>
    </w:p>
    <w:sectPr w:rsidR="00FC693F" w:rsidRPr="0006063C" w:rsidSect="00034616">
      <w:pgSz w:w="12240" w:h="15840"/>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