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9E887" w14:textId="7DDB2288" w:rsidR="00A97B9A" w:rsidRDefault="00000000">
      <w:r>
        <w:t>Elizabeth Lord</w:t>
      </w:r>
    </w:p>
    <w:p w14:paraId="2E4A534B" w14:textId="77777777" w:rsidR="00A97B9A" w:rsidRDefault="00000000">
      <w:r>
        <w:t>109 Asteria Street</w:t>
      </w:r>
    </w:p>
    <w:p w14:paraId="746A2C53" w14:textId="77777777" w:rsidR="00A97B9A" w:rsidRDefault="00000000">
      <w:r>
        <w:t>Greenville, SC 29617</w:t>
      </w:r>
    </w:p>
    <w:p w14:paraId="28336251" w14:textId="77777777" w:rsidR="00A97B9A" w:rsidRDefault="00000000">
      <w:pPr>
        <w:spacing w:after="240"/>
      </w:pPr>
      <w:r>
        <w:t>Phone: (512) 808-7984</w:t>
      </w:r>
    </w:p>
    <w:p w14:paraId="564F8222" w14:textId="4D555257" w:rsidR="00A97B9A" w:rsidRDefault="00000000">
      <w:pPr>
        <w:spacing w:after="240"/>
      </w:pPr>
      <w:r>
        <w:t>March 1</w:t>
      </w:r>
      <w:r w:rsidR="00674DE5">
        <w:t>7</w:t>
      </w:r>
      <w:r>
        <w:t>, 2026</w:t>
      </w:r>
    </w:p>
    <w:p w14:paraId="434041D8" w14:textId="77777777" w:rsidR="00A97B9A" w:rsidRDefault="00000000">
      <w:pPr>
        <w:spacing w:after="240"/>
      </w:pPr>
      <w:r>
        <w:rPr>
          <w:b/>
          <w:bCs/>
        </w:rPr>
        <w:t>VIA EEOC RESPONDENT PORTAL</w:t>
      </w:r>
    </w:p>
    <w:p w14:paraId="132AE01A" w14:textId="77777777" w:rsidR="00A97B9A" w:rsidRDefault="00000000">
      <w:r>
        <w:t>Jacquie Jones-Mounts</w:t>
      </w:r>
    </w:p>
    <w:p w14:paraId="6EE3F6BF" w14:textId="77777777" w:rsidR="00A97B9A" w:rsidRDefault="00000000">
      <w:r>
        <w:t>Acting Local Director</w:t>
      </w:r>
    </w:p>
    <w:p w14:paraId="3A7DEB28" w14:textId="77777777" w:rsidR="00A97B9A" w:rsidRDefault="00000000">
      <w:r>
        <w:t>Greenville Local Office</w:t>
      </w:r>
    </w:p>
    <w:p w14:paraId="0BB33B6B" w14:textId="77777777" w:rsidR="00A97B9A" w:rsidRDefault="00000000">
      <w:pPr>
        <w:spacing w:after="240"/>
      </w:pPr>
      <w:r>
        <w:t>United States Equal Employment Opportunity Commission</w:t>
      </w:r>
    </w:p>
    <w:p w14:paraId="75FB4232" w14:textId="77777777" w:rsidR="00A97B9A" w:rsidRDefault="00000000">
      <w:r>
        <w:rPr>
          <w:b/>
          <w:bCs/>
        </w:rPr>
        <w:t>Re: Charging Party’s Rebuttal to Respondent’s Position Statement</w:t>
      </w:r>
    </w:p>
    <w:p w14:paraId="43277F8F" w14:textId="77777777" w:rsidR="00A97B9A" w:rsidRDefault="00000000">
      <w:r>
        <w:rPr>
          <w:i/>
          <w:iCs/>
        </w:rPr>
        <w:t>Complainant: Elizabeth Lord</w:t>
      </w:r>
    </w:p>
    <w:p w14:paraId="5D55737A" w14:textId="77777777" w:rsidR="00A97B9A" w:rsidRDefault="00000000">
      <w:r>
        <w:rPr>
          <w:i/>
          <w:iCs/>
        </w:rPr>
        <w:t>Respondent: Contender Development, Inc. d/b/a Contender America</w:t>
      </w:r>
    </w:p>
    <w:p w14:paraId="0C8A80C4" w14:textId="5CB6042E" w:rsidR="00422500" w:rsidRDefault="00000000">
      <w:pPr>
        <w:spacing w:after="240"/>
        <w:rPr>
          <w:i/>
          <w:iCs/>
        </w:rPr>
      </w:pPr>
      <w:r>
        <w:rPr>
          <w:i/>
          <w:iCs/>
        </w:rPr>
        <w:t>EEOC Charge No.: 436-2026-00670</w:t>
      </w:r>
    </w:p>
    <w:p w14:paraId="7265A1FB" w14:textId="6E798CC7" w:rsidR="00674DE5" w:rsidRDefault="00674DE5" w:rsidP="00674DE5">
      <w:pPr>
        <w:rPr>
          <w:i/>
          <w:iCs/>
        </w:rPr>
      </w:pPr>
      <w:proofErr w:type="spellStart"/>
      <w:r>
        <w:rPr>
          <w:i/>
          <w:iCs/>
        </w:rPr>
        <w:t>Compainant</w:t>
      </w:r>
      <w:proofErr w:type="spellEnd"/>
      <w:r>
        <w:rPr>
          <w:i/>
          <w:iCs/>
        </w:rPr>
        <w:t>: Elizabeth Lord</w:t>
      </w:r>
    </w:p>
    <w:p w14:paraId="43180AB6" w14:textId="2ADE61E0" w:rsidR="00674DE5" w:rsidRDefault="00674DE5" w:rsidP="00674DE5">
      <w:pPr>
        <w:rPr>
          <w:i/>
          <w:iCs/>
        </w:rPr>
      </w:pPr>
      <w:r>
        <w:rPr>
          <w:i/>
          <w:iCs/>
        </w:rPr>
        <w:t xml:space="preserve">Respondent: </w:t>
      </w:r>
      <w:proofErr w:type="spellStart"/>
      <w:r>
        <w:rPr>
          <w:i/>
          <w:iCs/>
        </w:rPr>
        <w:t>Blackstream</w:t>
      </w:r>
      <w:proofErr w:type="spellEnd"/>
      <w:r>
        <w:rPr>
          <w:i/>
          <w:iCs/>
        </w:rPr>
        <w:t xml:space="preserve"> International</w:t>
      </w:r>
    </w:p>
    <w:p w14:paraId="0FA44A5A" w14:textId="74BDBB84" w:rsidR="00674DE5" w:rsidRPr="00A8432B" w:rsidRDefault="00674DE5">
      <w:pPr>
        <w:spacing w:after="240"/>
        <w:rPr>
          <w:i/>
          <w:iCs/>
        </w:rPr>
      </w:pPr>
      <w:r>
        <w:rPr>
          <w:i/>
          <w:iCs/>
        </w:rPr>
        <w:t>EEOC Charge No.: 436-2026-00698</w:t>
      </w:r>
    </w:p>
    <w:p w14:paraId="445A82CB" w14:textId="77777777" w:rsidR="00A97B9A" w:rsidRDefault="00000000">
      <w:pPr>
        <w:spacing w:after="200"/>
      </w:pPr>
      <w:r>
        <w:t>Dear Ms. Jones-Mounts:</w:t>
      </w:r>
    </w:p>
    <w:p w14:paraId="5F587911" w14:textId="77777777" w:rsidR="00A97B9A" w:rsidRDefault="00000000">
      <w:pPr>
        <w:spacing w:after="160" w:line="276" w:lineRule="auto"/>
        <w:jc w:val="both"/>
      </w:pPr>
      <w:r>
        <w:t>Charging Party Elizabeth Lord respectfully submits this rebuttal to the Position Statement filed by Respondent Contender Development, Inc. d/b/a Contender America (“Contender” or “Company”) through its counsel, Fisher &amp; Phillips LLP, on February 16, 2026. As set forth below, Respondent’s response is characterized by selective framing, factual omission, and legal overstatement. When the record is considered in its totality—as the ADEA requires—the evidence establishes a prima facie case of age discrimination, hostile work environment, and retaliation.</w:t>
      </w:r>
    </w:p>
    <w:p w14:paraId="701EC9B8" w14:textId="7B14F7A4" w:rsidR="00422500" w:rsidRPr="00590705" w:rsidRDefault="00422500" w:rsidP="00422500">
      <w:pPr>
        <w:pStyle w:val="ListParagraph"/>
        <w:numPr>
          <w:ilvl w:val="0"/>
          <w:numId w:val="4"/>
        </w:numPr>
        <w:rPr>
          <w:b/>
          <w:bCs/>
          <w:color w:val="4C94D8" w:themeColor="text2" w:themeTint="80"/>
        </w:rPr>
      </w:pPr>
      <w:r w:rsidRPr="00590705">
        <w:rPr>
          <w:b/>
          <w:bCs/>
          <w:color w:val="4C94D8" w:themeColor="text2" w:themeTint="80"/>
        </w:rPr>
        <w:t>Lord’s Employment with the Company</w:t>
      </w:r>
    </w:p>
    <w:p w14:paraId="4979A6C8" w14:textId="2B192EB4" w:rsidR="00422500" w:rsidRPr="00422500" w:rsidRDefault="00422500" w:rsidP="00422500">
      <w:pPr>
        <w:pStyle w:val="ListParagraph"/>
        <w:numPr>
          <w:ilvl w:val="0"/>
          <w:numId w:val="8"/>
        </w:numPr>
        <w:rPr>
          <w:b/>
          <w:bCs/>
          <w:color w:val="4C94D8" w:themeColor="text2" w:themeTint="80"/>
        </w:rPr>
      </w:pPr>
      <w:r w:rsidRPr="00422500">
        <w:rPr>
          <w:b/>
          <w:bCs/>
          <w:color w:val="4C94D8" w:themeColor="text2" w:themeTint="80"/>
        </w:rPr>
        <w:t>“Friction” with Cape Is Mischaracterized</w:t>
      </w:r>
    </w:p>
    <w:p w14:paraId="5B00164E" w14:textId="5C00A711" w:rsidR="00422500" w:rsidRPr="00422500" w:rsidRDefault="00422500" w:rsidP="00422500">
      <w:pPr>
        <w:ind w:left="1080"/>
        <w:rPr>
          <w:color w:val="4C94D8" w:themeColor="text2" w:themeTint="80"/>
        </w:rPr>
      </w:pPr>
      <w:r w:rsidRPr="00422500">
        <w:rPr>
          <w:color w:val="4C94D8" w:themeColor="text2" w:themeTint="80"/>
        </w:rPr>
        <w:t xml:space="preserve">The Position Statement claims that </w:t>
      </w:r>
      <w:r w:rsidR="00A8432B">
        <w:rPr>
          <w:color w:val="4C94D8" w:themeColor="text2" w:themeTint="80"/>
        </w:rPr>
        <w:t>Lord’s</w:t>
      </w:r>
      <w:r w:rsidRPr="00422500">
        <w:rPr>
          <w:color w:val="4C94D8" w:themeColor="text2" w:themeTint="80"/>
        </w:rPr>
        <w:t xml:space="preserve"> relationship with co</w:t>
      </w:r>
      <w:r w:rsidRPr="00422500">
        <w:rPr>
          <w:color w:val="4C94D8" w:themeColor="text2" w:themeTint="80"/>
        </w:rPr>
        <w:noBreakHyphen/>
        <w:t xml:space="preserve">worker Hayley Cape “deteriorated” because </w:t>
      </w:r>
      <w:r w:rsidR="00A8432B">
        <w:rPr>
          <w:color w:val="4C94D8" w:themeColor="text2" w:themeTint="80"/>
        </w:rPr>
        <w:t xml:space="preserve">she </w:t>
      </w:r>
      <w:r w:rsidRPr="00422500">
        <w:rPr>
          <w:color w:val="4C94D8" w:themeColor="text2" w:themeTint="80"/>
        </w:rPr>
        <w:t>“viewed Cape as a subordinate” and “began demanding” updates, causing friction. This omits key context:​</w:t>
      </w:r>
    </w:p>
    <w:p w14:paraId="2A6F8533" w14:textId="59BE4A02" w:rsidR="00422500" w:rsidRPr="00A8432B" w:rsidRDefault="00A8432B" w:rsidP="00A8432B">
      <w:pPr>
        <w:ind w:left="1080"/>
        <w:rPr>
          <w:b/>
          <w:bCs/>
          <w:color w:val="4C94D8" w:themeColor="text2" w:themeTint="80"/>
        </w:rPr>
      </w:pPr>
      <w:r w:rsidRPr="00A8432B">
        <w:rPr>
          <w:color w:val="4C94D8" w:themeColor="text2" w:themeTint="80"/>
        </w:rPr>
        <w:t>Although</w:t>
      </w:r>
      <w:r w:rsidR="00422500" w:rsidRPr="00A8432B">
        <w:rPr>
          <w:color w:val="4C94D8" w:themeColor="text2" w:themeTint="80"/>
        </w:rPr>
        <w:t xml:space="preserve"> Ms. Cape and </w:t>
      </w:r>
      <w:r w:rsidRPr="00A8432B">
        <w:rPr>
          <w:color w:val="4C94D8" w:themeColor="text2" w:themeTint="80"/>
        </w:rPr>
        <w:t>Lord</w:t>
      </w:r>
      <w:r w:rsidR="00422500" w:rsidRPr="00A8432B">
        <w:rPr>
          <w:color w:val="4C94D8" w:themeColor="text2" w:themeTint="80"/>
        </w:rPr>
        <w:t xml:space="preserve"> </w:t>
      </w:r>
      <w:r w:rsidRPr="00A8432B">
        <w:rPr>
          <w:color w:val="4C94D8" w:themeColor="text2" w:themeTint="80"/>
        </w:rPr>
        <w:t xml:space="preserve">both </w:t>
      </w:r>
      <w:r w:rsidR="00422500" w:rsidRPr="00A8432B">
        <w:rPr>
          <w:color w:val="4C94D8" w:themeColor="text2" w:themeTint="80"/>
        </w:rPr>
        <w:t xml:space="preserve">performed </w:t>
      </w:r>
      <w:r w:rsidRPr="00A8432B">
        <w:rPr>
          <w:color w:val="4C94D8" w:themeColor="text2" w:themeTint="80"/>
        </w:rPr>
        <w:t xml:space="preserve">various </w:t>
      </w:r>
      <w:r w:rsidR="00422500" w:rsidRPr="00A8432B">
        <w:rPr>
          <w:color w:val="4C94D8" w:themeColor="text2" w:themeTint="80"/>
        </w:rPr>
        <w:t xml:space="preserve">marketing functions, </w:t>
      </w:r>
      <w:r w:rsidRPr="00A8432B">
        <w:rPr>
          <w:color w:val="4C94D8" w:themeColor="text2" w:themeTint="80"/>
        </w:rPr>
        <w:t>Lord</w:t>
      </w:r>
      <w:r w:rsidR="00422500" w:rsidRPr="00A8432B">
        <w:rPr>
          <w:color w:val="4C94D8" w:themeColor="text2" w:themeTint="80"/>
        </w:rPr>
        <w:t xml:space="preserve"> had been hired in 2022 as Marketing Director and had long performed full</w:t>
      </w:r>
      <w:r w:rsidR="00422500" w:rsidRPr="00A8432B">
        <w:rPr>
          <w:color w:val="4C94D8" w:themeColor="text2" w:themeTint="80"/>
        </w:rPr>
        <w:noBreakHyphen/>
        <w:t xml:space="preserve">scope marketing and branding for both </w:t>
      </w:r>
      <w:proofErr w:type="spellStart"/>
      <w:r w:rsidR="00422500" w:rsidRPr="00A8432B">
        <w:rPr>
          <w:color w:val="4C94D8" w:themeColor="text2" w:themeTint="80"/>
        </w:rPr>
        <w:t>Blackstream</w:t>
      </w:r>
      <w:proofErr w:type="spellEnd"/>
      <w:r w:rsidR="00422500" w:rsidRPr="00A8432B">
        <w:rPr>
          <w:color w:val="4C94D8" w:themeColor="text2" w:themeTint="80"/>
        </w:rPr>
        <w:t xml:space="preserve"> and Contender</w:t>
      </w:r>
      <w:r>
        <w:rPr>
          <w:color w:val="4C94D8" w:themeColor="text2" w:themeTint="80"/>
        </w:rPr>
        <w:t xml:space="preserve"> until Cape was later </w:t>
      </w:r>
      <w:proofErr w:type="gramStart"/>
      <w:r>
        <w:rPr>
          <w:color w:val="4C94D8" w:themeColor="text2" w:themeTint="80"/>
        </w:rPr>
        <w:t>hired</w:t>
      </w:r>
      <w:r w:rsidRPr="00A8432B">
        <w:rPr>
          <w:color w:val="4C94D8" w:themeColor="text2" w:themeTint="80"/>
        </w:rPr>
        <w:t xml:space="preserve">  </w:t>
      </w:r>
      <w:r>
        <w:rPr>
          <w:color w:val="4C94D8" w:themeColor="text2" w:themeTint="80"/>
        </w:rPr>
        <w:t>as</w:t>
      </w:r>
      <w:proofErr w:type="gramEnd"/>
      <w:r>
        <w:rPr>
          <w:color w:val="4C94D8" w:themeColor="text2" w:themeTint="80"/>
        </w:rPr>
        <w:t xml:space="preserve"> </w:t>
      </w:r>
      <w:r w:rsidRPr="00A8432B">
        <w:rPr>
          <w:color w:val="4C94D8" w:themeColor="text2" w:themeTint="80"/>
        </w:rPr>
        <w:t>Services and Operations Manager</w:t>
      </w:r>
      <w:r>
        <w:rPr>
          <w:color w:val="4C94D8" w:themeColor="text2" w:themeTint="80"/>
        </w:rPr>
        <w:t>. It was only then that</w:t>
      </w:r>
      <w:r w:rsidRPr="00A8432B">
        <w:rPr>
          <w:color w:val="4C94D8" w:themeColor="text2" w:themeTint="80"/>
        </w:rPr>
        <w:t xml:space="preserve"> she began helping with graphic design.</w:t>
      </w:r>
      <w:r>
        <w:rPr>
          <w:b/>
          <w:bCs/>
          <w:color w:val="4C94D8" w:themeColor="text2" w:themeTint="80"/>
        </w:rPr>
        <w:t xml:space="preserve"> </w:t>
      </w:r>
      <w:r w:rsidR="00422500" w:rsidRPr="00422500">
        <w:rPr>
          <w:color w:val="4C94D8" w:themeColor="text2" w:themeTint="80"/>
        </w:rPr>
        <w:t xml:space="preserve">An organizational chart circulated by Michael Mumma at one point showed Ms. Cape as </w:t>
      </w:r>
      <w:r>
        <w:rPr>
          <w:color w:val="4C94D8" w:themeColor="text2" w:themeTint="80"/>
        </w:rPr>
        <w:t>Lord’s</w:t>
      </w:r>
      <w:r w:rsidR="00422500" w:rsidRPr="00422500">
        <w:rPr>
          <w:color w:val="4C94D8" w:themeColor="text2" w:themeTint="80"/>
        </w:rPr>
        <w:t xml:space="preserve"> direct report, and later HR correspondence indicated that both Ms. Cape and Mr. Alex Weldon were to report to </w:t>
      </w:r>
      <w:r>
        <w:rPr>
          <w:color w:val="4C94D8" w:themeColor="text2" w:themeTint="80"/>
        </w:rPr>
        <w:t>Lord</w:t>
      </w:r>
      <w:r w:rsidR="00422500" w:rsidRPr="00422500">
        <w:rPr>
          <w:color w:val="4C94D8" w:themeColor="text2" w:themeTint="80"/>
        </w:rPr>
        <w:t xml:space="preserve">, causing documented confusion over reporting lines.​ When </w:t>
      </w:r>
      <w:r>
        <w:rPr>
          <w:color w:val="4C94D8" w:themeColor="text2" w:themeTint="80"/>
        </w:rPr>
        <w:t>Lord</w:t>
      </w:r>
      <w:r w:rsidR="00422500" w:rsidRPr="00422500">
        <w:rPr>
          <w:color w:val="4C94D8" w:themeColor="text2" w:themeTint="80"/>
        </w:rPr>
        <w:t xml:space="preserve"> requested that Ms. Cape keep </w:t>
      </w:r>
      <w:r>
        <w:rPr>
          <w:color w:val="4C94D8" w:themeColor="text2" w:themeTint="80"/>
        </w:rPr>
        <w:t>her</w:t>
      </w:r>
      <w:r w:rsidR="00422500" w:rsidRPr="00422500">
        <w:rPr>
          <w:color w:val="4C94D8" w:themeColor="text2" w:themeTint="80"/>
        </w:rPr>
        <w:t xml:space="preserve"> informed or complete assigned work, </w:t>
      </w:r>
      <w:r>
        <w:rPr>
          <w:color w:val="4C94D8" w:themeColor="text2" w:themeTint="80"/>
        </w:rPr>
        <w:t>Lord</w:t>
      </w:r>
      <w:r w:rsidR="00422500" w:rsidRPr="00422500">
        <w:rPr>
          <w:color w:val="4C94D8" w:themeColor="text2" w:themeTint="80"/>
        </w:rPr>
        <w:t xml:space="preserve"> was exercising appropriate oversight, not unreasonably “demanding” information.​ The Company’s framing of these issues </w:t>
      </w:r>
      <w:r w:rsidR="00422500" w:rsidRPr="00422500">
        <w:rPr>
          <w:color w:val="4C94D8" w:themeColor="text2" w:themeTint="80"/>
        </w:rPr>
        <w:lastRenderedPageBreak/>
        <w:t xml:space="preserve">as merely interpersonal “friction” obscures the underlying dynamic: </w:t>
      </w:r>
      <w:r>
        <w:rPr>
          <w:color w:val="4C94D8" w:themeColor="text2" w:themeTint="80"/>
        </w:rPr>
        <w:t>Lord’s</w:t>
      </w:r>
      <w:r w:rsidR="00422500" w:rsidRPr="00422500">
        <w:rPr>
          <w:color w:val="4C94D8" w:themeColor="text2" w:themeTint="80"/>
        </w:rPr>
        <w:t xml:space="preserve"> authority was being undermined and shifted to a substantially younger employee with special access to senior leadership.</w:t>
      </w:r>
      <w:r>
        <w:rPr>
          <w:color w:val="4C94D8" w:themeColor="text2" w:themeTint="80"/>
        </w:rPr>
        <w:t xml:space="preserve"> </w:t>
      </w:r>
      <w:r>
        <w:rPr>
          <w:b/>
          <w:bCs/>
          <w:color w:val="4C94D8" w:themeColor="text2" w:themeTint="80"/>
        </w:rPr>
        <w:t xml:space="preserve">(Not only access, </w:t>
      </w:r>
      <w:proofErr w:type="gramStart"/>
      <w:r>
        <w:rPr>
          <w:b/>
          <w:bCs/>
          <w:color w:val="4C94D8" w:themeColor="text2" w:themeTint="80"/>
        </w:rPr>
        <w:t>Lord was</w:t>
      </w:r>
      <w:proofErr w:type="gramEnd"/>
      <w:r>
        <w:rPr>
          <w:b/>
          <w:bCs/>
          <w:color w:val="4C94D8" w:themeColor="text2" w:themeTint="80"/>
        </w:rPr>
        <w:t xml:space="preserve"> not told anything about a major corporate rebranding that Mumma planned with Cape prior to the lawsuit.)</w:t>
      </w:r>
    </w:p>
    <w:p w14:paraId="1355C34E" w14:textId="514A65CC" w:rsidR="00422500" w:rsidRPr="00422500" w:rsidRDefault="00422500" w:rsidP="00422500">
      <w:pPr>
        <w:pStyle w:val="ListParagraph"/>
        <w:numPr>
          <w:ilvl w:val="0"/>
          <w:numId w:val="8"/>
        </w:numPr>
        <w:rPr>
          <w:b/>
          <w:bCs/>
          <w:color w:val="4C94D8" w:themeColor="text2" w:themeTint="80"/>
        </w:rPr>
      </w:pPr>
      <w:r w:rsidRPr="00422500">
        <w:rPr>
          <w:b/>
          <w:bCs/>
          <w:color w:val="4C94D8" w:themeColor="text2" w:themeTint="80"/>
        </w:rPr>
        <w:t>“Increased Demand for Graphic Design” Versus My Loss of Duties</w:t>
      </w:r>
    </w:p>
    <w:p w14:paraId="5C324FA4" w14:textId="77777777" w:rsidR="00422500" w:rsidRPr="00422500" w:rsidRDefault="00422500" w:rsidP="00422500">
      <w:pPr>
        <w:ind w:left="1080"/>
        <w:rPr>
          <w:color w:val="4C94D8" w:themeColor="text2" w:themeTint="80"/>
        </w:rPr>
      </w:pPr>
      <w:r w:rsidRPr="00422500">
        <w:rPr>
          <w:color w:val="4C94D8" w:themeColor="text2" w:themeTint="80"/>
        </w:rPr>
        <w:t xml:space="preserve">The Position Statement asserts that </w:t>
      </w:r>
      <w:proofErr w:type="spellStart"/>
      <w:r w:rsidRPr="00422500">
        <w:rPr>
          <w:color w:val="4C94D8" w:themeColor="text2" w:themeTint="80"/>
        </w:rPr>
        <w:t>Blackstream</w:t>
      </w:r>
      <w:proofErr w:type="spellEnd"/>
      <w:r w:rsidRPr="00422500">
        <w:rPr>
          <w:color w:val="4C94D8" w:themeColor="text2" w:themeTint="80"/>
        </w:rPr>
        <w:t xml:space="preserve"> had “increased demand for graphic design</w:t>
      </w:r>
      <w:r w:rsidRPr="00422500">
        <w:rPr>
          <w:color w:val="4C94D8" w:themeColor="text2" w:themeTint="80"/>
        </w:rPr>
        <w:noBreakHyphen/>
        <w:t>centric services” more aligned with Ms. Cape’s skills, while Contender needed a full</w:t>
      </w:r>
      <w:r w:rsidRPr="00422500">
        <w:rPr>
          <w:color w:val="4C94D8" w:themeColor="text2" w:themeTint="80"/>
        </w:rPr>
        <w:noBreakHyphen/>
        <w:t xml:space="preserve">time Marketing Director focused on global brand strategy, which allegedly “fit nicely” with my skills. That narrative is inconsistent with what </w:t>
      </w:r>
      <w:proofErr w:type="gramStart"/>
      <w:r w:rsidRPr="00422500">
        <w:rPr>
          <w:color w:val="4C94D8" w:themeColor="text2" w:themeTint="80"/>
        </w:rPr>
        <w:t>actually occurred</w:t>
      </w:r>
      <w:proofErr w:type="gramEnd"/>
      <w:r w:rsidRPr="00422500">
        <w:rPr>
          <w:color w:val="4C94D8" w:themeColor="text2" w:themeTint="80"/>
        </w:rPr>
        <w:t>:​</w:t>
      </w:r>
    </w:p>
    <w:p w14:paraId="11262B49" w14:textId="77777777" w:rsidR="00422500" w:rsidRPr="00422500" w:rsidRDefault="00422500" w:rsidP="00422500">
      <w:pPr>
        <w:ind w:left="1080"/>
        <w:rPr>
          <w:color w:val="4C94D8" w:themeColor="text2" w:themeTint="80"/>
        </w:rPr>
      </w:pPr>
      <w:r w:rsidRPr="00422500">
        <w:rPr>
          <w:color w:val="4C94D8" w:themeColor="text2" w:themeTint="80"/>
        </w:rPr>
        <w:t>Prior to Ms. Cape’s hire, I handled both strategy and execution, including graphic design, website management, advertising, and branding (including designing Contender’s flag logo).​</w:t>
      </w:r>
    </w:p>
    <w:p w14:paraId="201AD75F" w14:textId="77777777" w:rsidR="00590705" w:rsidRPr="00590705" w:rsidRDefault="00590705" w:rsidP="00590705">
      <w:pPr>
        <w:rPr>
          <w:color w:val="4C94D8" w:themeColor="text2" w:themeTint="80"/>
        </w:rPr>
      </w:pPr>
    </w:p>
    <w:p w14:paraId="5BED6885" w14:textId="77777777" w:rsidR="00590705" w:rsidRDefault="00590705" w:rsidP="00590705">
      <w:pPr>
        <w:pStyle w:val="ListParagraph"/>
        <w:ind w:left="720"/>
        <w:rPr>
          <w:color w:val="4C94D8" w:themeColor="text2" w:themeTint="80"/>
        </w:rPr>
      </w:pPr>
    </w:p>
    <w:p w14:paraId="6101F672" w14:textId="62EA91EF" w:rsidR="00590705" w:rsidRPr="00590705" w:rsidRDefault="00590705" w:rsidP="00590705">
      <w:pPr>
        <w:pStyle w:val="ListParagraph"/>
        <w:ind w:left="720"/>
        <w:rPr>
          <w:color w:val="4C94D8" w:themeColor="text2" w:themeTint="80"/>
        </w:rPr>
      </w:pPr>
      <w:r w:rsidRPr="00590705">
        <w:rPr>
          <w:b/>
          <w:bCs/>
          <w:color w:val="4C94D8" w:themeColor="text2" w:themeTint="80"/>
        </w:rPr>
        <w:t>Reinert’s Age and Family Relationship to CEO</w:t>
      </w:r>
    </w:p>
    <w:p w14:paraId="460645ED" w14:textId="77777777" w:rsidR="00590705" w:rsidRPr="00590705" w:rsidRDefault="00590705" w:rsidP="00590705">
      <w:pPr>
        <w:pStyle w:val="ListParagraph"/>
        <w:numPr>
          <w:ilvl w:val="0"/>
          <w:numId w:val="13"/>
        </w:numPr>
        <w:tabs>
          <w:tab w:val="num" w:pos="-360"/>
        </w:tabs>
        <w:ind w:left="1080"/>
        <w:rPr>
          <w:color w:val="4C94D8" w:themeColor="text2" w:themeTint="80"/>
        </w:rPr>
      </w:pPr>
      <w:r w:rsidRPr="00590705">
        <w:rPr>
          <w:color w:val="4C94D8" w:themeColor="text2" w:themeTint="80"/>
        </w:rPr>
        <w:t>Mr. Reinert is not simply another older employee; he is also the uncle of CEO and founder Ford Elliott, a close family relationship that gives him insulation and influence that other older employees—including me—do not enjoy.</w:t>
      </w:r>
    </w:p>
    <w:p w14:paraId="5938F287" w14:textId="77777777" w:rsidR="00590705" w:rsidRPr="00590705" w:rsidRDefault="00590705" w:rsidP="00590705">
      <w:pPr>
        <w:pStyle w:val="ListParagraph"/>
        <w:ind w:left="1800"/>
        <w:rPr>
          <w:b/>
          <w:bCs/>
          <w:color w:val="4C94D8" w:themeColor="text2" w:themeTint="80"/>
        </w:rPr>
      </w:pPr>
    </w:p>
    <w:p w14:paraId="2D7E7B29" w14:textId="77777777" w:rsidR="00A97B9A" w:rsidRDefault="00000000">
      <w:pPr>
        <w:spacing w:before="240" w:after="160" w:line="276" w:lineRule="auto"/>
      </w:pPr>
      <w:r>
        <w:rPr>
          <w:b/>
          <w:bCs/>
          <w:u w:val="single"/>
        </w:rPr>
        <w:t>I. PRELIMINARY OBSERVATIONS: THE VOLUME OF EVIDENCE IS NOT A WEAKNESS</w:t>
      </w:r>
    </w:p>
    <w:p w14:paraId="6847A7E3" w14:textId="77777777" w:rsidR="00A97B9A" w:rsidRDefault="00000000">
      <w:pPr>
        <w:spacing w:after="160" w:line="276" w:lineRule="auto"/>
        <w:jc w:val="both"/>
      </w:pPr>
      <w:r>
        <w:t>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and retaliation following protected activity—is more probative of discriminatory intent than any single incident in isolation. The volume of documented grievances is not evidence of frivolousness. It is evidence of a pattern.</w:t>
      </w:r>
    </w:p>
    <w:p w14:paraId="2000A10F" w14:textId="77777777" w:rsidR="00A97B9A" w:rsidRDefault="00000000">
      <w:pPr>
        <w:spacing w:after="160" w:line="276" w:lineRule="auto"/>
        <w:jc w:val="both"/>
      </w:pPr>
      <w:r>
        <w:t>Further, the proper question before this Commission is not whether Ms. Lord has too many complaints. The proper question is whether those complaints have merit. The answer, as the following analysis demonstrates, is yes.</w:t>
      </w:r>
    </w:p>
    <w:p w14:paraId="532F7E03" w14:textId="77777777" w:rsidR="00A97B9A" w:rsidRDefault="00A97B9A"/>
    <w:p w14:paraId="60021074" w14:textId="77777777" w:rsidR="00A97B9A" w:rsidRDefault="00000000">
      <w:pPr>
        <w:spacing w:before="240" w:after="160" w:line="276" w:lineRule="auto"/>
      </w:pPr>
      <w:r>
        <w:rPr>
          <w:b/>
          <w:bCs/>
          <w:u w:val="single"/>
        </w:rPr>
        <w:t>II. REBUTTAL TO RESPONDENT’S CHARACTERIZATION OF MS. LORD’S EMPLOYMENT HISTORY</w:t>
      </w:r>
    </w:p>
    <w:p w14:paraId="4A3E2A66" w14:textId="77777777" w:rsidR="00A97B9A" w:rsidRDefault="00000000">
      <w:pPr>
        <w:spacing w:before="180" w:after="120" w:line="276" w:lineRule="auto"/>
      </w:pPr>
      <w:r>
        <w:rPr>
          <w:b/>
          <w:bCs/>
        </w:rPr>
        <w:t xml:space="preserve">A. The Transition to Contender Was a Constructive Demotion, </w:t>
      </w:r>
      <w:proofErr w:type="gramStart"/>
      <w:r>
        <w:rPr>
          <w:b/>
          <w:bCs/>
        </w:rPr>
        <w:t>Not</w:t>
      </w:r>
      <w:proofErr w:type="gramEnd"/>
      <w:r>
        <w:rPr>
          <w:b/>
          <w:bCs/>
        </w:rPr>
        <w:t xml:space="preserve"> a Lateral Move</w:t>
      </w:r>
    </w:p>
    <w:p w14:paraId="4DED7959" w14:textId="77777777" w:rsidR="00A97B9A" w:rsidRDefault="00000000">
      <w:pPr>
        <w:spacing w:after="160" w:line="276" w:lineRule="auto"/>
        <w:jc w:val="both"/>
      </w:pPr>
      <w:r>
        <w:t xml:space="preserve">Respondent claims that Ms. Lord’s transition from </w:t>
      </w:r>
      <w:proofErr w:type="spellStart"/>
      <w:r>
        <w:t>Blackstream</w:t>
      </w:r>
      <w:proofErr w:type="spellEnd"/>
      <w:r>
        <w:t xml:space="preserve"> to Contender in May 2025 involved no change in compensation, duties, or conditions of employment. This characterization is misleading and incomplete.</w:t>
      </w:r>
    </w:p>
    <w:p w14:paraId="2A55338F" w14:textId="77777777" w:rsidR="00A97B9A" w:rsidRDefault="00000000">
      <w:pPr>
        <w:spacing w:after="160" w:line="276" w:lineRule="auto"/>
        <w:jc w:val="both"/>
      </w:pPr>
      <w:r>
        <w:lastRenderedPageBreak/>
        <w:t>The record establishes that the transition was preceded by a systematic stripping of Ms. Lord’s authority. On March 13, 2025—six weeks before the transition—HR Director Cameron Aldridge issued a written memo reaffirming Ms. Lord’s supervisory authority over Haley Cape and Alex Weldon, and her control over the marketing budget. Six days later, on March 19, 2025, without notice and without HR present, CEO Michael Mumma verbally revoked that authority entirely, removing both subordinates from her supervision and transferring all social media responsibilities to Cape and Annette Wrenn. This sequence—reaffirmation followed immediately by revocation—is not consistent with a legitimate, pre-planned organizational restructuring. It is consistent with retaliation.</w:t>
      </w:r>
    </w:p>
    <w:p w14:paraId="21A7C1D4" w14:textId="77777777" w:rsidR="00A97B9A" w:rsidRDefault="00000000">
      <w:pPr>
        <w:spacing w:after="160" w:line="276" w:lineRule="auto"/>
        <w:jc w:val="both"/>
      </w:pPr>
      <w:r>
        <w:t>By May 1, 2025, Ms. Lord transitioned to a “Director of Marketing” role at Contender that, by the Company’s own account, had no dedicated staff and no budget that ever materialized. Her title remained the same; her function as a director did not. A director title without staff, without budget, without decision-making authority, and subject to a 90.3% non-response rate on work submissions—documented across 31 submissions between May and November 2025—is not the same role. It is a constructive demotion.</w:t>
      </w:r>
    </w:p>
    <w:p w14:paraId="64ADA305" w14:textId="3C5B82C8" w:rsidR="00422500" w:rsidRPr="00C70883" w:rsidRDefault="00000000">
      <w:pPr>
        <w:spacing w:after="160" w:line="276" w:lineRule="auto"/>
        <w:jc w:val="both"/>
        <w:rPr>
          <w:color w:val="4C94D8" w:themeColor="text2" w:themeTint="80"/>
        </w:rPr>
      </w:pPr>
      <w:r>
        <w:t xml:space="preserve">Respondent’s assertion that her role at </w:t>
      </w:r>
      <w:proofErr w:type="spellStart"/>
      <w:r>
        <w:t>Blackstream</w:t>
      </w:r>
      <w:proofErr w:type="spellEnd"/>
      <w:r>
        <w:t xml:space="preserve"> “was not assumed by a younger employee” is a deliberate misdirection. </w:t>
      </w:r>
      <w:r w:rsidR="0058488A">
        <w:rPr>
          <w:b/>
          <w:bCs/>
          <w:color w:val="4C94D8" w:themeColor="text2" w:themeTint="80"/>
        </w:rPr>
        <w:t xml:space="preserve">In fact, in a Sept 5, </w:t>
      </w:r>
      <w:proofErr w:type="gramStart"/>
      <w:r w:rsidR="0058488A">
        <w:rPr>
          <w:b/>
          <w:bCs/>
          <w:color w:val="4C94D8" w:themeColor="text2" w:themeTint="80"/>
        </w:rPr>
        <w:t>2025</w:t>
      </w:r>
      <w:proofErr w:type="gramEnd"/>
      <w:r w:rsidR="0058488A">
        <w:rPr>
          <w:b/>
          <w:bCs/>
          <w:color w:val="4C94D8" w:themeColor="text2" w:themeTint="80"/>
        </w:rPr>
        <w:t xml:space="preserve"> email from Christine Brodsky to Daniel Burke of Guided Luxury, Hayley Cape is announced as Director of Marketing. </w:t>
      </w:r>
      <w:r>
        <w:t xml:space="preserve">The relevant comparators are not who filled her exact title at </w:t>
      </w:r>
      <w:proofErr w:type="spellStart"/>
      <w:r>
        <w:t>Blackstream</w:t>
      </w:r>
      <w:proofErr w:type="spellEnd"/>
      <w:r>
        <w:t>. The relevant comparators are the younger employees—Ms. Cape (age 28) and Ms. Wrenn (approximately age 30)—who received the substantive marketing responsibilities, strategic project authority, and management visibility that were taken from Ms. Lord.</w:t>
      </w:r>
      <w:r w:rsidR="00C70883">
        <w:t xml:space="preserve"> </w:t>
      </w:r>
      <w:r w:rsidR="00C70883" w:rsidRPr="00C70883">
        <w:rPr>
          <w:b/>
          <w:bCs/>
          <w:color w:val="4C94D8" w:themeColor="text2" w:themeTint="80"/>
        </w:rPr>
        <w:t xml:space="preserve">Not sure if we can use this: Cape was </w:t>
      </w:r>
      <w:r w:rsidR="00C70883">
        <w:rPr>
          <w:b/>
          <w:bCs/>
          <w:color w:val="4C94D8" w:themeColor="text2" w:themeTint="80"/>
        </w:rPr>
        <w:t xml:space="preserve">also </w:t>
      </w:r>
      <w:r w:rsidR="00C70883" w:rsidRPr="00C70883">
        <w:rPr>
          <w:b/>
          <w:bCs/>
          <w:color w:val="4C94D8" w:themeColor="text2" w:themeTint="80"/>
        </w:rPr>
        <w:t>given a discounted apartment in the corporate office building. According to Cape, Mumma used this apartment to meet up with Wrenn.)</w:t>
      </w:r>
    </w:p>
    <w:p w14:paraId="5B617C64" w14:textId="77777777" w:rsidR="00A97B9A" w:rsidRDefault="00000000">
      <w:pPr>
        <w:spacing w:before="180" w:after="120" w:line="276" w:lineRule="auto"/>
      </w:pPr>
      <w:r>
        <w:rPr>
          <w:b/>
          <w:bCs/>
        </w:rPr>
        <w:t>B. Respondent’s Characterization of the Offer Letter Dispute Reflects Poorly on the Company</w:t>
      </w:r>
    </w:p>
    <w:p w14:paraId="45EDE278" w14:textId="77777777" w:rsidR="00A97B9A" w:rsidRDefault="00000000">
      <w:pPr>
        <w:spacing w:after="160" w:line="276" w:lineRule="auto"/>
        <w:jc w:val="both"/>
      </w:pPr>
      <w:r>
        <w:t>Respondent notes that Ms. Lord refused to sign the standard offer letter and employee handbook acknowledgment, implying this reflects bad faith on her part. To the contrary: Ms. Lord objected to a non-compete provision that the Company then conceded was inappropriate and removed. Her refusal to sign, absent that correction, was legally reasonable. That the Company required a 74-year-old marketing professional to sign a non-compete at all raises its own questions about the legitimacy of the transition.</w:t>
      </w:r>
    </w:p>
    <w:p w14:paraId="5215DCC6" w14:textId="77777777" w:rsidR="00A97B9A" w:rsidRDefault="00A97B9A"/>
    <w:p w14:paraId="2BC38733" w14:textId="77777777" w:rsidR="00A97B9A" w:rsidRDefault="00000000">
      <w:pPr>
        <w:spacing w:before="240" w:after="160" w:line="276" w:lineRule="auto"/>
      </w:pPr>
      <w:r>
        <w:rPr>
          <w:b/>
          <w:bCs/>
          <w:u w:val="single"/>
        </w:rPr>
        <w:t>III. REBUTTAL TO RESPONDENT’S “NO ADVERSE EMPLOYMENT ACTION” DEFENSE</w:t>
      </w:r>
    </w:p>
    <w:p w14:paraId="07267F41" w14:textId="77777777" w:rsidR="00A97B9A" w:rsidRDefault="00000000">
      <w:pPr>
        <w:spacing w:before="180" w:after="120" w:line="276" w:lineRule="auto"/>
      </w:pPr>
      <w:r>
        <w:rPr>
          <w:b/>
          <w:bCs/>
        </w:rPr>
        <w:t>A. The Verbal Warning Was Retaliatory in Nature and Timing</w:t>
      </w:r>
    </w:p>
    <w:p w14:paraId="6AEC9E47" w14:textId="77777777" w:rsidR="00A97B9A" w:rsidRDefault="00000000">
      <w:pPr>
        <w:spacing w:after="160" w:line="276" w:lineRule="auto"/>
        <w:jc w:val="both"/>
      </w:pPr>
      <w:r>
        <w:lastRenderedPageBreak/>
        <w:t xml:space="preserve">Respondent characterizes the December 8, </w:t>
      </w:r>
      <w:proofErr w:type="gramStart"/>
      <w:r>
        <w:t>2025</w:t>
      </w:r>
      <w:proofErr w:type="gramEnd"/>
      <w:r>
        <w:t xml:space="preserve"> verbal warning as a routine counseling with no employment impact. The timing, context, and asymmetric application of this discipline tell a different story.</w:t>
      </w:r>
    </w:p>
    <w:p w14:paraId="1280F671" w14:textId="77777777" w:rsidR="00A97B9A" w:rsidRDefault="00000000">
      <w:pPr>
        <w:spacing w:after="160" w:line="276" w:lineRule="auto"/>
        <w:jc w:val="both"/>
      </w:pPr>
      <w:r>
        <w:t>Ms. Lord filed her internal discrimination complaint on November 14, 2025. The verbal warning was issued approximately three weeks later, after the Company learned of her allegedly false statements about payroll. Courts have consistently held that temporal proximity between protected activity and adverse action is evidence of retaliatory motive. Three weeks is well within the temporal range courts have found sufficient to establish a causal link.</w:t>
      </w:r>
    </w:p>
    <w:p w14:paraId="787B0F0F" w14:textId="77777777" w:rsidR="00A97B9A" w:rsidRDefault="00000000">
      <w:pPr>
        <w:spacing w:after="160" w:line="276" w:lineRule="auto"/>
        <w:jc w:val="both"/>
      </w:pPr>
      <w:r>
        <w:t>More importantly, Respondent’s own position statement concedes that rumors about the Company’s ability to make payroll were circulating inside the Company as early as February 2025—well before Ms. Lord’s alleged comments. The Company’s own timeline references mid-February 2025 whispers that companies would not meet payroll after April. Ms. Lord’s comments, made in the fall of 2025, were consistent with information that had been circulating internally for months. Her “false statement” was, at worst, the repetition of a rumor that the Company itself had permitted to circulate unchecked for nearly a year. Disciplining her for it—immediately following her discrimination complaint—while taking no such action against the original sources of those rumors is pretextual.</w:t>
      </w:r>
    </w:p>
    <w:p w14:paraId="23FDB3A1" w14:textId="77777777" w:rsidR="00A97B9A" w:rsidRDefault="00000000">
      <w:pPr>
        <w:spacing w:after="160" w:line="276" w:lineRule="auto"/>
        <w:jc w:val="both"/>
      </w:pPr>
      <w:r>
        <w:t xml:space="preserve">Furthermore, the Company’s treatment of Stuart Owen confirms the pretext. Respondent acknowledges that Owen made similar comments about the Company’s financial status. Yet Owen, who is 34 years old and substantially younger than Ms. Lord, was not disciplined until after Ms. Lord reported him, and only after independent confirmation of his comments. The asymmetry in the speed, severity, and evidentiary threshold applied to discipline Ms. Lord versus Mr. Owen is direct evidence of disparate treatment </w:t>
      </w:r>
      <w:proofErr w:type="gramStart"/>
      <w:r>
        <w:t>on the basis of</w:t>
      </w:r>
      <w:proofErr w:type="gramEnd"/>
      <w:r>
        <w:t xml:space="preserve"> age.</w:t>
      </w:r>
    </w:p>
    <w:p w14:paraId="56E0E0A8" w14:textId="77777777" w:rsidR="00A97B9A" w:rsidRDefault="00000000">
      <w:pPr>
        <w:spacing w:before="180" w:after="120" w:line="276" w:lineRule="auto"/>
      </w:pPr>
      <w:r>
        <w:rPr>
          <w:b/>
          <w:bCs/>
        </w:rPr>
        <w:t>B. The “Excellent Performance Review” Argument Backfires</w:t>
      </w:r>
    </w:p>
    <w:p w14:paraId="0C177D94" w14:textId="77777777" w:rsidR="00A97B9A" w:rsidRDefault="00000000">
      <w:pPr>
        <w:spacing w:after="160" w:line="276" w:lineRule="auto"/>
        <w:jc w:val="both"/>
      </w:pPr>
      <w:r>
        <w:t>Respondent makes much of the fact that Thomas Phillips gave Ms. Lord an “excellent” performance rating and recommended a 5% raise in December 2025. This argument, however, undermines rather than supports Respondent’s defense.</w:t>
      </w:r>
    </w:p>
    <w:p w14:paraId="7C39437F" w14:textId="77777777" w:rsidR="00A97B9A" w:rsidRDefault="00000000">
      <w:pPr>
        <w:spacing w:after="160" w:line="276" w:lineRule="auto"/>
        <w:jc w:val="both"/>
      </w:pPr>
      <w:r>
        <w:t>If Ms. Lord’s performance was genuinely excellent in every category, then the systematic removal of her authority, exclusion from strategic meetings, denial of office space, withholding of budget, and 90.3% non-response to her work submissions cannot be explained by legitimate performance concerns. A positive performance review eliminates poor performance as a non-discriminatory justification for the other adverse actions. It does not negate those actions.</w:t>
      </w:r>
    </w:p>
    <w:p w14:paraId="3BDF49D6" w14:textId="77777777" w:rsidR="00A97B9A" w:rsidRDefault="00000000">
      <w:pPr>
        <w:spacing w:after="160" w:line="276" w:lineRule="auto"/>
        <w:jc w:val="both"/>
      </w:pPr>
      <w:r>
        <w:t>Moreover, a positive performance review does not, as a matter of law, insulate an employer from retaliation claims. Retaliation claims turn on whether adverse actions followed protected activity—not on whether the employer also took some positive actions concurrently. Both things can be true: Ms. Lord can have received an excellent evaluation and simultaneously have been subjected to retaliatory discipline and constructive demotion.</w:t>
      </w:r>
    </w:p>
    <w:p w14:paraId="00206366" w14:textId="77777777" w:rsidR="00A97B9A" w:rsidRDefault="00000000">
      <w:pPr>
        <w:spacing w:before="180" w:after="120" w:line="276" w:lineRule="auto"/>
      </w:pPr>
      <w:r>
        <w:rPr>
          <w:b/>
          <w:bCs/>
        </w:rPr>
        <w:lastRenderedPageBreak/>
        <w:t>C. The Broader Pattern of Adverse Actions Respondent Fails to Address</w:t>
      </w:r>
    </w:p>
    <w:p w14:paraId="7591EC8F" w14:textId="77777777" w:rsidR="00A97B9A" w:rsidRDefault="00000000">
      <w:pPr>
        <w:spacing w:after="160" w:line="276" w:lineRule="auto"/>
        <w:jc w:val="both"/>
      </w:pPr>
      <w:r>
        <w:t xml:space="preserve">Respondent’s position statement focuses narrowly on the </w:t>
      </w:r>
      <w:proofErr w:type="spellStart"/>
      <w:r>
        <w:t>Blackstream</w:t>
      </w:r>
      <w:proofErr w:type="spellEnd"/>
      <w:r>
        <w:t>-to-Contender transition and the verbal warning, while conspicuously ignoring a documented pattern of adverse actions that the Commission should consider in its totality:</w:t>
      </w:r>
    </w:p>
    <w:p w14:paraId="7A2D261B" w14:textId="77777777" w:rsidR="00A97B9A" w:rsidRDefault="00000000">
      <w:pPr>
        <w:pStyle w:val="ListParagraph"/>
        <w:numPr>
          <w:ilvl w:val="0"/>
          <w:numId w:val="2"/>
        </w:numPr>
        <w:spacing w:after="120" w:line="276" w:lineRule="auto"/>
      </w:pPr>
      <w:r>
        <w:t>Revocation of supervisory authority on March 19, 2025—six days after HR reaffirmed it—following Ms. Lord’s report of Cape’s insubordination and firearm possession.</w:t>
      </w:r>
    </w:p>
    <w:p w14:paraId="311BC123" w14:textId="77777777" w:rsidR="00A97B9A" w:rsidRDefault="00000000">
      <w:pPr>
        <w:pStyle w:val="ListParagraph"/>
        <w:numPr>
          <w:ilvl w:val="0"/>
          <w:numId w:val="2"/>
        </w:numPr>
        <w:spacing w:after="120" w:line="276" w:lineRule="auto"/>
      </w:pPr>
      <w:r>
        <w:t>Denial of office space at the 5 Century Drive location in May 2025, requiring Ms. Lord to find her own workspace in a cubicle at another location.</w:t>
      </w:r>
    </w:p>
    <w:p w14:paraId="10CD21C7" w14:textId="77777777" w:rsidR="00A97B9A" w:rsidRDefault="00000000">
      <w:pPr>
        <w:pStyle w:val="ListParagraph"/>
        <w:numPr>
          <w:ilvl w:val="0"/>
          <w:numId w:val="2"/>
        </w:numPr>
        <w:spacing w:after="120" w:line="276" w:lineRule="auto"/>
      </w:pPr>
      <w:r>
        <w:t>Cancellation of four or more scheduled CEO meetings between June and August 2025.</w:t>
      </w:r>
    </w:p>
    <w:p w14:paraId="28957C67" w14:textId="77777777" w:rsidR="00A97B9A" w:rsidRDefault="00000000">
      <w:pPr>
        <w:pStyle w:val="ListParagraph"/>
        <w:numPr>
          <w:ilvl w:val="0"/>
          <w:numId w:val="2"/>
        </w:numPr>
        <w:spacing w:after="120" w:line="276" w:lineRule="auto"/>
      </w:pPr>
      <w:r>
        <w:t>Exclusion from strategic meetings with the Company’s external marketing agency, Ghost Marketing/Britton Briley, in October and November 2025.</w:t>
      </w:r>
    </w:p>
    <w:p w14:paraId="09D23C3C" w14:textId="77777777" w:rsidR="00A97B9A" w:rsidRDefault="00000000">
      <w:pPr>
        <w:pStyle w:val="ListParagraph"/>
        <w:numPr>
          <w:ilvl w:val="0"/>
          <w:numId w:val="2"/>
        </w:numPr>
        <w:spacing w:after="120" w:line="276" w:lineRule="auto"/>
      </w:pPr>
      <w:r>
        <w:t>Withholding of budget authority despite repeated requests, leaving Ms. Lord unable to execute her responsibilities as Director of Marketing.</w:t>
      </w:r>
    </w:p>
    <w:p w14:paraId="615D81D7" w14:textId="77777777" w:rsidR="00A97B9A" w:rsidRDefault="00000000">
      <w:pPr>
        <w:pStyle w:val="ListParagraph"/>
        <w:numPr>
          <w:ilvl w:val="0"/>
          <w:numId w:val="2"/>
        </w:numPr>
        <w:spacing w:after="120" w:line="276" w:lineRule="auto"/>
      </w:pPr>
      <w:r>
        <w:t>Removal of the Holiday Gala and team-building events from Marketing to HR in August 2025.</w:t>
      </w:r>
    </w:p>
    <w:p w14:paraId="5B4B1036" w14:textId="77777777" w:rsidR="00A97B9A" w:rsidRDefault="00000000">
      <w:pPr>
        <w:pStyle w:val="ListParagraph"/>
        <w:numPr>
          <w:ilvl w:val="0"/>
          <w:numId w:val="2"/>
        </w:numPr>
        <w:spacing w:after="120" w:line="276" w:lineRule="auto"/>
      </w:pPr>
      <w:r>
        <w:t xml:space="preserve">Lockout from her </w:t>
      </w:r>
      <w:proofErr w:type="spellStart"/>
      <w:r>
        <w:t>Blackstream</w:t>
      </w:r>
      <w:proofErr w:type="spellEnd"/>
      <w:r>
        <w:t xml:space="preserve"> email account on September 2, 2025—an account containing work communications and documentation relevant to this claim—after IT administrator Stuart Owen was allegedly instructed by Christine Brodsky and/or Michael Mumma not to reset her password. This lockout raises serious concerns about evidence spoliation.</w:t>
      </w:r>
    </w:p>
    <w:p w14:paraId="69B9D22A" w14:textId="77777777" w:rsidR="00A97B9A" w:rsidRDefault="00000000">
      <w:pPr>
        <w:pStyle w:val="ListParagraph"/>
        <w:numPr>
          <w:ilvl w:val="0"/>
          <w:numId w:val="2"/>
        </w:numPr>
        <w:spacing w:after="120" w:line="276" w:lineRule="auto"/>
      </w:pPr>
      <w:r>
        <w:t>28 out of 31 work submissions receiving no response or acknowledgment between May and November 2025—a 90.3% non-response rate documented in the record.</w:t>
      </w:r>
    </w:p>
    <w:p w14:paraId="18C07A57" w14:textId="77777777" w:rsidR="00A97B9A" w:rsidRDefault="00000000">
      <w:pPr>
        <w:spacing w:after="160" w:line="276" w:lineRule="auto"/>
        <w:jc w:val="both"/>
      </w:pPr>
      <w:r>
        <w:t>Each of these actions, standing alone, might be characterized as a minor workplace frustration. Taken together, over a sustained period and directed consistently at the Company’s oldest employee, they constitute a pattern of systematic marginalization that is actionable under the ADEA.</w:t>
      </w:r>
    </w:p>
    <w:p w14:paraId="2B22105B" w14:textId="77777777" w:rsidR="00A97B9A" w:rsidRDefault="00A97B9A"/>
    <w:p w14:paraId="54DA481A" w14:textId="77777777" w:rsidR="00A97B9A" w:rsidRDefault="00000000">
      <w:pPr>
        <w:spacing w:before="240" w:after="160" w:line="276" w:lineRule="auto"/>
      </w:pPr>
      <w:r>
        <w:rPr>
          <w:b/>
          <w:bCs/>
          <w:u w:val="single"/>
        </w:rPr>
        <w:t>IV. REBUTTAL TO RESPONDENT’S DEFENSE OF THE REINERT REMARK</w:t>
      </w:r>
    </w:p>
    <w:p w14:paraId="550CED81" w14:textId="77777777" w:rsidR="00A97B9A" w:rsidRDefault="00000000">
      <w:pPr>
        <w:spacing w:before="180" w:after="120" w:line="276" w:lineRule="auto"/>
      </w:pPr>
      <w:r>
        <w:rPr>
          <w:b/>
          <w:bCs/>
        </w:rPr>
        <w:t>A. “No Recollection” Is Not a Denial</w:t>
      </w:r>
    </w:p>
    <w:p w14:paraId="6C004274" w14:textId="77777777" w:rsidR="00A97B9A" w:rsidRDefault="00000000">
      <w:pPr>
        <w:spacing w:after="160" w:line="276" w:lineRule="auto"/>
        <w:jc w:val="both"/>
      </w:pPr>
      <w:r>
        <w:t xml:space="preserve">Respondent states that CFO Peter Reinert “denies making any comments” about Ms. Lord’s age, and that HR Director Cameron Aldridge, who was present in the April 25, </w:t>
      </w:r>
      <w:proofErr w:type="gramStart"/>
      <w:r>
        <w:t>2025</w:t>
      </w:r>
      <w:proofErr w:type="gramEnd"/>
      <w:r>
        <w:t xml:space="preserve"> meeting, has “no recollection” of Reinert making such a comment. These are materially different statements. A denial is an affirmative assertion that the event did not occur. The absence of recollection is the </w:t>
      </w:r>
      <w:r>
        <w:lastRenderedPageBreak/>
        <w:t>absence of a denial. Aldridge does not say the remark was not made; he says he does not remember it.</w:t>
      </w:r>
    </w:p>
    <w:p w14:paraId="61025F1D" w14:textId="77777777" w:rsidR="00A97B9A" w:rsidRDefault="00000000">
      <w:pPr>
        <w:spacing w:after="160" w:line="276" w:lineRule="auto"/>
        <w:jc w:val="both"/>
      </w:pPr>
      <w:r>
        <w:t>By contrast, Ms. Lord’s account is specific: she identifies the exact words (“At your age, why do you care about reputation?”), the exact meeting, the exact date, and all attendees by name. The Commission should weigh the specificity of Ms. Lord’s contemporaneous account against the non-confirmatory non-recollections of the individuals accused.</w:t>
      </w:r>
    </w:p>
    <w:p w14:paraId="3307C8DB" w14:textId="77777777" w:rsidR="00A97B9A" w:rsidRDefault="00000000">
      <w:pPr>
        <w:spacing w:before="180" w:after="120" w:line="276" w:lineRule="auto"/>
      </w:pPr>
      <w:r>
        <w:rPr>
          <w:b/>
          <w:bCs/>
        </w:rPr>
        <w:t>B. This Was Not a “Stray Remark” Under Applicable Legal Standards</w:t>
      </w:r>
    </w:p>
    <w:p w14:paraId="4CB153EC" w14:textId="77777777" w:rsidR="00A97B9A" w:rsidRDefault="00000000">
      <w:pPr>
        <w:spacing w:after="160" w:line="276" w:lineRule="auto"/>
        <w:jc w:val="both"/>
      </w:pPr>
      <w:r>
        <w:t>Respondent’s invocation of the “stray remark” doctrine is legally misapplied. A stray remark, for purposes of ADEA analysis, is a comment made by someone not involved in the adverse employment decision, or a comment that is temporally remote from the adverse action. Neither condition is satisfied here.</w:t>
      </w:r>
    </w:p>
    <w:p w14:paraId="49ED60D2" w14:textId="77777777" w:rsidR="00A97B9A" w:rsidRDefault="00000000">
      <w:pPr>
        <w:spacing w:after="160" w:line="276" w:lineRule="auto"/>
        <w:jc w:val="both"/>
      </w:pPr>
      <w:r>
        <w:t>Peter Reinert is the Company’s CFO and a member of its Executive Committee. He is a decision-maker. The remark was made in a meeting also attended by the CEO and the HR Director—the very individuals with authority over Ms. Lord’s employment conditions. The remark was made on April 25, 2025—the same day, per the record, that Ms. Lord was informed she would be moved to Contender full-time with no budget or staff. The remark was not made in passing; it was made in direct response to Ms. Lord raising concerns about the professional harm being done to her reputation.</w:t>
      </w:r>
    </w:p>
    <w:p w14:paraId="32A83B32" w14:textId="77777777" w:rsidR="00A97B9A" w:rsidRDefault="00000000">
      <w:pPr>
        <w:spacing w:after="160" w:line="276" w:lineRule="auto"/>
        <w:jc w:val="both"/>
      </w:pPr>
      <w:r>
        <w:t>A remark made by a senior executive, in a meeting with the CEO and HR Director, in direct response to an employee’s expression of concern about her professional standing, on the day adverse action was taken, is direct evidence of age-based discriminatory animus—not a stray remark.</w:t>
      </w:r>
    </w:p>
    <w:p w14:paraId="7AF3BE02" w14:textId="77777777" w:rsidR="00A97B9A" w:rsidRDefault="00000000">
      <w:pPr>
        <w:spacing w:before="180" w:after="120" w:line="276" w:lineRule="auto"/>
      </w:pPr>
      <w:r>
        <w:rPr>
          <w:b/>
          <w:bCs/>
        </w:rPr>
        <w:t>C. The “Same Protected Class” Argument Has No Legal Validity</w:t>
      </w:r>
    </w:p>
    <w:p w14:paraId="73CD528D" w14:textId="77777777" w:rsidR="00A97B9A" w:rsidRDefault="00000000">
      <w:pPr>
        <w:spacing w:after="160" w:line="276" w:lineRule="auto"/>
        <w:jc w:val="both"/>
      </w:pPr>
      <w:r>
        <w:t>Respondent argues that because Peter Reinert is 67 years old, he could not have harbored age-based animus toward Ms. Lord. This argument has been consistently and thoroughly rejected by courts. The ADEA protects individuals over the age of 40. A 67-year-old executive can discriminate against a 74-year-old employee. The statute does not require that the discriminating party be outside the protected class.</w:t>
      </w:r>
    </w:p>
    <w:p w14:paraId="26E4E6C8" w14:textId="77777777" w:rsidR="00A97B9A" w:rsidRDefault="00000000">
      <w:pPr>
        <w:spacing w:after="160" w:line="276" w:lineRule="auto"/>
        <w:jc w:val="both"/>
      </w:pPr>
      <w:r>
        <w:t>Indeed, the Supreme Court held in General Dynamics Land Systems, Inc. v. Cline, 540 U.S. 581 (2004), that the ADEA is specifically designed to protect older workers from discrimination even at the hands of employees who are themselves within the protected class. The Reinert argument, however well-packaged, is not a defense.</w:t>
      </w:r>
    </w:p>
    <w:p w14:paraId="033E411D" w14:textId="70776104" w:rsidR="0058488A" w:rsidRPr="0058488A" w:rsidRDefault="0058488A" w:rsidP="0058488A">
      <w:pPr>
        <w:spacing w:after="160" w:line="276" w:lineRule="auto"/>
        <w:jc w:val="both"/>
        <w:rPr>
          <w:b/>
          <w:bCs/>
          <w:color w:val="4C94D8" w:themeColor="text2" w:themeTint="80"/>
        </w:rPr>
      </w:pPr>
      <w:r w:rsidRPr="0058488A">
        <w:rPr>
          <w:b/>
          <w:bCs/>
          <w:color w:val="4C94D8" w:themeColor="text2" w:themeTint="80"/>
        </w:rPr>
        <w:t>Mr. Reinert is not simply another older employee; he is also the uncle of CEO and founder Ford Elliott, a close family relationship that gives him insulation and influence that other older employees—including Lord—do not enjoy.</w:t>
      </w:r>
    </w:p>
    <w:p w14:paraId="36764E5D" w14:textId="77777777" w:rsidR="00A97B9A" w:rsidRDefault="00A97B9A"/>
    <w:p w14:paraId="73A9191A" w14:textId="77777777" w:rsidR="00A97B9A" w:rsidRDefault="00000000">
      <w:pPr>
        <w:spacing w:before="240" w:after="160" w:line="276" w:lineRule="auto"/>
      </w:pPr>
      <w:r>
        <w:rPr>
          <w:b/>
          <w:bCs/>
          <w:u w:val="single"/>
        </w:rPr>
        <w:lastRenderedPageBreak/>
        <w:t>V. REBUTTAL TO RESPONDENT’S RETALIATION DEFENSE</w:t>
      </w:r>
    </w:p>
    <w:p w14:paraId="3934FA0D" w14:textId="77777777" w:rsidR="00A97B9A" w:rsidRDefault="00000000">
      <w:pPr>
        <w:spacing w:after="160" w:line="276" w:lineRule="auto"/>
        <w:jc w:val="both"/>
      </w:pPr>
      <w:r>
        <w:t>Respondent’s retaliation defense rests on two pillars: (1) the internal investigation found no substantiation, and (2) the same supervisor who received the complaint gave Ms. Lord an excellent review. Neither pillar holds.</w:t>
      </w:r>
    </w:p>
    <w:p w14:paraId="40698516" w14:textId="77777777" w:rsidR="00A97B9A" w:rsidRDefault="00000000">
      <w:pPr>
        <w:spacing w:after="160" w:line="276" w:lineRule="auto"/>
        <w:jc w:val="both"/>
      </w:pPr>
      <w:r>
        <w:t xml:space="preserve">First, the Company’s internal investigation consisted of presenting Ms. Lord’s allegations to the accused parties and accepting their denials. HR Director Aldridge’s November 24, </w:t>
      </w:r>
      <w:proofErr w:type="gramStart"/>
      <w:r>
        <w:t>2025</w:t>
      </w:r>
      <w:proofErr w:type="gramEnd"/>
      <w:r>
        <w:t xml:space="preserve"> response letter reflects no independent corroboration, no witness interviews beyond the accused, and no documentary review. An investigation that reaches a predetermined conclusion by relying exclusively on the denials of the accused is not a good-faith investigation—it is a formality.</w:t>
      </w:r>
    </w:p>
    <w:p w14:paraId="2B2377F5" w14:textId="77777777" w:rsidR="00A97B9A" w:rsidRDefault="00000000">
      <w:pPr>
        <w:spacing w:after="160" w:line="276" w:lineRule="auto"/>
        <w:jc w:val="both"/>
      </w:pPr>
      <w:r>
        <w:t>Second, the “same actor” inference is a factual argument, not a legal rule. Courts recognize that an employer may take both positive and retaliatory actions simultaneously. That Phillips gave Ms. Lord an excellent review does not preclude a finding that the verbal warning—issued by the same management team—was retaliatory in nature and timing.</w:t>
      </w:r>
    </w:p>
    <w:p w14:paraId="0ABDB91D" w14:textId="77777777" w:rsidR="00A97B9A" w:rsidRDefault="00000000">
      <w:pPr>
        <w:spacing w:after="160" w:line="276" w:lineRule="auto"/>
        <w:jc w:val="both"/>
      </w:pPr>
      <w:r>
        <w:t>Third, as noted above, the retaliation claim extends well beyond the verbal warning. The sustained pattern of exclusion, non-response, denial of resources, and authority stripping that continued after Ms. Lord’s November 14 complaint constitutes ongoing retaliatory conduct regardless of the December performance review.</w:t>
      </w:r>
    </w:p>
    <w:p w14:paraId="2B734F79" w14:textId="77777777" w:rsidR="00A97B9A" w:rsidRDefault="00A97B9A"/>
    <w:p w14:paraId="01BCA8CE" w14:textId="77777777" w:rsidR="00A97B9A" w:rsidRDefault="00000000">
      <w:pPr>
        <w:spacing w:before="240" w:after="160" w:line="276" w:lineRule="auto"/>
      </w:pPr>
      <w:r>
        <w:rPr>
          <w:b/>
          <w:bCs/>
          <w:u w:val="single"/>
        </w:rPr>
        <w:t>VI. REBUTTAL TO RESPONDENT’S CONSTRUCTIVE DISCHARGE DEFENSE</w:t>
      </w:r>
    </w:p>
    <w:p w14:paraId="3DA4A421" w14:textId="77777777" w:rsidR="00A97B9A" w:rsidRDefault="00000000">
      <w:pPr>
        <w:spacing w:after="160" w:line="276" w:lineRule="auto"/>
        <w:jc w:val="both"/>
      </w:pPr>
      <w:r>
        <w:t>Respondent asserts that because Ms. Lord remained employed at the time of the Charge, no constructive discharge occurred. This reflects a misunderstanding of the constructive discharge doctrine.</w:t>
      </w:r>
    </w:p>
    <w:p w14:paraId="70394FCB" w14:textId="77777777" w:rsidR="00A97B9A" w:rsidRDefault="00000000">
      <w:pPr>
        <w:spacing w:after="160" w:line="276" w:lineRule="auto"/>
        <w:jc w:val="both"/>
      </w:pPr>
      <w:r>
        <w:t xml:space="preserve">Constructive discharge does not require that the employee have </w:t>
      </w:r>
      <w:proofErr w:type="gramStart"/>
      <w:r>
        <w:t>actually resigned</w:t>
      </w:r>
      <w:proofErr w:type="gramEnd"/>
      <w:r>
        <w:t xml:space="preserve"> at the time of filing. It requires that the employer deliberately made working conditions so intolerable that a reasonable person in the employee’s position would have felt compelled to resign. The analysis is objective: would a reasonable person, not Ms. Lord in particular, have found these conditions intolerable?</w:t>
      </w:r>
    </w:p>
    <w:p w14:paraId="61B70C5D" w14:textId="77777777" w:rsidR="00A97B9A" w:rsidRDefault="00000000">
      <w:pPr>
        <w:spacing w:after="160" w:line="276" w:lineRule="auto"/>
        <w:jc w:val="both"/>
      </w:pPr>
      <w:r>
        <w:t>The conditions documented in this record—no staff, no budget, no office, no response to work product for months on end, exclusion from all meaningful strategic functions, a documented formal disciplinary action three weeks after filing a discrimination complaint, and complete isolation from the Company’s core business operations—readily meet that standard. The fact that Ms. Lord continued to attempt to perform her job despite these conditions is evidence of her professionalism and commitment, not evidence that the conditions were tolerable.</w:t>
      </w:r>
    </w:p>
    <w:p w14:paraId="46624219" w14:textId="77777777" w:rsidR="00A97B9A" w:rsidRDefault="00A97B9A"/>
    <w:p w14:paraId="428E8BA7" w14:textId="77777777" w:rsidR="00A97B9A" w:rsidRDefault="00000000">
      <w:pPr>
        <w:spacing w:before="240" w:after="160" w:line="276" w:lineRule="auto"/>
      </w:pPr>
      <w:r>
        <w:rPr>
          <w:b/>
          <w:bCs/>
          <w:u w:val="single"/>
        </w:rPr>
        <w:lastRenderedPageBreak/>
        <w:t>VII. CRITICAL ISSUES RESPONDENT’S POSITION STATEMENT FAILS TO ADDRESS</w:t>
      </w:r>
    </w:p>
    <w:p w14:paraId="719065F3" w14:textId="77777777" w:rsidR="00A97B9A" w:rsidRDefault="00000000">
      <w:pPr>
        <w:spacing w:after="160" w:line="276" w:lineRule="auto"/>
        <w:jc w:val="both"/>
      </w:pPr>
      <w:r>
        <w:t>The Commission should note that Respondent’s position statement is conspicuously silent on several significant matters:</w:t>
      </w:r>
    </w:p>
    <w:p w14:paraId="4BA404C7" w14:textId="77777777" w:rsidR="00A97B9A" w:rsidRDefault="00000000">
      <w:pPr>
        <w:pStyle w:val="ListParagraph"/>
        <w:numPr>
          <w:ilvl w:val="0"/>
          <w:numId w:val="3"/>
        </w:numPr>
        <w:spacing w:after="120" w:line="276" w:lineRule="auto"/>
      </w:pPr>
      <w:r>
        <w:t xml:space="preserve">The September 2, </w:t>
      </w:r>
      <w:proofErr w:type="gramStart"/>
      <w:r>
        <w:t>2025</w:t>
      </w:r>
      <w:proofErr w:type="gramEnd"/>
      <w:r>
        <w:t xml:space="preserve"> email lockout. IT administrator Stuart Owen allegedly told Ms. Lord that he had been instructed by Christine Brodsky and/or Michael Mumma not to reset her </w:t>
      </w:r>
      <w:proofErr w:type="spellStart"/>
      <w:r>
        <w:t>Blackstream</w:t>
      </w:r>
      <w:proofErr w:type="spellEnd"/>
      <w:r>
        <w:t xml:space="preserve"> email password, effectively cutting off her access to work communications and documentation relevant to this very claim. This is a potential evidence spoliation issue and warrants specific inquiry by the Commission.</w:t>
      </w:r>
    </w:p>
    <w:p w14:paraId="6E58168A" w14:textId="77777777" w:rsidR="00A97B9A" w:rsidRDefault="00000000">
      <w:pPr>
        <w:pStyle w:val="ListParagraph"/>
        <w:numPr>
          <w:ilvl w:val="0"/>
          <w:numId w:val="3"/>
        </w:numPr>
        <w:spacing w:after="120" w:line="276" w:lineRule="auto"/>
      </w:pPr>
      <w:r>
        <w:t xml:space="preserve">The March 18, </w:t>
      </w:r>
      <w:proofErr w:type="gramStart"/>
      <w:r>
        <w:t>2025</w:t>
      </w:r>
      <w:proofErr w:type="gramEnd"/>
      <w:r>
        <w:t xml:space="preserve"> firearm report. Ms. Lord reported to HR Director Aldridge that Ms. Cape had brought a firearm to the workplace. The Company took no meaningful action, and two days later stripped Ms. Lord of the supervisory authority she had exercised when she reported the concern. The nexus between the safety report and the retaliatory authority revocation is direct and unaddressed.</w:t>
      </w:r>
    </w:p>
    <w:p w14:paraId="44659A94" w14:textId="543C1725" w:rsidR="00A97B9A" w:rsidRDefault="00000000">
      <w:pPr>
        <w:pStyle w:val="ListParagraph"/>
        <w:numPr>
          <w:ilvl w:val="0"/>
          <w:numId w:val="3"/>
        </w:numPr>
        <w:spacing w:after="120" w:line="276" w:lineRule="auto"/>
      </w:pPr>
      <w:r>
        <w:t xml:space="preserve">The internal payroll rumors. The Company’s own record acknowledges that rumors about payroll circulated internally as early as February 2025. </w:t>
      </w:r>
      <w:r w:rsidR="0058488A" w:rsidRPr="0058488A">
        <w:rPr>
          <w:b/>
          <w:bCs/>
          <w:color w:val="4C94D8" w:themeColor="text2" w:themeTint="80"/>
        </w:rPr>
        <w:t xml:space="preserve">Lord </w:t>
      </w:r>
      <w:r w:rsidR="0058488A">
        <w:rPr>
          <w:b/>
          <w:bCs/>
          <w:color w:val="4C94D8" w:themeColor="text2" w:themeTint="80"/>
        </w:rPr>
        <w:t>reported</w:t>
      </w:r>
      <w:r w:rsidR="0058488A" w:rsidRPr="0058488A">
        <w:rPr>
          <w:b/>
          <w:bCs/>
          <w:color w:val="4C94D8" w:themeColor="text2" w:themeTint="80"/>
        </w:rPr>
        <w:t xml:space="preserve"> those rumors directly </w:t>
      </w:r>
      <w:r w:rsidR="0058488A">
        <w:rPr>
          <w:b/>
          <w:bCs/>
          <w:color w:val="4C94D8" w:themeColor="text2" w:themeTint="80"/>
        </w:rPr>
        <w:t>to</w:t>
      </w:r>
      <w:r w:rsidR="0058488A" w:rsidRPr="0058488A">
        <w:rPr>
          <w:b/>
          <w:bCs/>
          <w:color w:val="4C94D8" w:themeColor="text2" w:themeTint="80"/>
        </w:rPr>
        <w:t xml:space="preserve"> Ford Elliott, Peter Reinert, and Cameron Aldridge in the April 25, </w:t>
      </w:r>
      <w:proofErr w:type="gramStart"/>
      <w:r w:rsidR="0058488A" w:rsidRPr="0058488A">
        <w:rPr>
          <w:b/>
          <w:bCs/>
          <w:color w:val="4C94D8" w:themeColor="text2" w:themeTint="80"/>
        </w:rPr>
        <w:t>2025</w:t>
      </w:r>
      <w:proofErr w:type="gramEnd"/>
      <w:r w:rsidR="0058488A" w:rsidRPr="0058488A">
        <w:rPr>
          <w:b/>
          <w:bCs/>
          <w:color w:val="4C94D8" w:themeColor="text2" w:themeTint="80"/>
        </w:rPr>
        <w:t xml:space="preserve"> meeting.</w:t>
      </w:r>
      <w:r w:rsidR="0058488A" w:rsidRPr="0058488A">
        <w:t xml:space="preserve"> </w:t>
      </w:r>
      <w:r>
        <w:t>Respondent has not explained why those earlier rumors—apparently tolerated for months—became actionable only when repeated by the employee who had just filed a discrimination complaint.</w:t>
      </w:r>
    </w:p>
    <w:p w14:paraId="3B6BA8D2" w14:textId="77777777" w:rsidR="00A8432B" w:rsidRDefault="00A8432B" w:rsidP="00A8432B">
      <w:pPr>
        <w:ind w:left="720"/>
        <w:rPr>
          <w:b/>
          <w:bCs/>
          <w:color w:val="4C94D8" w:themeColor="text2" w:themeTint="80"/>
        </w:rPr>
      </w:pPr>
      <w:r w:rsidRPr="00A8432B">
        <w:rPr>
          <w:b/>
          <w:bCs/>
          <w:color w:val="4C94D8" w:themeColor="text2" w:themeTint="80"/>
        </w:rPr>
        <w:t xml:space="preserve">The Company says I made “entirely false” statements that Contender was “out of money and they couldn’t make payroll” and that I told an employee to start looking for work, justifying counseling. </w:t>
      </w:r>
    </w:p>
    <w:p w14:paraId="291D8E1B" w14:textId="69534ADB" w:rsidR="00A8432B" w:rsidRPr="00A8432B" w:rsidRDefault="00A8432B" w:rsidP="00A8432B">
      <w:pPr>
        <w:ind w:left="720"/>
        <w:rPr>
          <w:b/>
          <w:bCs/>
          <w:color w:val="4C94D8" w:themeColor="text2" w:themeTint="80"/>
        </w:rPr>
      </w:pPr>
      <w:r w:rsidRPr="00A8432B">
        <w:rPr>
          <w:b/>
          <w:bCs/>
          <w:color w:val="4C94D8" w:themeColor="text2" w:themeTint="80"/>
        </w:rPr>
        <w:t>My account differs:</w:t>
      </w:r>
      <w:r w:rsidRPr="00A8432B">
        <w:rPr>
          <w:rFonts w:ascii="Arial" w:hAnsi="Arial" w:cs="Arial"/>
          <w:b/>
          <w:bCs/>
          <w:color w:val="4C94D8" w:themeColor="text2" w:themeTint="80"/>
        </w:rPr>
        <w:t>​</w:t>
      </w:r>
    </w:p>
    <w:p w14:paraId="6DE179C6" w14:textId="7315B57E" w:rsidR="00A8432B" w:rsidRPr="00A8432B" w:rsidRDefault="00A8432B" w:rsidP="00A8432B">
      <w:pPr>
        <w:pStyle w:val="ListParagraph"/>
        <w:numPr>
          <w:ilvl w:val="0"/>
          <w:numId w:val="13"/>
        </w:numPr>
        <w:spacing w:after="160" w:line="278" w:lineRule="auto"/>
        <w:ind w:left="1080"/>
        <w:rPr>
          <w:color w:val="4C94D8" w:themeColor="text2" w:themeTint="80"/>
        </w:rPr>
      </w:pPr>
      <w:r w:rsidRPr="00A8432B">
        <w:rPr>
          <w:color w:val="4C94D8" w:themeColor="text2" w:themeTint="80"/>
        </w:rPr>
        <w:t xml:space="preserve">I was hearing serious concerns about finances and spending directly from senior finance personnel, including the Chief Accounting Officer, Maxine Turner, and from </w:t>
      </w:r>
      <w:r>
        <w:rPr>
          <w:color w:val="4C94D8" w:themeColor="text2" w:themeTint="80"/>
        </w:rPr>
        <w:t>Peter</w:t>
      </w:r>
      <w:r w:rsidRPr="00A8432B">
        <w:rPr>
          <w:color w:val="4C94D8" w:themeColor="text2" w:themeTint="80"/>
        </w:rPr>
        <w:t xml:space="preserve"> Reinert, CFO, in the context of discussions about significant expenditures (e.g., a $54,000 holiday party estimate compared to a $28,000 expectation).​ I was told by Reinert to send my concerns about th</w:t>
      </w:r>
      <w:r>
        <w:rPr>
          <w:color w:val="4C94D8" w:themeColor="text2" w:themeTint="80"/>
        </w:rPr>
        <w:t>e cost of this</w:t>
      </w:r>
      <w:r w:rsidRPr="00A8432B">
        <w:rPr>
          <w:color w:val="4C94D8" w:themeColor="text2" w:themeTint="80"/>
        </w:rPr>
        <w:t xml:space="preserve"> event to Ford Elliott.</w:t>
      </w:r>
      <w:r>
        <w:rPr>
          <w:color w:val="4C94D8" w:themeColor="text2" w:themeTint="80"/>
        </w:rPr>
        <w:t xml:space="preserve"> I did not get a response from Mr. Elliott, but Cameron Aldridge told me later that week that he was now running all events and I could serve on the committee. All corporate events are now the responsibility of Human Resources and have been removed from Marketing.</w:t>
      </w:r>
    </w:p>
    <w:p w14:paraId="6722477E" w14:textId="1353ACCB" w:rsidR="00A8432B" w:rsidRPr="00A8432B" w:rsidRDefault="00A8432B" w:rsidP="00A8432B">
      <w:pPr>
        <w:pStyle w:val="ListParagraph"/>
        <w:numPr>
          <w:ilvl w:val="0"/>
          <w:numId w:val="13"/>
        </w:numPr>
        <w:spacing w:after="160" w:line="278" w:lineRule="auto"/>
        <w:ind w:left="1080"/>
        <w:rPr>
          <w:color w:val="4C94D8" w:themeColor="text2" w:themeTint="80"/>
        </w:rPr>
      </w:pPr>
      <w:r w:rsidRPr="00A8432B">
        <w:rPr>
          <w:color w:val="4C94D8" w:themeColor="text2" w:themeTint="80"/>
        </w:rPr>
        <w:t>I encouraged a younger employee, Alex Weldon, to keep his portfolio and website current and be prepared in case conditions changed, which is consistent with protected concerted activity discussing job security and working conditions, not malicious rumor</w:t>
      </w:r>
      <w:r w:rsidRPr="00A8432B">
        <w:rPr>
          <w:color w:val="4C94D8" w:themeColor="text2" w:themeTint="80"/>
        </w:rPr>
        <w:noBreakHyphen/>
        <w:t>spreading.​</w:t>
      </w:r>
    </w:p>
    <w:p w14:paraId="2DF0DC1F" w14:textId="77777777" w:rsidR="00A8432B" w:rsidRDefault="00000000">
      <w:pPr>
        <w:pStyle w:val="ListParagraph"/>
        <w:numPr>
          <w:ilvl w:val="0"/>
          <w:numId w:val="3"/>
        </w:numPr>
        <w:spacing w:after="120" w:line="276" w:lineRule="auto"/>
      </w:pPr>
      <w:r>
        <w:t xml:space="preserve">Ms. Cape’s title and functional elevation. Respondent claims that Ms. Lord’s position “was not assumed by a younger employee.” However, Ms. Cape’s title—as reflected on </w:t>
      </w:r>
      <w:r>
        <w:lastRenderedPageBreak/>
        <w:t>the Company’s own website—is “Senior Graphic Designer and Brand Manager,” which encompasses core brand management functions that previously belonged to Ms. Lord. This is the younger-employee comparator at the center of the disparate treatment analysis, and Respondent has not addressed it.</w:t>
      </w:r>
      <w:r w:rsidR="0058488A">
        <w:t xml:space="preserve"> </w:t>
      </w:r>
    </w:p>
    <w:p w14:paraId="08E7EF91" w14:textId="0857DE1E" w:rsidR="00A97B9A" w:rsidRDefault="0058488A" w:rsidP="00A8432B">
      <w:pPr>
        <w:pStyle w:val="ListParagraph"/>
        <w:spacing w:after="120" w:line="276" w:lineRule="auto"/>
        <w:ind w:left="720"/>
      </w:pPr>
      <w:r w:rsidRPr="0058488A">
        <w:rPr>
          <w:b/>
          <w:bCs/>
          <w:color w:val="4C94D8" w:themeColor="text2" w:themeTint="80"/>
        </w:rPr>
        <w:t xml:space="preserve">On May 12, </w:t>
      </w:r>
      <w:proofErr w:type="gramStart"/>
      <w:r w:rsidRPr="0058488A">
        <w:rPr>
          <w:b/>
          <w:bCs/>
          <w:color w:val="4C94D8" w:themeColor="text2" w:themeTint="80"/>
        </w:rPr>
        <w:t>202</w:t>
      </w:r>
      <w:r>
        <w:rPr>
          <w:b/>
          <w:bCs/>
          <w:color w:val="4C94D8" w:themeColor="text2" w:themeTint="80"/>
        </w:rPr>
        <w:t>5</w:t>
      </w:r>
      <w:proofErr w:type="gramEnd"/>
      <w:r>
        <w:rPr>
          <w:b/>
          <w:bCs/>
          <w:color w:val="4C94D8" w:themeColor="text2" w:themeTint="80"/>
        </w:rPr>
        <w:t xml:space="preserve"> emails from Hayley Cape and Annette Wrenn show new position titles (and on the website)– the same day that Lord signs letter to accept move to Contender. Hayley Cape is promoted from Experiences and Services Coordinator to Sr. Graphic Designer and Brand Manager and Annette Wrenn is promoted from Support and Operations Manager to Director of Operations.</w:t>
      </w:r>
    </w:p>
    <w:p w14:paraId="44DE524F" w14:textId="4E7EAC93" w:rsidR="00A97B9A" w:rsidRDefault="00000000">
      <w:pPr>
        <w:pStyle w:val="ListParagraph"/>
        <w:numPr>
          <w:ilvl w:val="0"/>
          <w:numId w:val="3"/>
        </w:numPr>
        <w:spacing w:after="120" w:line="276" w:lineRule="auto"/>
      </w:pPr>
      <w:r>
        <w:t>The Broadstreet Global context. Ms. Lord’s preservation letter identifies communications and work product related to Broadstreet Global / Broad Street Global Management and a related SEC investigation as material to this case. Respondent’s position statement does not acknowledge this issue or confirm that those materials have been preserved.</w:t>
      </w:r>
      <w:r w:rsidR="0058488A">
        <w:t xml:space="preserve"> </w:t>
      </w:r>
    </w:p>
    <w:p w14:paraId="2008893A" w14:textId="77777777" w:rsidR="00A97B9A" w:rsidRDefault="00A97B9A"/>
    <w:p w14:paraId="02853876" w14:textId="77777777" w:rsidR="00A97B9A" w:rsidRDefault="00000000">
      <w:pPr>
        <w:spacing w:before="240" w:after="160" w:line="276" w:lineRule="auto"/>
      </w:pPr>
      <w:r>
        <w:rPr>
          <w:b/>
          <w:bCs/>
          <w:u w:val="single"/>
        </w:rPr>
        <w:t>VIII. CONCLUSION</w:t>
      </w:r>
    </w:p>
    <w:p w14:paraId="4BD3B7CC" w14:textId="77777777" w:rsidR="00A97B9A" w:rsidRDefault="00000000">
      <w:pPr>
        <w:spacing w:after="160" w:line="276" w:lineRule="auto"/>
        <w:jc w:val="both"/>
      </w:pPr>
      <w:r>
        <w:t>Respondent’s position statement is carefully written but legally thin. It relies on denial of the central age-based remark, a legally defunct “same protected class” argument, a narrow focus on two employment actions while ignoring a documented pattern of a dozen more, and a procedurally inadequate internal investigation that accepted accused parties’ own denials as dispositive.</w:t>
      </w:r>
    </w:p>
    <w:p w14:paraId="143ED80B" w14:textId="77777777" w:rsidR="00A97B9A" w:rsidRDefault="00000000">
      <w:pPr>
        <w:spacing w:after="160" w:line="276" w:lineRule="auto"/>
        <w:jc w:val="both"/>
      </w:pPr>
      <w:r>
        <w:t>The record, viewed in its totality, establishes that Elizabeth Lord—a 74-year-old employee with more than two years of demonstrated excellent performance—was systematically stripped of authority, excluded from strategic functions, denied basic resources, disciplined immediately following her protected discrimination complaint, and constructively demoted into a title with no practical function. Younger, less experienced employees received the substantive responsibilities taken from her. A senior executive made a direct age-based remark in her presence, in a meeting with the CEO and HR Director, on the day adverse action was taken.</w:t>
      </w:r>
    </w:p>
    <w:p w14:paraId="49F2DAB0" w14:textId="77777777" w:rsidR="00A97B9A" w:rsidRDefault="00000000">
      <w:pPr>
        <w:spacing w:after="160" w:line="276" w:lineRule="auto"/>
        <w:jc w:val="both"/>
      </w:pPr>
      <w:r>
        <w:t>Ms. Lord respectfully requests that the Commission proceed to a full investigation of this Charge and issue a cause determination. The evidence of age discrimination, hostile work environment, and retaliation under the ADEA is substantial and supported by the documentary record.</w:t>
      </w:r>
    </w:p>
    <w:p w14:paraId="04BC70BA" w14:textId="77777777" w:rsidR="00A97B9A" w:rsidRDefault="00A97B9A"/>
    <w:p w14:paraId="4C3D3A6E" w14:textId="77777777" w:rsidR="00A97B9A" w:rsidRDefault="00A97B9A"/>
    <w:p w14:paraId="63F763E7" w14:textId="77777777" w:rsidR="00A97B9A" w:rsidRDefault="00000000">
      <w:pPr>
        <w:spacing w:after="800"/>
      </w:pPr>
      <w:r>
        <w:t>Respectfully submitted,</w:t>
      </w:r>
    </w:p>
    <w:p w14:paraId="24C07BDF" w14:textId="77777777" w:rsidR="00A97B9A" w:rsidRDefault="00000000">
      <w:r>
        <w:t>Elizabeth Langworthy Lord</w:t>
      </w:r>
    </w:p>
    <w:p w14:paraId="075CE385" w14:textId="77777777" w:rsidR="00A97B9A" w:rsidRDefault="00000000">
      <w:r>
        <w:t>Charging Party, Pro Se</w:t>
      </w:r>
    </w:p>
    <w:p w14:paraId="11912010" w14:textId="77777777" w:rsidR="00A97B9A" w:rsidRDefault="00000000">
      <w:r>
        <w:t>109 Asteria Street</w:t>
      </w:r>
    </w:p>
    <w:p w14:paraId="0787C8E1" w14:textId="77777777" w:rsidR="00A97B9A" w:rsidRDefault="00000000">
      <w:r>
        <w:lastRenderedPageBreak/>
        <w:t>Greenville, SC 29617</w:t>
      </w:r>
    </w:p>
    <w:p w14:paraId="7F3202A7" w14:textId="77777777" w:rsidR="00A97B9A" w:rsidRDefault="00000000">
      <w:pPr>
        <w:spacing w:after="240"/>
      </w:pPr>
      <w:r>
        <w:t>(512) 808-7984</w:t>
      </w:r>
    </w:p>
    <w:sectPr w:rsidR="00A97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6F3"/>
    <w:multiLevelType w:val="hybridMultilevel"/>
    <w:tmpl w:val="EFFAED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60E3D"/>
    <w:multiLevelType w:val="hybridMultilevel"/>
    <w:tmpl w:val="C33C5652"/>
    <w:lvl w:ilvl="0" w:tplc="C99A8E0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991D76"/>
    <w:multiLevelType w:val="hybridMultilevel"/>
    <w:tmpl w:val="1810658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675F69"/>
    <w:multiLevelType w:val="multilevel"/>
    <w:tmpl w:val="F39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D152D9"/>
    <w:multiLevelType w:val="multilevel"/>
    <w:tmpl w:val="280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D8112B"/>
    <w:multiLevelType w:val="multilevel"/>
    <w:tmpl w:val="AD2E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F3061B"/>
    <w:multiLevelType w:val="hybridMultilevel"/>
    <w:tmpl w:val="BB8EC68E"/>
    <w:lvl w:ilvl="0" w:tplc="B0426F6E">
      <w:start w:val="1"/>
      <w:numFmt w:val="decimal"/>
      <w:lvlText w:val="%1."/>
      <w:lvlJc w:val="left"/>
      <w:pPr>
        <w:ind w:left="720" w:hanging="360"/>
      </w:pPr>
    </w:lvl>
    <w:lvl w:ilvl="1" w:tplc="40489238">
      <w:numFmt w:val="decimal"/>
      <w:lvlText w:val=""/>
      <w:lvlJc w:val="left"/>
    </w:lvl>
    <w:lvl w:ilvl="2" w:tplc="EF343E90">
      <w:numFmt w:val="decimal"/>
      <w:lvlText w:val=""/>
      <w:lvlJc w:val="left"/>
    </w:lvl>
    <w:lvl w:ilvl="3" w:tplc="A9E2C002">
      <w:numFmt w:val="decimal"/>
      <w:lvlText w:val=""/>
      <w:lvlJc w:val="left"/>
    </w:lvl>
    <w:lvl w:ilvl="4" w:tplc="C310DEE4">
      <w:numFmt w:val="decimal"/>
      <w:lvlText w:val=""/>
      <w:lvlJc w:val="left"/>
    </w:lvl>
    <w:lvl w:ilvl="5" w:tplc="62BC3170">
      <w:numFmt w:val="decimal"/>
      <w:lvlText w:val=""/>
      <w:lvlJc w:val="left"/>
    </w:lvl>
    <w:lvl w:ilvl="6" w:tplc="F21009D6">
      <w:numFmt w:val="decimal"/>
      <w:lvlText w:val=""/>
      <w:lvlJc w:val="left"/>
    </w:lvl>
    <w:lvl w:ilvl="7" w:tplc="A928FED6">
      <w:numFmt w:val="decimal"/>
      <w:lvlText w:val=""/>
      <w:lvlJc w:val="left"/>
    </w:lvl>
    <w:lvl w:ilvl="8" w:tplc="F3CEC766">
      <w:numFmt w:val="decimal"/>
      <w:lvlText w:val=""/>
      <w:lvlJc w:val="left"/>
    </w:lvl>
  </w:abstractNum>
  <w:abstractNum w:abstractNumId="7" w15:restartNumberingAfterBreak="0">
    <w:nsid w:val="3EE04BE7"/>
    <w:multiLevelType w:val="hybridMultilevel"/>
    <w:tmpl w:val="B464DC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B4D0DFA"/>
    <w:multiLevelType w:val="multilevel"/>
    <w:tmpl w:val="E5AEC70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9" w15:restartNumberingAfterBreak="0">
    <w:nsid w:val="53CD3468"/>
    <w:multiLevelType w:val="hybridMultilevel"/>
    <w:tmpl w:val="6CD22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C97BFA"/>
    <w:multiLevelType w:val="hybridMultilevel"/>
    <w:tmpl w:val="550AED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CF4B09"/>
    <w:multiLevelType w:val="multilevel"/>
    <w:tmpl w:val="BF42BF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5D432D70"/>
    <w:multiLevelType w:val="multilevel"/>
    <w:tmpl w:val="A95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5F6CBA"/>
    <w:multiLevelType w:val="hybridMultilevel"/>
    <w:tmpl w:val="F6D8769A"/>
    <w:lvl w:ilvl="0" w:tplc="8CB693E2">
      <w:start w:val="1"/>
      <w:numFmt w:val="bullet"/>
      <w:lvlText w:val="•"/>
      <w:lvlJc w:val="left"/>
      <w:pPr>
        <w:ind w:left="720" w:hanging="360"/>
      </w:pPr>
    </w:lvl>
    <w:lvl w:ilvl="1" w:tplc="CD5CD59C">
      <w:numFmt w:val="decimal"/>
      <w:lvlText w:val=""/>
      <w:lvlJc w:val="left"/>
    </w:lvl>
    <w:lvl w:ilvl="2" w:tplc="40D0BD52">
      <w:numFmt w:val="decimal"/>
      <w:lvlText w:val=""/>
      <w:lvlJc w:val="left"/>
    </w:lvl>
    <w:lvl w:ilvl="3" w:tplc="951CF50C">
      <w:numFmt w:val="decimal"/>
      <w:lvlText w:val=""/>
      <w:lvlJc w:val="left"/>
    </w:lvl>
    <w:lvl w:ilvl="4" w:tplc="7C622E18">
      <w:numFmt w:val="decimal"/>
      <w:lvlText w:val=""/>
      <w:lvlJc w:val="left"/>
    </w:lvl>
    <w:lvl w:ilvl="5" w:tplc="CBB09450">
      <w:numFmt w:val="decimal"/>
      <w:lvlText w:val=""/>
      <w:lvlJc w:val="left"/>
    </w:lvl>
    <w:lvl w:ilvl="6" w:tplc="488EC7E2">
      <w:numFmt w:val="decimal"/>
      <w:lvlText w:val=""/>
      <w:lvlJc w:val="left"/>
    </w:lvl>
    <w:lvl w:ilvl="7" w:tplc="D60E80D8">
      <w:numFmt w:val="decimal"/>
      <w:lvlText w:val=""/>
      <w:lvlJc w:val="left"/>
    </w:lvl>
    <w:lvl w:ilvl="8" w:tplc="79C85996">
      <w:numFmt w:val="decimal"/>
      <w:lvlText w:val=""/>
      <w:lvlJc w:val="left"/>
    </w:lvl>
  </w:abstractNum>
  <w:abstractNum w:abstractNumId="14" w15:restartNumberingAfterBreak="0">
    <w:nsid w:val="66372733"/>
    <w:multiLevelType w:val="multilevel"/>
    <w:tmpl w:val="2266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EC7CC3"/>
    <w:multiLevelType w:val="multilevel"/>
    <w:tmpl w:val="29AE865A"/>
    <w:lvl w:ilvl="0">
      <w:start w:val="1"/>
      <w:numFmt w:val="bullet"/>
      <w:lvlText w:val=""/>
      <w:lvlJc w:val="left"/>
      <w:pPr>
        <w:tabs>
          <w:tab w:val="num" w:pos="1080"/>
        </w:tabs>
        <w:ind w:left="1080" w:hanging="360"/>
      </w:pPr>
      <w:rPr>
        <w:rFonts w:ascii="Symbol" w:hAnsi="Symbol" w:hint="default"/>
        <w:sz w:val="20"/>
      </w:rPr>
    </w:lvl>
    <w:lvl w:ilvl="1">
      <w:start w:val="3"/>
      <w:numFmt w:val="upp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7D5D2C4D"/>
    <w:multiLevelType w:val="hybridMultilevel"/>
    <w:tmpl w:val="A7446DC0"/>
    <w:lvl w:ilvl="0" w:tplc="D228C15C">
      <w:start w:val="1"/>
      <w:numFmt w:val="bullet"/>
      <w:lvlText w:val="●"/>
      <w:lvlJc w:val="left"/>
      <w:pPr>
        <w:ind w:left="720" w:hanging="360"/>
      </w:pPr>
    </w:lvl>
    <w:lvl w:ilvl="1" w:tplc="7A9C53D0">
      <w:start w:val="1"/>
      <w:numFmt w:val="bullet"/>
      <w:lvlText w:val="○"/>
      <w:lvlJc w:val="left"/>
      <w:pPr>
        <w:ind w:left="1440" w:hanging="360"/>
      </w:pPr>
    </w:lvl>
    <w:lvl w:ilvl="2" w:tplc="C58415DA">
      <w:start w:val="1"/>
      <w:numFmt w:val="bullet"/>
      <w:lvlText w:val="■"/>
      <w:lvlJc w:val="left"/>
      <w:pPr>
        <w:ind w:left="2160" w:hanging="360"/>
      </w:pPr>
    </w:lvl>
    <w:lvl w:ilvl="3" w:tplc="998ABDA4">
      <w:start w:val="1"/>
      <w:numFmt w:val="bullet"/>
      <w:lvlText w:val="●"/>
      <w:lvlJc w:val="left"/>
      <w:pPr>
        <w:ind w:left="2880" w:hanging="360"/>
      </w:pPr>
    </w:lvl>
    <w:lvl w:ilvl="4" w:tplc="E4D2D72C">
      <w:start w:val="1"/>
      <w:numFmt w:val="bullet"/>
      <w:lvlText w:val="○"/>
      <w:lvlJc w:val="left"/>
      <w:pPr>
        <w:ind w:left="3600" w:hanging="360"/>
      </w:pPr>
    </w:lvl>
    <w:lvl w:ilvl="5" w:tplc="2F346CEE">
      <w:start w:val="1"/>
      <w:numFmt w:val="bullet"/>
      <w:lvlText w:val="■"/>
      <w:lvlJc w:val="left"/>
      <w:pPr>
        <w:ind w:left="4320" w:hanging="360"/>
      </w:pPr>
    </w:lvl>
    <w:lvl w:ilvl="6" w:tplc="4718F3FC">
      <w:start w:val="1"/>
      <w:numFmt w:val="bullet"/>
      <w:lvlText w:val="●"/>
      <w:lvlJc w:val="left"/>
      <w:pPr>
        <w:ind w:left="5040" w:hanging="360"/>
      </w:pPr>
    </w:lvl>
    <w:lvl w:ilvl="7" w:tplc="982E9A4A">
      <w:start w:val="1"/>
      <w:numFmt w:val="bullet"/>
      <w:lvlText w:val="●"/>
      <w:lvlJc w:val="left"/>
      <w:pPr>
        <w:ind w:left="5760" w:hanging="360"/>
      </w:pPr>
    </w:lvl>
    <w:lvl w:ilvl="8" w:tplc="B810E798">
      <w:start w:val="1"/>
      <w:numFmt w:val="bullet"/>
      <w:lvlText w:val="●"/>
      <w:lvlJc w:val="left"/>
      <w:pPr>
        <w:ind w:left="6480" w:hanging="360"/>
      </w:pPr>
    </w:lvl>
  </w:abstractNum>
  <w:num w:numId="1" w16cid:durableId="1796365517">
    <w:abstractNumId w:val="16"/>
    <w:lvlOverride w:ilvl="0">
      <w:startOverride w:val="1"/>
    </w:lvlOverride>
  </w:num>
  <w:num w:numId="2" w16cid:durableId="1783068419">
    <w:abstractNumId w:val="13"/>
    <w:lvlOverride w:ilvl="0">
      <w:startOverride w:val="1"/>
    </w:lvlOverride>
  </w:num>
  <w:num w:numId="3" w16cid:durableId="156969735">
    <w:abstractNumId w:val="6"/>
    <w:lvlOverride w:ilvl="0">
      <w:startOverride w:val="1"/>
    </w:lvlOverride>
  </w:num>
  <w:num w:numId="4" w16cid:durableId="2031376753">
    <w:abstractNumId w:val="2"/>
  </w:num>
  <w:num w:numId="5" w16cid:durableId="2047832282">
    <w:abstractNumId w:val="14"/>
  </w:num>
  <w:num w:numId="6" w16cid:durableId="1471249641">
    <w:abstractNumId w:val="3"/>
  </w:num>
  <w:num w:numId="7" w16cid:durableId="197937192">
    <w:abstractNumId w:val="5"/>
  </w:num>
  <w:num w:numId="8" w16cid:durableId="1744377839">
    <w:abstractNumId w:val="1"/>
  </w:num>
  <w:num w:numId="9" w16cid:durableId="261030121">
    <w:abstractNumId w:val="0"/>
  </w:num>
  <w:num w:numId="10" w16cid:durableId="1835098473">
    <w:abstractNumId w:val="7"/>
  </w:num>
  <w:num w:numId="11" w16cid:durableId="1056663991">
    <w:abstractNumId w:val="11"/>
  </w:num>
  <w:num w:numId="12" w16cid:durableId="1877622426">
    <w:abstractNumId w:val="15"/>
  </w:num>
  <w:num w:numId="13" w16cid:durableId="868377078">
    <w:abstractNumId w:val="8"/>
  </w:num>
  <w:num w:numId="14" w16cid:durableId="1476335173">
    <w:abstractNumId w:val="12"/>
  </w:num>
  <w:num w:numId="15" w16cid:durableId="756711297">
    <w:abstractNumId w:val="9"/>
  </w:num>
  <w:num w:numId="16" w16cid:durableId="602424418">
    <w:abstractNumId w:val="10"/>
  </w:num>
  <w:num w:numId="17" w16cid:durableId="2004889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B9A"/>
    <w:rsid w:val="00422500"/>
    <w:rsid w:val="0058488A"/>
    <w:rsid w:val="00590705"/>
    <w:rsid w:val="00674DE5"/>
    <w:rsid w:val="007D2948"/>
    <w:rsid w:val="00810626"/>
    <w:rsid w:val="00A8432B"/>
    <w:rsid w:val="00A97B9A"/>
    <w:rsid w:val="00C70883"/>
    <w:rsid w:val="00E73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D9CF0"/>
  <w15:docId w15:val="{61595676-AB40-B341-9B4C-41D53AB95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3493</Words>
  <Characters>19911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Lord</cp:lastModifiedBy>
  <cp:revision>2</cp:revision>
  <dcterms:created xsi:type="dcterms:W3CDTF">2026-03-13T15:24:00Z</dcterms:created>
  <dcterms:modified xsi:type="dcterms:W3CDTF">2026-03-13T15:24:00Z</dcterms:modified>
</cp:coreProperties>
</file>