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1EFF" w14:textId="77777777" w:rsidR="00112B92" w:rsidRDefault="00112B92" w:rsidP="00112B92">
      <w:r>
        <w:t>Elizabeth Langworthy Lord</w:t>
      </w:r>
    </w:p>
    <w:p w14:paraId="592DC5C5" w14:textId="77777777" w:rsidR="00112B92" w:rsidRDefault="00112B92" w:rsidP="00112B92">
      <w:r>
        <w:t>109 Asteria Street</w:t>
      </w:r>
    </w:p>
    <w:p w14:paraId="4C090C0E" w14:textId="77777777" w:rsidR="00112B92" w:rsidRDefault="00112B92" w:rsidP="00112B92">
      <w:r>
        <w:t>Greenville, SC 29617</w:t>
      </w:r>
    </w:p>
    <w:p w14:paraId="122047BC" w14:textId="77777777" w:rsidR="00112B92" w:rsidRDefault="00112B92" w:rsidP="00112B92">
      <w:pPr>
        <w:spacing w:after="240"/>
      </w:pPr>
      <w:r>
        <w:t>Phone: (512) 808-7984</w:t>
      </w:r>
    </w:p>
    <w:p w14:paraId="7B6CB82E" w14:textId="77777777" w:rsidR="00112B92" w:rsidRDefault="00112B92" w:rsidP="00112B92">
      <w:pPr>
        <w:spacing w:after="240"/>
      </w:pPr>
      <w:r>
        <w:t>March 10, 2026</w:t>
      </w:r>
    </w:p>
    <w:p w14:paraId="14E2C875" w14:textId="77777777" w:rsidR="00112B92" w:rsidRDefault="00112B92" w:rsidP="00112B92">
      <w:pPr>
        <w:spacing w:after="240"/>
      </w:pPr>
      <w:r>
        <w:rPr>
          <w:b/>
          <w:bCs/>
        </w:rPr>
        <w:t>VIA EEOC RESPONDENT PORTAL</w:t>
      </w:r>
    </w:p>
    <w:p w14:paraId="5B30DAD6" w14:textId="77777777" w:rsidR="00112B92" w:rsidRDefault="00112B92" w:rsidP="00112B92">
      <w:r>
        <w:t>Jacquie Jones-Mounts</w:t>
      </w:r>
    </w:p>
    <w:p w14:paraId="7C4835A1" w14:textId="77777777" w:rsidR="00112B92" w:rsidRDefault="00112B92" w:rsidP="00112B92">
      <w:r>
        <w:t>Acting Local Director</w:t>
      </w:r>
    </w:p>
    <w:p w14:paraId="793E6549" w14:textId="77777777" w:rsidR="00112B92" w:rsidRDefault="00112B92" w:rsidP="00112B92">
      <w:r>
        <w:t>Greenville Local Office</w:t>
      </w:r>
    </w:p>
    <w:p w14:paraId="69C08ED6" w14:textId="77777777" w:rsidR="00112B92" w:rsidRDefault="00112B92" w:rsidP="00112B92">
      <w:pPr>
        <w:spacing w:after="240"/>
      </w:pPr>
      <w:r>
        <w:t>United States Equal Employment Opportunity Commission</w:t>
      </w:r>
    </w:p>
    <w:p w14:paraId="1B34A88C" w14:textId="77777777" w:rsidR="00112B92" w:rsidRDefault="00112B92" w:rsidP="00112B92">
      <w:r>
        <w:rPr>
          <w:b/>
          <w:bCs/>
        </w:rPr>
        <w:t>Re: Charging Party’s Rebuttal to Respondent’s Position Statement</w:t>
      </w:r>
    </w:p>
    <w:p w14:paraId="4E32BF8D" w14:textId="77777777" w:rsidR="00112B92" w:rsidRDefault="00112B92" w:rsidP="00112B92">
      <w:r>
        <w:rPr>
          <w:i/>
          <w:iCs/>
        </w:rPr>
        <w:t>Complainant: Elizabeth Lord</w:t>
      </w:r>
    </w:p>
    <w:p w14:paraId="0BEB6303" w14:textId="77777777" w:rsidR="00112B92" w:rsidRDefault="00112B92" w:rsidP="00112B92">
      <w:r>
        <w:rPr>
          <w:i/>
          <w:iCs/>
        </w:rPr>
        <w:t>Respondent: Contender Development, Inc. d/b/a Contender America</w:t>
      </w:r>
    </w:p>
    <w:p w14:paraId="604214F2" w14:textId="77777777" w:rsidR="00112B92" w:rsidRDefault="00112B92" w:rsidP="00112B92">
      <w:pPr>
        <w:spacing w:after="240"/>
      </w:pPr>
      <w:r>
        <w:rPr>
          <w:i/>
          <w:iCs/>
        </w:rPr>
        <w:t>EEOC Charge No.: 436-2026-00670</w:t>
      </w:r>
    </w:p>
    <w:p w14:paraId="622A8438" w14:textId="77777777" w:rsidR="00112B92" w:rsidRDefault="00112B92" w:rsidP="00112B92">
      <w:pPr>
        <w:spacing w:after="200"/>
      </w:pPr>
      <w:r>
        <w:t>Dear Ms. Jones-Mounts:</w:t>
      </w:r>
    </w:p>
    <w:p w14:paraId="141F3F4C" w14:textId="77777777" w:rsidR="00112B92" w:rsidRDefault="00112B92" w:rsidP="00112B92">
      <w:pPr>
        <w:spacing w:after="160" w:line="276" w:lineRule="auto"/>
        <w:jc w:val="both"/>
      </w:pPr>
      <w:r>
        <w:t>Charging Party Elizabeth Lord respectfully submits this rebuttal to the Position Statement filed by Respondent Contender Development, Inc. d/b/a Contender America (“Contender” or “Company”) through its counsel, Fisher &amp; Phillips LLP, on February 16, 2026. As set forth below, Respondent’s response is characterized by selective framing, factual omission, and legal overstatement. When the record is considered in its totality—as the ADEA requires—the evidence establishes a prima facie case of age discrimination, hostile work environment, and retaliation.</w:t>
      </w:r>
    </w:p>
    <w:p w14:paraId="0DCC101E" w14:textId="77777777" w:rsidR="00112B92" w:rsidRDefault="00112B92" w:rsidP="00112B92"/>
    <w:p w14:paraId="689309A4" w14:textId="77777777" w:rsidR="00112B92" w:rsidRDefault="00112B92" w:rsidP="00112B92">
      <w:pPr>
        <w:spacing w:before="240" w:after="160" w:line="276" w:lineRule="auto"/>
      </w:pPr>
      <w:r>
        <w:rPr>
          <w:b/>
          <w:bCs/>
          <w:u w:val="single"/>
        </w:rPr>
        <w:t>I. PRELIMINARY OBSERVATIONS: THE VOLUME OF EVIDENCE IS NOT A WEAKNESS</w:t>
      </w:r>
    </w:p>
    <w:p w14:paraId="6BE5C200" w14:textId="77777777" w:rsidR="00112B92" w:rsidRDefault="00112B92" w:rsidP="00112B92">
      <w:pPr>
        <w:spacing w:after="16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and retaliation following protected activity—is more probative of discriminatory intent than any single incident in isolation. The volume of documented grievances is not evidence of frivolousness. It is evidence of a pattern.</w:t>
      </w:r>
    </w:p>
    <w:p w14:paraId="685069A4" w14:textId="77777777" w:rsidR="00112B92" w:rsidRDefault="00112B92" w:rsidP="00112B92">
      <w:pPr>
        <w:spacing w:after="160" w:line="276" w:lineRule="auto"/>
        <w:jc w:val="both"/>
      </w:pPr>
      <w:r>
        <w:t>Further, the proper question before this Commission is not whether Ms. Lord has too many complaints. The proper question is whether those complaints have merit. The answer, as the following analysis demonstrates, is yes.</w:t>
      </w:r>
    </w:p>
    <w:p w14:paraId="6FF1AB24" w14:textId="77777777" w:rsidR="00112B92" w:rsidRDefault="00112B92" w:rsidP="00112B92"/>
    <w:p w14:paraId="253F79DE" w14:textId="77777777" w:rsidR="00112B92" w:rsidRDefault="00112B92" w:rsidP="00112B92">
      <w:pPr>
        <w:spacing w:before="240" w:after="160" w:line="276" w:lineRule="auto"/>
      </w:pPr>
      <w:r>
        <w:rPr>
          <w:b/>
          <w:bCs/>
          <w:u w:val="single"/>
        </w:rPr>
        <w:lastRenderedPageBreak/>
        <w:t>II. REBUTTAL TO RESPONDENT’S CHARACTERIZATION OF MS. LORD’S EMPLOYMENT HISTORY</w:t>
      </w:r>
    </w:p>
    <w:p w14:paraId="0F3301CF" w14:textId="77777777" w:rsidR="00112B92" w:rsidRDefault="00112B92" w:rsidP="00112B92">
      <w:pPr>
        <w:spacing w:before="180" w:after="120" w:line="276" w:lineRule="auto"/>
      </w:pPr>
      <w:r>
        <w:rPr>
          <w:b/>
          <w:bCs/>
        </w:rPr>
        <w:t xml:space="preserve">A. The Transition to Contender Was a Constructive Demotion, </w:t>
      </w:r>
      <w:proofErr w:type="gramStart"/>
      <w:r>
        <w:rPr>
          <w:b/>
          <w:bCs/>
        </w:rPr>
        <w:t>Not</w:t>
      </w:r>
      <w:proofErr w:type="gramEnd"/>
      <w:r>
        <w:rPr>
          <w:b/>
          <w:bCs/>
        </w:rPr>
        <w:t xml:space="preserve"> a Lateral Move</w:t>
      </w:r>
    </w:p>
    <w:p w14:paraId="32D9129B" w14:textId="77777777" w:rsidR="00112B92" w:rsidRDefault="00112B92" w:rsidP="00112B92">
      <w:pPr>
        <w:spacing w:after="160" w:line="276" w:lineRule="auto"/>
        <w:jc w:val="both"/>
      </w:pPr>
      <w:r>
        <w:t xml:space="preserve">Respondent claims that Ms. Lord’s transition from </w:t>
      </w:r>
      <w:proofErr w:type="spellStart"/>
      <w:r>
        <w:t>Blackstream</w:t>
      </w:r>
      <w:proofErr w:type="spellEnd"/>
      <w:r>
        <w:t xml:space="preserve"> to Contender in May 2025 involved no change in compensation, duties, or conditions of employment. This characterization is misleading and incomplete.</w:t>
      </w:r>
    </w:p>
    <w:p w14:paraId="4CAB84D2" w14:textId="77777777" w:rsidR="00112B92" w:rsidRDefault="00112B92" w:rsidP="00112B92">
      <w:pPr>
        <w:spacing w:after="160" w:line="276" w:lineRule="auto"/>
        <w:jc w:val="both"/>
      </w:pPr>
      <w:r>
        <w:t>The record establishes that the transition was preceded by a systematic stripping of Ms. Lord’s authority. On March 13, 2025—six weeks before the transition—HR Director Cameron Aldridge issued a written memo reaffirming Ms. Lord’s supervisory authority over Haley Cape and Alex Weldon, and her control over the marketing budget. Six days later, on March 19, 2025, without notice and without HR present, CEO Michael Mumma verbally revoked that authority entirely, removing both subordinates from her supervision and transferring all social media responsibilities to Cape and Annette Wrenn. This sequence—reaffirmation followed immediately by revocation—is not consistent with a legitimate, pre-planned organizational restructuring. It is consistent with retaliation.</w:t>
      </w:r>
    </w:p>
    <w:p w14:paraId="6B135530" w14:textId="77777777" w:rsidR="00112B92" w:rsidRDefault="00112B92" w:rsidP="00112B92">
      <w:pPr>
        <w:spacing w:after="160" w:line="276" w:lineRule="auto"/>
        <w:jc w:val="both"/>
      </w:pPr>
      <w:r>
        <w:t>By May 1, 2025, Ms. Lord transitioned to a “Director of Marketing” role at Contender that, by the Company’s own account, had no dedicated staff and no budget that ever materialized. Her title remained the same; her function as a director did not. A director title without staff, without budget, without decision-making authority, and subject to a 90.3% non-response rate on work submissions—documented across 31 submissions between May and November 2025—is not the same role. It is a constructive demotion.</w:t>
      </w:r>
    </w:p>
    <w:p w14:paraId="5FB7F7AA" w14:textId="77777777" w:rsidR="00112B92" w:rsidRDefault="00112B92" w:rsidP="00112B92">
      <w:pPr>
        <w:spacing w:after="160" w:line="276" w:lineRule="auto"/>
        <w:jc w:val="both"/>
      </w:pPr>
      <w:r>
        <w:t xml:space="preserve">Respondent’s assertion that her role at </w:t>
      </w:r>
      <w:proofErr w:type="spellStart"/>
      <w:r>
        <w:t>Blackstream</w:t>
      </w:r>
      <w:proofErr w:type="spellEnd"/>
      <w:r>
        <w:t xml:space="preserve"> “was not assumed by a younger employee” is a deliberate misdirection. The relevant comparators are not who filled her exact title at </w:t>
      </w:r>
      <w:proofErr w:type="spellStart"/>
      <w:r>
        <w:t>Blackstream</w:t>
      </w:r>
      <w:proofErr w:type="spellEnd"/>
      <w:r>
        <w:t>. The relevant comparators are the younger employees—Ms. Cape (age 28) and Ms. Wrenn (approximately age 30)—who received the substantive marketing responsibilities, strategic project authority, and management visibility that were taken from Ms. Lord.</w:t>
      </w:r>
    </w:p>
    <w:p w14:paraId="2FA51DE2" w14:textId="77777777" w:rsidR="00112B92" w:rsidRDefault="00112B92" w:rsidP="00112B92">
      <w:pPr>
        <w:spacing w:before="180" w:after="120" w:line="276" w:lineRule="auto"/>
      </w:pPr>
      <w:r>
        <w:rPr>
          <w:b/>
          <w:bCs/>
        </w:rPr>
        <w:t>B. Respondent’s Characterization of the Offer Letter Dispute Reflects Poorly on the Company</w:t>
      </w:r>
    </w:p>
    <w:p w14:paraId="6C783ADE" w14:textId="77777777" w:rsidR="00112B92" w:rsidRDefault="00112B92" w:rsidP="00112B92">
      <w:pPr>
        <w:spacing w:after="160" w:line="276" w:lineRule="auto"/>
        <w:jc w:val="both"/>
      </w:pPr>
      <w:r>
        <w:t>Respondent notes that Ms. Lord refused to sign the standard offer letter and employee handbook acknowledgment, implying this reflects bad faith on her part. To the contrary: Ms. Lord objected to a non-compete provision that the Company then conceded was inappropriate and removed. Her refusal to sign, absent that correction, was legally reasonable. That the Company required a 74-year-old marketing professional to sign a non-compete at all raises its own questions about the legitimacy of the transition.</w:t>
      </w:r>
    </w:p>
    <w:p w14:paraId="5B7759B2" w14:textId="77777777" w:rsidR="00112B92" w:rsidRDefault="00112B92" w:rsidP="00112B92"/>
    <w:p w14:paraId="0CB8F608" w14:textId="77777777" w:rsidR="00112B92" w:rsidRDefault="00112B92" w:rsidP="00112B92">
      <w:pPr>
        <w:spacing w:before="240" w:after="160" w:line="276" w:lineRule="auto"/>
      </w:pPr>
      <w:r>
        <w:rPr>
          <w:b/>
          <w:bCs/>
          <w:u w:val="single"/>
        </w:rPr>
        <w:lastRenderedPageBreak/>
        <w:t>III. REBUTTAL TO RESPONDENT’S “NO ADVERSE EMPLOYMENT ACTION” DEFENSE</w:t>
      </w:r>
    </w:p>
    <w:p w14:paraId="2EC347C1" w14:textId="77777777" w:rsidR="00112B92" w:rsidRDefault="00112B92" w:rsidP="00112B92">
      <w:pPr>
        <w:spacing w:before="180" w:after="120" w:line="276" w:lineRule="auto"/>
      </w:pPr>
      <w:r>
        <w:rPr>
          <w:b/>
          <w:bCs/>
        </w:rPr>
        <w:t>A. The Verbal Warning Was Retaliatory in Nature and Timing</w:t>
      </w:r>
    </w:p>
    <w:p w14:paraId="14A48F75" w14:textId="77777777" w:rsidR="00112B92" w:rsidRDefault="00112B92" w:rsidP="00112B92">
      <w:pPr>
        <w:spacing w:after="160" w:line="276" w:lineRule="auto"/>
        <w:jc w:val="both"/>
      </w:pPr>
      <w:r>
        <w:t xml:space="preserve">Respondent characterizes the December 8, </w:t>
      </w:r>
      <w:proofErr w:type="gramStart"/>
      <w:r>
        <w:t>2025</w:t>
      </w:r>
      <w:proofErr w:type="gramEnd"/>
      <w:r>
        <w:t xml:space="preserve"> verbal warning as a routine counseling with no employment impact. The timing, context, and asymmetric application of this discipline tell a different story.</w:t>
      </w:r>
    </w:p>
    <w:p w14:paraId="082034E7" w14:textId="77777777" w:rsidR="00112B92" w:rsidRDefault="00112B92" w:rsidP="00112B92">
      <w:pPr>
        <w:spacing w:after="160" w:line="276" w:lineRule="auto"/>
        <w:jc w:val="both"/>
      </w:pPr>
      <w:r>
        <w:t>Ms. Lord filed her internal discrimination complaint on November 14, 2025. The verbal warning was issued approximately three weeks later, after the Company learned of her allegedly false statements about payroll. Courts have consistently held that temporal proximity between protected activity and adverse action is evidence of retaliatory motive. Three weeks is well within the temporal range courts have found sufficient to establish a causal link.</w:t>
      </w:r>
    </w:p>
    <w:p w14:paraId="569A3AA3" w14:textId="77777777" w:rsidR="00112B92" w:rsidRDefault="00112B92" w:rsidP="00112B92">
      <w:pPr>
        <w:spacing w:after="160" w:line="276" w:lineRule="auto"/>
        <w:jc w:val="both"/>
      </w:pPr>
      <w:r>
        <w:t>More importantly, Respondent’s own position statement concedes that rumors about the Company’s ability to make payroll were circulating inside the Company as early as February 2025—well before Ms. Lord’s alleged comments. The Company’s own timeline references mid-February 2025 whispers that companies would not meet payroll after April. Ms. Lord’s comments, made in the fall of 2025, were consistent with information that had been circulating internally for months. Her “false statement” was, at worst, the repetition of a rumor that the Company itself had permitted to circulate unchecked for nearly a year. Disciplining her for it—immediately following her discrimination complaint—while taking no such action against the original sources of those rumors is pretextual.</w:t>
      </w:r>
    </w:p>
    <w:p w14:paraId="75C86C4F" w14:textId="77777777" w:rsidR="00112B92" w:rsidRDefault="00112B92" w:rsidP="00112B92">
      <w:pPr>
        <w:spacing w:after="160" w:line="276" w:lineRule="auto"/>
        <w:jc w:val="both"/>
      </w:pPr>
      <w:r>
        <w:t xml:space="preserve">Furthermore, the Company’s treatment of Stuart Owen confirms the pretext. Respondent acknowledges that Owen made similar comments about the Company’s financial status. Yet Owen, who is 34 years old and substantially younger than Ms. Lord, was not disciplined until after Ms. Lord reported him, and only after independent confirmation of his comments. The asymmetry in the speed, severity, and evidentiary threshold applied to discipline Ms. Lord versus Mr. Owen is direct evidence of disparate treatment </w:t>
      </w:r>
      <w:proofErr w:type="gramStart"/>
      <w:r>
        <w:t>on the basis of</w:t>
      </w:r>
      <w:proofErr w:type="gramEnd"/>
      <w:r>
        <w:t xml:space="preserve"> age.</w:t>
      </w:r>
    </w:p>
    <w:p w14:paraId="24EFFE86" w14:textId="77777777" w:rsidR="00112B92" w:rsidRDefault="00112B92" w:rsidP="00112B92">
      <w:pPr>
        <w:spacing w:before="180" w:after="120" w:line="276" w:lineRule="auto"/>
      </w:pPr>
      <w:r>
        <w:rPr>
          <w:b/>
          <w:bCs/>
        </w:rPr>
        <w:t>B. The “Excellent Performance Review” Argument Backfires</w:t>
      </w:r>
    </w:p>
    <w:p w14:paraId="26041CD8" w14:textId="77777777" w:rsidR="00112B92" w:rsidRDefault="00112B92" w:rsidP="00112B92">
      <w:pPr>
        <w:spacing w:after="160" w:line="276" w:lineRule="auto"/>
        <w:jc w:val="both"/>
      </w:pPr>
      <w:r>
        <w:t>Respondent makes much of the fact that Thomas Phillips gave Ms. Lord an “excellent” performance rating and recommended a 5% raise in December 2025. This argument, however, undermines rather than supports Respondent’s defense.</w:t>
      </w:r>
    </w:p>
    <w:p w14:paraId="06D34CDC" w14:textId="77777777" w:rsidR="00112B92" w:rsidRDefault="00112B92" w:rsidP="00112B92">
      <w:pPr>
        <w:spacing w:after="160" w:line="276" w:lineRule="auto"/>
        <w:jc w:val="both"/>
      </w:pPr>
      <w:r>
        <w:t>If Ms. Lord’s performance was genuinely excellent in every category, then the systematic removal of her authority, exclusion from strategic meetings, denial of office space, withholding of budget, and 90.3% non-response to her work submissions cannot be explained by legitimate performance concerns. A positive performance review eliminates poor performance as a non-discriminatory justification for the other adverse actions. It does not negate those actions.</w:t>
      </w:r>
    </w:p>
    <w:p w14:paraId="733844D9" w14:textId="77777777" w:rsidR="00112B92" w:rsidRDefault="00112B92" w:rsidP="00112B92">
      <w:pPr>
        <w:spacing w:after="160" w:line="276" w:lineRule="auto"/>
        <w:jc w:val="both"/>
      </w:pPr>
      <w:r>
        <w:lastRenderedPageBreak/>
        <w:t>Moreover, a positive performance review does not, as a matter of law, insulate an employer from retaliation claims. Retaliation claims turn on whether adverse actions followed protected activity—not on whether the employer also took some positive actions concurrently. Both things can be true: Ms. Lord can have received an excellent evaluation and simultaneously have been subjected to retaliatory discipline and constructive demotion.</w:t>
      </w:r>
    </w:p>
    <w:p w14:paraId="50B62A1F" w14:textId="77777777" w:rsidR="00112B92" w:rsidRDefault="00112B92" w:rsidP="00112B92">
      <w:pPr>
        <w:spacing w:before="180" w:after="120" w:line="276" w:lineRule="auto"/>
      </w:pPr>
      <w:r>
        <w:rPr>
          <w:b/>
          <w:bCs/>
        </w:rPr>
        <w:t>C. The Broader Pattern of Adverse Actions Respondent Fails to Address</w:t>
      </w:r>
    </w:p>
    <w:p w14:paraId="777AD9AD" w14:textId="77777777" w:rsidR="00112B92" w:rsidRDefault="00112B92" w:rsidP="00112B92">
      <w:pPr>
        <w:spacing w:after="160" w:line="276" w:lineRule="auto"/>
        <w:jc w:val="both"/>
      </w:pPr>
      <w:r>
        <w:t xml:space="preserve">Respondent’s position statement focuses narrowly on the </w:t>
      </w:r>
      <w:proofErr w:type="spellStart"/>
      <w:r>
        <w:t>Blackstream</w:t>
      </w:r>
      <w:proofErr w:type="spellEnd"/>
      <w:r>
        <w:t>-to-Contender transition and the verbal warning, while conspicuously ignoring a documented pattern of adverse actions that the Commission should consider in its totality:</w:t>
      </w:r>
    </w:p>
    <w:p w14:paraId="3EFDA9B3" w14:textId="77777777" w:rsidR="00112B92" w:rsidRDefault="00112B92" w:rsidP="00112B92">
      <w:pPr>
        <w:pStyle w:val="ListParagraph"/>
        <w:numPr>
          <w:ilvl w:val="0"/>
          <w:numId w:val="1"/>
        </w:numPr>
        <w:spacing w:after="120" w:line="276" w:lineRule="auto"/>
        <w:contextualSpacing w:val="0"/>
      </w:pPr>
      <w:r>
        <w:t>Revocation of supervisory authority on March 19, 2025—six days after HR reaffirmed it—following Ms. Lord’s report of Cape’s insubordination and firearm possession.</w:t>
      </w:r>
    </w:p>
    <w:p w14:paraId="2464086D" w14:textId="77777777" w:rsidR="00112B92" w:rsidRDefault="00112B92" w:rsidP="00112B92">
      <w:pPr>
        <w:pStyle w:val="ListParagraph"/>
        <w:numPr>
          <w:ilvl w:val="0"/>
          <w:numId w:val="1"/>
        </w:numPr>
        <w:spacing w:after="120" w:line="276" w:lineRule="auto"/>
        <w:contextualSpacing w:val="0"/>
      </w:pPr>
      <w:r>
        <w:t>Denial of office space at the 5 Century Drive location in May 2025, requiring Ms. Lord to find her own workspace in a cubicle at another location.</w:t>
      </w:r>
    </w:p>
    <w:p w14:paraId="2CA4139E" w14:textId="77777777" w:rsidR="00112B92" w:rsidRDefault="00112B92" w:rsidP="00112B92">
      <w:pPr>
        <w:pStyle w:val="ListParagraph"/>
        <w:numPr>
          <w:ilvl w:val="0"/>
          <w:numId w:val="1"/>
        </w:numPr>
        <w:spacing w:after="120" w:line="276" w:lineRule="auto"/>
        <w:contextualSpacing w:val="0"/>
      </w:pPr>
      <w:r>
        <w:t>Cancellation of four or more scheduled CEO meetings between June and August 2025.</w:t>
      </w:r>
    </w:p>
    <w:p w14:paraId="2D915BF5" w14:textId="77777777" w:rsidR="00112B92" w:rsidRDefault="00112B92" w:rsidP="00112B92">
      <w:pPr>
        <w:pStyle w:val="ListParagraph"/>
        <w:numPr>
          <w:ilvl w:val="0"/>
          <w:numId w:val="1"/>
        </w:numPr>
        <w:spacing w:after="120" w:line="276" w:lineRule="auto"/>
        <w:contextualSpacing w:val="0"/>
      </w:pPr>
      <w:r>
        <w:t>Exclusion from strategic meetings with the Company’s external marketing agency, Ghost Marketing/Britton Briley, in October and November 2025.</w:t>
      </w:r>
    </w:p>
    <w:p w14:paraId="3C818B63" w14:textId="77777777" w:rsidR="00112B92" w:rsidRDefault="00112B92" w:rsidP="00112B92">
      <w:pPr>
        <w:pStyle w:val="ListParagraph"/>
        <w:numPr>
          <w:ilvl w:val="0"/>
          <w:numId w:val="1"/>
        </w:numPr>
        <w:spacing w:after="120" w:line="276" w:lineRule="auto"/>
        <w:contextualSpacing w:val="0"/>
      </w:pPr>
      <w:r>
        <w:t>Withholding of budget authority despite repeated requests, leaving Ms. Lord unable to execute her responsibilities as Director of Marketing.</w:t>
      </w:r>
    </w:p>
    <w:p w14:paraId="50CD3672" w14:textId="77777777" w:rsidR="00112B92" w:rsidRDefault="00112B92" w:rsidP="00112B92">
      <w:pPr>
        <w:pStyle w:val="ListParagraph"/>
        <w:numPr>
          <w:ilvl w:val="0"/>
          <w:numId w:val="1"/>
        </w:numPr>
        <w:spacing w:after="120" w:line="276" w:lineRule="auto"/>
        <w:contextualSpacing w:val="0"/>
      </w:pPr>
      <w:r>
        <w:t>Removal of the Holiday Gala and team-building events from Marketing to HR in August 2025.</w:t>
      </w:r>
    </w:p>
    <w:p w14:paraId="6BAE9950" w14:textId="77777777" w:rsidR="00112B92" w:rsidRDefault="00112B92" w:rsidP="00112B92">
      <w:pPr>
        <w:pStyle w:val="ListParagraph"/>
        <w:numPr>
          <w:ilvl w:val="0"/>
          <w:numId w:val="1"/>
        </w:numPr>
        <w:spacing w:after="120" w:line="276" w:lineRule="auto"/>
        <w:contextualSpacing w:val="0"/>
      </w:pPr>
      <w:r>
        <w:t xml:space="preserve">Lockout from her </w:t>
      </w:r>
      <w:proofErr w:type="spellStart"/>
      <w:r>
        <w:t>Blackstream</w:t>
      </w:r>
      <w:proofErr w:type="spellEnd"/>
      <w:r>
        <w:t xml:space="preserve"> email account on September 2, 2025—an account containing work communications and documentation relevant to this claim—after IT administrator Stuart Owen was allegedly instructed by Christine Brodsky and/or Michael Mumma not to reset her password. This lockout raises serious concerns about evidence spoliation.</w:t>
      </w:r>
    </w:p>
    <w:p w14:paraId="243C9377" w14:textId="77777777" w:rsidR="00112B92" w:rsidRDefault="00112B92" w:rsidP="00112B92">
      <w:pPr>
        <w:pStyle w:val="ListParagraph"/>
        <w:numPr>
          <w:ilvl w:val="0"/>
          <w:numId w:val="1"/>
        </w:numPr>
        <w:spacing w:after="120" w:line="276" w:lineRule="auto"/>
        <w:contextualSpacing w:val="0"/>
      </w:pPr>
      <w:r>
        <w:t>28 out of 31 work submissions receiving no response or acknowledgment between May and November 2025—a 90.3% non-response rate documented in the record.</w:t>
      </w:r>
    </w:p>
    <w:p w14:paraId="42F20A61" w14:textId="77777777" w:rsidR="00112B92" w:rsidRDefault="00112B92" w:rsidP="00112B92">
      <w:pPr>
        <w:spacing w:after="160" w:line="276" w:lineRule="auto"/>
        <w:jc w:val="both"/>
      </w:pPr>
      <w:r>
        <w:t>Each of these actions, standing alone, might be characterized as a minor workplace frustration. Taken together, over a sustained period and directed consistently at the Company’s oldest employee, they constitute a pattern of systematic marginalization that is actionable under the ADEA.</w:t>
      </w:r>
    </w:p>
    <w:p w14:paraId="5A851662" w14:textId="77777777" w:rsidR="00112B92" w:rsidRDefault="00112B92" w:rsidP="00112B92"/>
    <w:p w14:paraId="3EB8A410" w14:textId="77777777" w:rsidR="00112B92" w:rsidRDefault="00112B92" w:rsidP="00112B92">
      <w:pPr>
        <w:spacing w:before="240" w:after="160" w:line="276" w:lineRule="auto"/>
      </w:pPr>
      <w:r>
        <w:rPr>
          <w:b/>
          <w:bCs/>
          <w:u w:val="single"/>
        </w:rPr>
        <w:t>IV. REBUTTAL TO RESPONDENT’S DEFENSE OF THE REINERT REMARK</w:t>
      </w:r>
    </w:p>
    <w:p w14:paraId="4C7ADA52" w14:textId="77777777" w:rsidR="00112B92" w:rsidRDefault="00112B92" w:rsidP="00112B92">
      <w:pPr>
        <w:spacing w:before="180" w:after="120" w:line="276" w:lineRule="auto"/>
      </w:pPr>
      <w:r>
        <w:rPr>
          <w:b/>
          <w:bCs/>
        </w:rPr>
        <w:t>A. “No Recollection” Is Not a Denial</w:t>
      </w:r>
    </w:p>
    <w:p w14:paraId="201653D5" w14:textId="77777777" w:rsidR="00112B92" w:rsidRDefault="00112B92" w:rsidP="00112B92">
      <w:pPr>
        <w:spacing w:after="160" w:line="276" w:lineRule="auto"/>
        <w:jc w:val="both"/>
      </w:pPr>
      <w:r>
        <w:lastRenderedPageBreak/>
        <w:t xml:space="preserve">Respondent states that CFO Peter Reinert “denies making any comments” about Ms. Lord’s age, and that HR Director Cameron Aldridge, who was present in the April 25, </w:t>
      </w:r>
      <w:proofErr w:type="gramStart"/>
      <w:r>
        <w:t>2025</w:t>
      </w:r>
      <w:proofErr w:type="gramEnd"/>
      <w:r>
        <w:t xml:space="preserve"> meeting, has “no recollection” of Reinert making such a comment. These are materially different statements. A denial is an affirmative assertion that the event did not occur. The absence of recollection is the absence of a denial. Aldridge does not say the remark was not made; he says he does not remember it.</w:t>
      </w:r>
    </w:p>
    <w:p w14:paraId="139AD644" w14:textId="77777777" w:rsidR="00112B92" w:rsidRDefault="00112B92" w:rsidP="00112B92">
      <w:pPr>
        <w:spacing w:after="160" w:line="276" w:lineRule="auto"/>
        <w:jc w:val="both"/>
      </w:pPr>
      <w:r>
        <w:t>By contrast, Ms. Lord’s account is specific: she identifies the exact words (“At your age, why do you care about reputation?”), the exact meeting, the exact date, and all attendees by name. The Commission should weigh the specificity of Ms. Lord’s contemporaneous account against the non-confirmatory non-recollections of the individuals accused.</w:t>
      </w:r>
    </w:p>
    <w:p w14:paraId="361AB7E9" w14:textId="77777777" w:rsidR="00112B92" w:rsidRDefault="00112B92" w:rsidP="00112B92">
      <w:pPr>
        <w:spacing w:before="180" w:after="120" w:line="276" w:lineRule="auto"/>
      </w:pPr>
      <w:r>
        <w:rPr>
          <w:b/>
          <w:bCs/>
        </w:rPr>
        <w:t>B. This Was Not a “Stray Remark” Under Applicable Legal Standards</w:t>
      </w:r>
    </w:p>
    <w:p w14:paraId="3A0E2AE1" w14:textId="77777777" w:rsidR="00112B92" w:rsidRDefault="00112B92" w:rsidP="00112B92">
      <w:pPr>
        <w:spacing w:after="160" w:line="276" w:lineRule="auto"/>
        <w:jc w:val="both"/>
      </w:pPr>
      <w:r>
        <w:t>Respondent’s invocation of the “stray remark” doctrine is legally misapplied. A stray remark, for purposes of ADEA analysis, is a comment made by someone not involved in the adverse employment decision, or a comment that is temporally remote from the adverse action. Neither condition is satisfied here.</w:t>
      </w:r>
    </w:p>
    <w:p w14:paraId="4C8FCD48" w14:textId="77777777" w:rsidR="00112B92" w:rsidRDefault="00112B92" w:rsidP="00112B92">
      <w:pPr>
        <w:spacing w:after="160" w:line="276" w:lineRule="auto"/>
        <w:jc w:val="both"/>
      </w:pPr>
      <w:r>
        <w:t>Peter Reinert is the Company’s CFO and a member of its Executive Committee. He is a decision-maker. The remark was made in a meeting also attended by the CEO and the HR Director—the very individuals with authority over Ms. Lord’s employment conditions. The remark was made on April 25, 2025—the same day, per the record, that Ms. Lord was informed she would be moved to Contender full-time with no budget or staff. The remark was not made in passing; it was made in direct response to Ms. Lord raising concerns about the professional harm being done to her reputation.</w:t>
      </w:r>
    </w:p>
    <w:p w14:paraId="43C3314D" w14:textId="77777777" w:rsidR="00112B92" w:rsidRDefault="00112B92" w:rsidP="00112B92">
      <w:pPr>
        <w:spacing w:after="160" w:line="276" w:lineRule="auto"/>
        <w:jc w:val="both"/>
      </w:pPr>
      <w:r>
        <w:t>A remark made by a senior executive, in a meeting with the CEO and HR Director, in direct response to an employee’s expression of concern about her professional standing, on the day adverse action was taken, is direct evidence of age-based discriminatory animus—not a stray remark.</w:t>
      </w:r>
    </w:p>
    <w:p w14:paraId="32473143" w14:textId="77777777" w:rsidR="00112B92" w:rsidRDefault="00112B92" w:rsidP="00112B92">
      <w:pPr>
        <w:spacing w:before="180" w:after="120" w:line="276" w:lineRule="auto"/>
      </w:pPr>
      <w:r>
        <w:rPr>
          <w:b/>
          <w:bCs/>
        </w:rPr>
        <w:t>C. The “Same Protected Class” Argument Has No Legal Validity</w:t>
      </w:r>
    </w:p>
    <w:p w14:paraId="7039AC75" w14:textId="77777777" w:rsidR="00112B92" w:rsidRDefault="00112B92" w:rsidP="00112B92">
      <w:pPr>
        <w:spacing w:after="160" w:line="276" w:lineRule="auto"/>
        <w:jc w:val="both"/>
      </w:pPr>
      <w:r>
        <w:t>Respondent argues that because Peter Reinert is 67 years old, he could not have harbored age-based animus toward Ms. Lord. This argument has been consistently and thoroughly rejected by courts. The ADEA protects individuals over the age of 40. A 67-year-old executive can discriminate against a 74-year-old employee. The statute does not require that the discriminating party be outside the protected class.</w:t>
      </w:r>
    </w:p>
    <w:p w14:paraId="6F99EB87" w14:textId="77777777" w:rsidR="00112B92" w:rsidRDefault="00112B92" w:rsidP="00112B92">
      <w:pPr>
        <w:spacing w:after="160" w:line="276" w:lineRule="auto"/>
        <w:jc w:val="both"/>
      </w:pPr>
      <w:r>
        <w:t>Indeed, the Supreme Court held in General Dynamics Land Systems, Inc. v. Cline, 540 U.S. 581 (2004), that the ADEA is specifically designed to protect older workers from discrimination even at the hands of employees who are themselves within the protected class. The Reinert argument, however well-packaged, is not a defense.</w:t>
      </w:r>
    </w:p>
    <w:p w14:paraId="7EED90F3" w14:textId="77777777" w:rsidR="00112B92" w:rsidRDefault="00112B92" w:rsidP="00112B92"/>
    <w:p w14:paraId="7ADEC4AB" w14:textId="77777777" w:rsidR="00112B92" w:rsidRDefault="00112B92" w:rsidP="00112B92">
      <w:pPr>
        <w:spacing w:before="240" w:after="160" w:line="276" w:lineRule="auto"/>
      </w:pPr>
      <w:r>
        <w:rPr>
          <w:b/>
          <w:bCs/>
          <w:u w:val="single"/>
        </w:rPr>
        <w:t>V. REBUTTAL TO RESPONDENT’S RETALIATION DEFENSE</w:t>
      </w:r>
    </w:p>
    <w:p w14:paraId="4F2BC0D7" w14:textId="77777777" w:rsidR="00112B92" w:rsidRDefault="00112B92" w:rsidP="00112B92">
      <w:pPr>
        <w:spacing w:after="160" w:line="276" w:lineRule="auto"/>
        <w:jc w:val="both"/>
      </w:pPr>
      <w:r>
        <w:t>Respondent’s retaliation defense rests on two pillars: (1) the internal investigation found no substantiation, and (2) the same supervisor who received the complaint gave Ms. Lord an excellent review. Neither pillar holds.</w:t>
      </w:r>
    </w:p>
    <w:p w14:paraId="5C91E786" w14:textId="77777777" w:rsidR="00112B92" w:rsidRDefault="00112B92" w:rsidP="00112B92">
      <w:pPr>
        <w:spacing w:after="160" w:line="276" w:lineRule="auto"/>
        <w:jc w:val="both"/>
      </w:pPr>
      <w:r>
        <w:t xml:space="preserve">First, the Company’s internal investigation consisted of presenting Ms. Lord’s allegations to the accused parties and accepting their denials. HR Director Aldridge’s November 24, </w:t>
      </w:r>
      <w:proofErr w:type="gramStart"/>
      <w:r>
        <w:t>2025</w:t>
      </w:r>
      <w:proofErr w:type="gramEnd"/>
      <w:r>
        <w:t xml:space="preserve"> response letter reflects no independent corroboration, no witness interviews beyond the accused, and no documentary review. An investigation that reaches a predetermined conclusion by relying exclusively on the denials of the accused is not a good-faith investigation—it is a formality.</w:t>
      </w:r>
    </w:p>
    <w:p w14:paraId="646BDD57" w14:textId="77777777" w:rsidR="00112B92" w:rsidRDefault="00112B92" w:rsidP="00112B92">
      <w:pPr>
        <w:spacing w:after="160" w:line="276" w:lineRule="auto"/>
        <w:jc w:val="both"/>
      </w:pPr>
      <w:r>
        <w:t>Second, the “same actor” inference is a factual argument, not a legal rule. Courts recognize that an employer may take both positive and retaliatory actions simultaneously. That Phillips gave Ms. Lord an excellent review does not preclude a finding that the verbal warning—issued by the same management team—was retaliatory in nature and timing.</w:t>
      </w:r>
    </w:p>
    <w:p w14:paraId="19172E65" w14:textId="77777777" w:rsidR="00112B92" w:rsidRDefault="00112B92" w:rsidP="00112B92">
      <w:pPr>
        <w:spacing w:after="160" w:line="276" w:lineRule="auto"/>
        <w:jc w:val="both"/>
      </w:pPr>
      <w:r>
        <w:t>Third, as noted above, the retaliation claim extends well beyond the verbal warning. The sustained pattern of exclusion, non-response, denial of resources, and authority stripping that continued after Ms. Lord’s November 14 complaint constitutes ongoing retaliatory conduct regardless of the December performance review.</w:t>
      </w:r>
    </w:p>
    <w:p w14:paraId="295B9FBA" w14:textId="77777777" w:rsidR="00112B92" w:rsidRDefault="00112B92" w:rsidP="00112B92"/>
    <w:p w14:paraId="3B0B5D8A" w14:textId="77777777" w:rsidR="00112B92" w:rsidRDefault="00112B92" w:rsidP="00112B92">
      <w:pPr>
        <w:spacing w:before="240" w:after="160" w:line="276" w:lineRule="auto"/>
      </w:pPr>
      <w:r>
        <w:rPr>
          <w:b/>
          <w:bCs/>
          <w:u w:val="single"/>
        </w:rPr>
        <w:t>VI. REBUTTAL TO RESPONDENT’S CONSTRUCTIVE DISCHARGE DEFENSE</w:t>
      </w:r>
    </w:p>
    <w:p w14:paraId="3E104F19" w14:textId="77777777" w:rsidR="00112B92" w:rsidRDefault="00112B92" w:rsidP="00112B92">
      <w:pPr>
        <w:spacing w:after="160" w:line="276" w:lineRule="auto"/>
        <w:jc w:val="both"/>
      </w:pPr>
      <w:r>
        <w:t>Respondent asserts that because Ms. Lord remained employed at the time of the Charge, no constructive discharge occurred. This reflects a misunderstanding of the constructive discharge doctrine.</w:t>
      </w:r>
    </w:p>
    <w:p w14:paraId="12B7555D" w14:textId="77777777" w:rsidR="00112B92" w:rsidRDefault="00112B92" w:rsidP="00112B92">
      <w:pPr>
        <w:spacing w:after="160" w:line="276" w:lineRule="auto"/>
        <w:jc w:val="both"/>
      </w:pPr>
      <w:r>
        <w:t xml:space="preserve">Constructive discharge does not require that the employee have </w:t>
      </w:r>
      <w:proofErr w:type="gramStart"/>
      <w:r>
        <w:t>actually resigned</w:t>
      </w:r>
      <w:proofErr w:type="gramEnd"/>
      <w:r>
        <w:t xml:space="preserve"> at the time of filing. It requires that the employer deliberately made working conditions so intolerable that a reasonable person in the employee’s position would have felt compelled to resign. The analysis is objective: would a reasonable person, not Ms. Lord in particular, have found these conditions intolerable?</w:t>
      </w:r>
    </w:p>
    <w:p w14:paraId="1E529E1D" w14:textId="77777777" w:rsidR="00112B92" w:rsidRDefault="00112B92" w:rsidP="00112B92">
      <w:pPr>
        <w:spacing w:after="160" w:line="276" w:lineRule="auto"/>
        <w:jc w:val="both"/>
      </w:pPr>
      <w:r>
        <w:t>The conditions documented in this record—no staff, no budget, no office, no response to work product for months on end, exclusion from all meaningful strategic functions, a documented formal disciplinary action three weeks after filing a discrimination complaint, and complete isolation from the Company’s core business operations—readily meet that standard. The fact that Ms. Lord continued to attempt to perform her job despite these conditions is evidence of her professionalism and commitment, not evidence that the conditions were tolerable.</w:t>
      </w:r>
    </w:p>
    <w:p w14:paraId="62888364" w14:textId="77777777" w:rsidR="00112B92" w:rsidRDefault="00112B92" w:rsidP="00112B92"/>
    <w:p w14:paraId="2A2590C2" w14:textId="77777777" w:rsidR="00112B92" w:rsidRDefault="00112B92" w:rsidP="00112B92">
      <w:pPr>
        <w:spacing w:before="240" w:after="160" w:line="276" w:lineRule="auto"/>
      </w:pPr>
      <w:r>
        <w:rPr>
          <w:b/>
          <w:bCs/>
          <w:u w:val="single"/>
        </w:rPr>
        <w:lastRenderedPageBreak/>
        <w:t>VII. CRITICAL ISSUES RESPONDENT’S POSITION STATEMENT FAILS TO ADDRESS</w:t>
      </w:r>
    </w:p>
    <w:p w14:paraId="7E2F3EDC" w14:textId="77777777" w:rsidR="00112B92" w:rsidRDefault="00112B92" w:rsidP="00112B92">
      <w:pPr>
        <w:spacing w:after="160" w:line="276" w:lineRule="auto"/>
        <w:jc w:val="both"/>
      </w:pPr>
      <w:r>
        <w:t>The Commission should note that Respondent’s position statement is conspicuously silent on several significant matters:</w:t>
      </w:r>
    </w:p>
    <w:p w14:paraId="758B7CB3" w14:textId="77777777" w:rsidR="00112B92" w:rsidRDefault="00112B92" w:rsidP="00112B92">
      <w:pPr>
        <w:pStyle w:val="ListParagraph"/>
        <w:numPr>
          <w:ilvl w:val="0"/>
          <w:numId w:val="2"/>
        </w:numPr>
        <w:spacing w:after="120" w:line="276" w:lineRule="auto"/>
        <w:contextualSpacing w:val="0"/>
      </w:pPr>
      <w:r>
        <w:t xml:space="preserve">The September 2, </w:t>
      </w:r>
      <w:proofErr w:type="gramStart"/>
      <w:r>
        <w:t>2025</w:t>
      </w:r>
      <w:proofErr w:type="gramEnd"/>
      <w:r>
        <w:t xml:space="preserve"> email lockout. IT administrator Stuart Owen allegedly told Ms. Lord that he had been instructed by Christine Brodsky and/or Michael Mumma not to reset her </w:t>
      </w:r>
      <w:proofErr w:type="spellStart"/>
      <w:r>
        <w:t>Blackstream</w:t>
      </w:r>
      <w:proofErr w:type="spellEnd"/>
      <w:r>
        <w:t xml:space="preserve"> email password, effectively cutting off her access to work communications and documentation relevant to this very claim. This is a potential evidence spoliation issue and warrants specific inquiry by the Commission.</w:t>
      </w:r>
    </w:p>
    <w:p w14:paraId="033BC5C2" w14:textId="77777777" w:rsidR="00112B92" w:rsidRDefault="00112B92" w:rsidP="00112B92">
      <w:pPr>
        <w:pStyle w:val="ListParagraph"/>
        <w:numPr>
          <w:ilvl w:val="0"/>
          <w:numId w:val="2"/>
        </w:numPr>
        <w:spacing w:after="120" w:line="276" w:lineRule="auto"/>
        <w:contextualSpacing w:val="0"/>
      </w:pPr>
      <w:r>
        <w:t xml:space="preserve">The March 18, </w:t>
      </w:r>
      <w:proofErr w:type="gramStart"/>
      <w:r>
        <w:t>2025</w:t>
      </w:r>
      <w:proofErr w:type="gramEnd"/>
      <w:r>
        <w:t xml:space="preserve"> firearm report. Ms. Lord reported to HR Director Aldridge that Ms. Cape had brought a firearm to the workplace. The Company took no meaningful action, and two days later stripped Ms. Lord of the supervisory authority she had exercised when she reported the concern. The nexus between the safety report and the retaliatory authority revocation is direct and unaddressed.</w:t>
      </w:r>
    </w:p>
    <w:p w14:paraId="271E5827" w14:textId="77777777" w:rsidR="00112B92" w:rsidRDefault="00112B92" w:rsidP="00112B92">
      <w:pPr>
        <w:pStyle w:val="ListParagraph"/>
        <w:numPr>
          <w:ilvl w:val="0"/>
          <w:numId w:val="2"/>
        </w:numPr>
        <w:spacing w:after="120" w:line="276" w:lineRule="auto"/>
        <w:contextualSpacing w:val="0"/>
      </w:pPr>
      <w:r>
        <w:t>The internal payroll rumors. The Company’s own record acknowledges that rumors about payroll circulated internally as early as February 2025. Respondent has not explained why those earlier rumors—apparently tolerated for months—became actionable only when repeated by the employee who had just filed a discrimination complaint.</w:t>
      </w:r>
    </w:p>
    <w:p w14:paraId="52289E3F" w14:textId="77777777" w:rsidR="00112B92" w:rsidRDefault="00112B92" w:rsidP="00112B92">
      <w:pPr>
        <w:pStyle w:val="ListParagraph"/>
        <w:numPr>
          <w:ilvl w:val="0"/>
          <w:numId w:val="2"/>
        </w:numPr>
        <w:spacing w:after="120" w:line="276" w:lineRule="auto"/>
        <w:contextualSpacing w:val="0"/>
      </w:pPr>
      <w:r>
        <w:t>Ms. Cape’s title and functional elevation. Respondent claims that Ms. Lord’s position “was not assumed by a younger employee.” However, Ms. Cape’s title—as reflected on the Company’s own website—is “Senior Graphic Designer and Brand Manager,” which encompasses core brand management functions that previously belonged to Ms. Lord. This is the younger-employee comparator at the center of the disparate treatment analysis, and Respondent has not addressed it.</w:t>
      </w:r>
    </w:p>
    <w:p w14:paraId="7B4BABB4" w14:textId="77777777" w:rsidR="00112B92" w:rsidRDefault="00112B92" w:rsidP="00112B92">
      <w:pPr>
        <w:pStyle w:val="ListParagraph"/>
        <w:numPr>
          <w:ilvl w:val="0"/>
          <w:numId w:val="2"/>
        </w:numPr>
        <w:spacing w:after="120" w:line="276" w:lineRule="auto"/>
        <w:contextualSpacing w:val="0"/>
      </w:pPr>
      <w:r>
        <w:t>The Broadstreet Global context. Ms. Lord’s preservation letter identifies communications and work product related to Broadstreet Global / Broad Street Global Management and a related SEC investigation as material to this case. Respondent’s position statement does not acknowledge this issue or confirm that those materials have been preserved.</w:t>
      </w:r>
    </w:p>
    <w:p w14:paraId="210709E9" w14:textId="77777777" w:rsidR="00112B92" w:rsidRDefault="00112B92" w:rsidP="00112B92"/>
    <w:p w14:paraId="2613EA51" w14:textId="77777777" w:rsidR="00112B92" w:rsidRDefault="00112B92" w:rsidP="00112B92">
      <w:pPr>
        <w:spacing w:before="240" w:after="160" w:line="276" w:lineRule="auto"/>
      </w:pPr>
      <w:r>
        <w:rPr>
          <w:b/>
          <w:bCs/>
          <w:u w:val="single"/>
        </w:rPr>
        <w:t>VIII. CONCLUSION</w:t>
      </w:r>
    </w:p>
    <w:p w14:paraId="6510E184" w14:textId="77777777" w:rsidR="00112B92" w:rsidRDefault="00112B92" w:rsidP="00112B92">
      <w:pPr>
        <w:spacing w:after="160" w:line="276" w:lineRule="auto"/>
        <w:jc w:val="both"/>
      </w:pPr>
      <w:r>
        <w:t>Respondent’s position statement is carefully written but legally thin. It relies on denial of the central age-based remark, a legally defunct “same protected class” argument, a narrow focus on two employment actions while ignoring a documented pattern of a dozen more, and a procedurally inadequate internal investigation that accepted accused parties’ own denials as dispositive.</w:t>
      </w:r>
    </w:p>
    <w:p w14:paraId="53A878B7" w14:textId="77777777" w:rsidR="00112B92" w:rsidRDefault="00112B92" w:rsidP="00112B92">
      <w:pPr>
        <w:spacing w:after="160" w:line="276" w:lineRule="auto"/>
        <w:jc w:val="both"/>
      </w:pPr>
      <w:r>
        <w:t xml:space="preserve">The record, viewed in its totality, establishes that Elizabeth Lord—a 74-year-old employee with more than two years of demonstrated excellent performance—was systematically stripped of </w:t>
      </w:r>
      <w:r>
        <w:lastRenderedPageBreak/>
        <w:t>authority, excluded from strategic functions, denied basic resources, disciplined immediately following her protected discrimination complaint, and constructively demoted into a title with no practical function. Younger, less experienced employees received the substantive responsibilities taken from her. A senior executive made a direct age-based remark in her presence, in a meeting with the CEO and HR Director, on the day adverse action was taken.</w:t>
      </w:r>
    </w:p>
    <w:p w14:paraId="012BF6AD" w14:textId="77777777" w:rsidR="00112B92" w:rsidRDefault="00112B92" w:rsidP="00112B92">
      <w:pPr>
        <w:spacing w:after="160" w:line="276" w:lineRule="auto"/>
        <w:jc w:val="both"/>
      </w:pPr>
      <w:r>
        <w:t>Ms. Lord respectfully requests that the Commission proceed to a full investigation of this Charge and issue a cause determination. The evidence of age discrimination, hostile work environment, and retaliation under the ADEA is substantial and supported by the documentary record.</w:t>
      </w:r>
    </w:p>
    <w:p w14:paraId="0EA2F76F" w14:textId="77777777" w:rsidR="00112B92" w:rsidRDefault="00112B92" w:rsidP="00112B92"/>
    <w:p w14:paraId="1CFB13BA" w14:textId="77777777" w:rsidR="00112B92" w:rsidRDefault="00112B92" w:rsidP="00112B92"/>
    <w:p w14:paraId="6730809A" w14:textId="77777777" w:rsidR="00112B92" w:rsidRDefault="00112B92" w:rsidP="00112B92">
      <w:pPr>
        <w:spacing w:after="800"/>
      </w:pPr>
      <w:r>
        <w:t>Respectfully submitted,</w:t>
      </w:r>
    </w:p>
    <w:p w14:paraId="4AC274B7" w14:textId="77777777" w:rsidR="00112B92" w:rsidRDefault="00112B92" w:rsidP="00112B92">
      <w:r>
        <w:t>Elizabeth Langworthy Lord</w:t>
      </w:r>
    </w:p>
    <w:p w14:paraId="21046DC5" w14:textId="77777777" w:rsidR="00112B92" w:rsidRDefault="00112B92" w:rsidP="00112B92">
      <w:r>
        <w:t>Charging Party, Pro Se</w:t>
      </w:r>
    </w:p>
    <w:p w14:paraId="41F3D783" w14:textId="77777777" w:rsidR="00112B92" w:rsidRDefault="00112B92" w:rsidP="00112B92">
      <w:r>
        <w:t>109 Asteria Street</w:t>
      </w:r>
    </w:p>
    <w:p w14:paraId="429F983A" w14:textId="77777777" w:rsidR="00112B92" w:rsidRDefault="00112B92" w:rsidP="00112B92">
      <w:r>
        <w:t>Greenville, SC 29617</w:t>
      </w:r>
    </w:p>
    <w:p w14:paraId="7F9FC887" w14:textId="77777777" w:rsidR="00112B92" w:rsidRDefault="00112B92" w:rsidP="00112B92">
      <w:pPr>
        <w:spacing w:after="240"/>
      </w:pPr>
      <w:r>
        <w:t>(512) 808-7984</w:t>
      </w:r>
    </w:p>
    <w:p w14:paraId="6D597FAC" w14:textId="77777777" w:rsidR="00112B92" w:rsidRDefault="00112B92"/>
    <w:sectPr w:rsidR="00112B92" w:rsidSect="00112B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7282F"/>
    <w:multiLevelType w:val="hybridMultilevel"/>
    <w:tmpl w:val="7DB60CCA"/>
    <w:lvl w:ilvl="0" w:tplc="1D466C9A">
      <w:start w:val="1"/>
      <w:numFmt w:val="decimal"/>
      <w:lvlText w:val="%1."/>
      <w:lvlJc w:val="left"/>
      <w:pPr>
        <w:ind w:left="720" w:hanging="360"/>
      </w:pPr>
    </w:lvl>
    <w:lvl w:ilvl="1" w:tplc="B35423C8">
      <w:numFmt w:val="decimal"/>
      <w:lvlText w:val=""/>
      <w:lvlJc w:val="left"/>
    </w:lvl>
    <w:lvl w:ilvl="2" w:tplc="3782D944">
      <w:numFmt w:val="decimal"/>
      <w:lvlText w:val=""/>
      <w:lvlJc w:val="left"/>
    </w:lvl>
    <w:lvl w:ilvl="3" w:tplc="BB4CC798">
      <w:numFmt w:val="decimal"/>
      <w:lvlText w:val=""/>
      <w:lvlJc w:val="left"/>
    </w:lvl>
    <w:lvl w:ilvl="4" w:tplc="AC7A7320">
      <w:numFmt w:val="decimal"/>
      <w:lvlText w:val=""/>
      <w:lvlJc w:val="left"/>
    </w:lvl>
    <w:lvl w:ilvl="5" w:tplc="1668027A">
      <w:numFmt w:val="decimal"/>
      <w:lvlText w:val=""/>
      <w:lvlJc w:val="left"/>
    </w:lvl>
    <w:lvl w:ilvl="6" w:tplc="7CF2E2EE">
      <w:numFmt w:val="decimal"/>
      <w:lvlText w:val=""/>
      <w:lvlJc w:val="left"/>
    </w:lvl>
    <w:lvl w:ilvl="7" w:tplc="7C6A95B4">
      <w:numFmt w:val="decimal"/>
      <w:lvlText w:val=""/>
      <w:lvlJc w:val="left"/>
    </w:lvl>
    <w:lvl w:ilvl="8" w:tplc="8DEE50FE">
      <w:numFmt w:val="decimal"/>
      <w:lvlText w:val=""/>
      <w:lvlJc w:val="left"/>
    </w:lvl>
  </w:abstractNum>
  <w:abstractNum w:abstractNumId="1" w15:restartNumberingAfterBreak="0">
    <w:nsid w:val="502B593A"/>
    <w:multiLevelType w:val="hybridMultilevel"/>
    <w:tmpl w:val="80F6C8FA"/>
    <w:lvl w:ilvl="0" w:tplc="AABEBB2C">
      <w:start w:val="1"/>
      <w:numFmt w:val="bullet"/>
      <w:lvlText w:val="•"/>
      <w:lvlJc w:val="left"/>
      <w:pPr>
        <w:ind w:left="720" w:hanging="360"/>
      </w:pPr>
    </w:lvl>
    <w:lvl w:ilvl="1" w:tplc="3AC89B04">
      <w:numFmt w:val="decimal"/>
      <w:lvlText w:val=""/>
      <w:lvlJc w:val="left"/>
    </w:lvl>
    <w:lvl w:ilvl="2" w:tplc="94FCEF7E">
      <w:numFmt w:val="decimal"/>
      <w:lvlText w:val=""/>
      <w:lvlJc w:val="left"/>
    </w:lvl>
    <w:lvl w:ilvl="3" w:tplc="54A014CC">
      <w:numFmt w:val="decimal"/>
      <w:lvlText w:val=""/>
      <w:lvlJc w:val="left"/>
    </w:lvl>
    <w:lvl w:ilvl="4" w:tplc="287442B8">
      <w:numFmt w:val="decimal"/>
      <w:lvlText w:val=""/>
      <w:lvlJc w:val="left"/>
    </w:lvl>
    <w:lvl w:ilvl="5" w:tplc="E878D5DA">
      <w:numFmt w:val="decimal"/>
      <w:lvlText w:val=""/>
      <w:lvlJc w:val="left"/>
    </w:lvl>
    <w:lvl w:ilvl="6" w:tplc="B23C3E1E">
      <w:numFmt w:val="decimal"/>
      <w:lvlText w:val=""/>
      <w:lvlJc w:val="left"/>
    </w:lvl>
    <w:lvl w:ilvl="7" w:tplc="7F1A75FA">
      <w:numFmt w:val="decimal"/>
      <w:lvlText w:val=""/>
      <w:lvlJc w:val="left"/>
    </w:lvl>
    <w:lvl w:ilvl="8" w:tplc="537E6B70">
      <w:numFmt w:val="decimal"/>
      <w:lvlText w:val=""/>
      <w:lvlJc w:val="left"/>
    </w:lvl>
  </w:abstractNum>
  <w:num w:numId="1" w16cid:durableId="1238706383">
    <w:abstractNumId w:val="1"/>
    <w:lvlOverride w:ilvl="0">
      <w:startOverride w:val="1"/>
    </w:lvlOverride>
  </w:num>
  <w:num w:numId="2" w16cid:durableId="1032807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92"/>
    <w:rsid w:val="00112B92"/>
    <w:rsid w:val="0081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698ED"/>
  <w15:chartTrackingRefBased/>
  <w15:docId w15:val="{79D28FB1-EC7F-3249-BE30-4721A7D2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B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2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B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B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B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B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B92"/>
    <w:rPr>
      <w:rFonts w:eastAsiaTheme="majorEastAsia" w:cstheme="majorBidi"/>
      <w:color w:val="272727" w:themeColor="text1" w:themeTint="D8"/>
    </w:rPr>
  </w:style>
  <w:style w:type="paragraph" w:styleId="Title">
    <w:name w:val="Title"/>
    <w:basedOn w:val="Normal"/>
    <w:next w:val="Normal"/>
    <w:link w:val="TitleChar"/>
    <w:uiPriority w:val="10"/>
    <w:qFormat/>
    <w:rsid w:val="00112B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B92"/>
    <w:pPr>
      <w:spacing w:before="160"/>
      <w:jc w:val="center"/>
    </w:pPr>
    <w:rPr>
      <w:i/>
      <w:iCs/>
      <w:color w:val="404040" w:themeColor="text1" w:themeTint="BF"/>
    </w:rPr>
  </w:style>
  <w:style w:type="character" w:customStyle="1" w:styleId="QuoteChar">
    <w:name w:val="Quote Char"/>
    <w:basedOn w:val="DefaultParagraphFont"/>
    <w:link w:val="Quote"/>
    <w:uiPriority w:val="29"/>
    <w:rsid w:val="00112B92"/>
    <w:rPr>
      <w:i/>
      <w:iCs/>
      <w:color w:val="404040" w:themeColor="text1" w:themeTint="BF"/>
    </w:rPr>
  </w:style>
  <w:style w:type="paragraph" w:styleId="ListParagraph">
    <w:name w:val="List Paragraph"/>
    <w:basedOn w:val="Normal"/>
    <w:qFormat/>
    <w:rsid w:val="00112B92"/>
    <w:pPr>
      <w:ind w:left="720"/>
      <w:contextualSpacing/>
    </w:pPr>
  </w:style>
  <w:style w:type="character" w:styleId="IntenseEmphasis">
    <w:name w:val="Intense Emphasis"/>
    <w:basedOn w:val="DefaultParagraphFont"/>
    <w:uiPriority w:val="21"/>
    <w:qFormat/>
    <w:rsid w:val="00112B92"/>
    <w:rPr>
      <w:i/>
      <w:iCs/>
      <w:color w:val="0F4761" w:themeColor="accent1" w:themeShade="BF"/>
    </w:rPr>
  </w:style>
  <w:style w:type="paragraph" w:styleId="IntenseQuote">
    <w:name w:val="Intense Quote"/>
    <w:basedOn w:val="Normal"/>
    <w:next w:val="Normal"/>
    <w:link w:val="IntenseQuoteChar"/>
    <w:uiPriority w:val="30"/>
    <w:qFormat/>
    <w:rsid w:val="00112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B92"/>
    <w:rPr>
      <w:i/>
      <w:iCs/>
      <w:color w:val="0F4761" w:themeColor="accent1" w:themeShade="BF"/>
    </w:rPr>
  </w:style>
  <w:style w:type="character" w:styleId="IntenseReference">
    <w:name w:val="Intense Reference"/>
    <w:basedOn w:val="DefaultParagraphFont"/>
    <w:uiPriority w:val="32"/>
    <w:qFormat/>
    <w:rsid w:val="00112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2813</Words>
  <Characters>16038</Characters>
  <Application>Microsoft Office Word</Application>
  <DocSecurity>0</DocSecurity>
  <Lines>133</Lines>
  <Paragraphs>37</Paragraphs>
  <ScaleCrop>false</ScaleCrop>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2026-03-10T22:18:00Z</dcterms:created>
  <dcterms:modified xsi:type="dcterms:W3CDTF">2026-03-10T22:18:00Z</dcterms:modified>
</cp:coreProperties>
</file>