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4C1B" w14:textId="77777777" w:rsidR="00EF186A" w:rsidRPr="00EF186A" w:rsidRDefault="00EF186A" w:rsidP="00EF186A">
      <w:pPr>
        <w:jc w:val="center"/>
        <w:rPr>
          <w:b/>
          <w:bCs/>
          <w:sz w:val="36"/>
          <w:szCs w:val="36"/>
        </w:rPr>
      </w:pPr>
      <w:r w:rsidRPr="00EF186A">
        <w:rPr>
          <w:b/>
          <w:bCs/>
          <w:sz w:val="36"/>
          <w:szCs w:val="36"/>
        </w:rPr>
        <w:t>2026 Broadstreet Global SEC Lawsuit Update</w:t>
      </w:r>
    </w:p>
    <w:p w14:paraId="3EC7B2B5" w14:textId="5FE16423" w:rsidR="00EF186A" w:rsidRPr="003E6C9A" w:rsidRDefault="00EF186A" w:rsidP="00024199">
      <w:pPr>
        <w:spacing w:line="240" w:lineRule="auto"/>
        <w:rPr>
          <w:b/>
          <w:bCs/>
          <w:i/>
          <w:iCs/>
          <w:color w:val="215E99" w:themeColor="text2" w:themeTint="BF"/>
        </w:rPr>
      </w:pPr>
      <w:r w:rsidRPr="003E6C9A">
        <w:rPr>
          <w:b/>
          <w:bCs/>
          <w:i/>
          <w:iCs/>
          <w:color w:val="215E99" w:themeColor="text2" w:themeTint="BF"/>
        </w:rPr>
        <w:t xml:space="preserve">Note: </w:t>
      </w:r>
      <w:r w:rsidRPr="003E6C9A">
        <w:rPr>
          <w:i/>
          <w:iCs/>
          <w:color w:val="215E99" w:themeColor="text2" w:themeTint="BF"/>
        </w:rPr>
        <w:t>Broadstreet Global is Contender Developments</w:t>
      </w:r>
      <w:r w:rsidR="00432835">
        <w:rPr>
          <w:i/>
          <w:iCs/>
          <w:color w:val="215E99" w:themeColor="text2" w:themeTint="BF"/>
        </w:rPr>
        <w:t xml:space="preserve"> (CDI)</w:t>
      </w:r>
      <w:r w:rsidRPr="003E6C9A">
        <w:rPr>
          <w:i/>
          <w:iCs/>
          <w:color w:val="215E99" w:themeColor="text2" w:themeTint="BF"/>
        </w:rPr>
        <w:t xml:space="preserve"> primary investor.</w:t>
      </w:r>
      <w:r w:rsidR="00500C87">
        <w:rPr>
          <w:i/>
          <w:iCs/>
          <w:color w:val="215E99" w:themeColor="text2" w:themeTint="BF"/>
        </w:rPr>
        <w:t xml:space="preserve"> </w:t>
      </w:r>
      <w:r w:rsidR="00702968" w:rsidRPr="003E6C9A">
        <w:rPr>
          <w:i/>
          <w:iCs/>
          <w:color w:val="215E99" w:themeColor="text2" w:themeTint="BF"/>
        </w:rPr>
        <w:t>On Feb 9</w:t>
      </w:r>
      <w:r w:rsidR="00702968" w:rsidRPr="003E6C9A">
        <w:rPr>
          <w:i/>
          <w:iCs/>
          <w:color w:val="215E99" w:themeColor="text2" w:themeTint="BF"/>
          <w:vertAlign w:val="superscript"/>
        </w:rPr>
        <w:t>th</w:t>
      </w:r>
      <w:r w:rsidR="00702968" w:rsidRPr="003E6C9A">
        <w:rPr>
          <w:i/>
          <w:iCs/>
          <w:color w:val="215E99" w:themeColor="text2" w:themeTint="BF"/>
        </w:rPr>
        <w:t xml:space="preserve">, the Post and Courier media outlet reported on the case. </w:t>
      </w:r>
      <w:r w:rsidR="0003349C">
        <w:rPr>
          <w:i/>
          <w:iCs/>
          <w:color w:val="215E99" w:themeColor="text2" w:themeTint="BF"/>
        </w:rPr>
        <w:t xml:space="preserve">As part of my job </w:t>
      </w:r>
      <w:r w:rsidR="005755C0">
        <w:rPr>
          <w:i/>
          <w:iCs/>
          <w:color w:val="215E99" w:themeColor="text2" w:themeTint="BF"/>
        </w:rPr>
        <w:t xml:space="preserve">(Marketing Director), </w:t>
      </w:r>
      <w:r w:rsidR="0003349C">
        <w:rPr>
          <w:i/>
          <w:iCs/>
          <w:color w:val="215E99" w:themeColor="text2" w:themeTint="BF"/>
        </w:rPr>
        <w:t xml:space="preserve">I reported this article to Michael Mumma, CEO of </w:t>
      </w:r>
      <w:proofErr w:type="spellStart"/>
      <w:r w:rsidR="0003349C">
        <w:rPr>
          <w:i/>
          <w:iCs/>
          <w:color w:val="215E99" w:themeColor="text2" w:themeTint="BF"/>
        </w:rPr>
        <w:t>Blackstream</w:t>
      </w:r>
      <w:proofErr w:type="spellEnd"/>
      <w:r w:rsidR="0003349C">
        <w:rPr>
          <w:i/>
          <w:iCs/>
          <w:color w:val="215E99" w:themeColor="text2" w:themeTint="BF"/>
        </w:rPr>
        <w:t xml:space="preserve"> International (BIRE).  </w:t>
      </w:r>
      <w:r w:rsidR="005B044F">
        <w:rPr>
          <w:i/>
          <w:iCs/>
          <w:color w:val="215E99" w:themeColor="text2" w:themeTint="BF"/>
        </w:rPr>
        <w:t xml:space="preserve">A few days later, </w:t>
      </w:r>
      <w:r w:rsidR="00702968" w:rsidRPr="003E6C9A">
        <w:rPr>
          <w:i/>
          <w:iCs/>
          <w:color w:val="215E99" w:themeColor="text2" w:themeTint="BF"/>
        </w:rPr>
        <w:t>I was asked by Michael Mumma</w:t>
      </w:r>
      <w:r w:rsidR="00500C87">
        <w:rPr>
          <w:i/>
          <w:iCs/>
          <w:color w:val="215E99" w:themeColor="text2" w:themeTint="BF"/>
        </w:rPr>
        <w:t xml:space="preserve"> </w:t>
      </w:r>
      <w:r w:rsidR="00702968" w:rsidRPr="003E6C9A">
        <w:rPr>
          <w:i/>
          <w:iCs/>
          <w:color w:val="215E99" w:themeColor="text2" w:themeTint="BF"/>
        </w:rPr>
        <w:t>to create a line between the two companies</w:t>
      </w:r>
      <w:r w:rsidR="005B044F">
        <w:rPr>
          <w:i/>
          <w:iCs/>
          <w:color w:val="215E99" w:themeColor="text2" w:themeTint="BF"/>
        </w:rPr>
        <w:t xml:space="preserve">, </w:t>
      </w:r>
      <w:proofErr w:type="spellStart"/>
      <w:r w:rsidR="005B044F">
        <w:rPr>
          <w:i/>
          <w:iCs/>
          <w:color w:val="215E99" w:themeColor="text2" w:themeTint="BF"/>
        </w:rPr>
        <w:t>Blackstream</w:t>
      </w:r>
      <w:proofErr w:type="spellEnd"/>
      <w:r w:rsidR="005B044F">
        <w:rPr>
          <w:i/>
          <w:iCs/>
          <w:color w:val="215E99" w:themeColor="text2" w:themeTint="BF"/>
        </w:rPr>
        <w:t xml:space="preserve"> Internationa</w:t>
      </w:r>
      <w:r w:rsidR="005755C0">
        <w:rPr>
          <w:i/>
          <w:iCs/>
          <w:color w:val="215E99" w:themeColor="text2" w:themeTint="BF"/>
        </w:rPr>
        <w:t>l</w:t>
      </w:r>
      <w:r w:rsidR="005B044F">
        <w:rPr>
          <w:i/>
          <w:iCs/>
          <w:color w:val="215E99" w:themeColor="text2" w:themeTint="BF"/>
        </w:rPr>
        <w:t xml:space="preserve"> and Contender Development</w:t>
      </w:r>
      <w:r w:rsidR="00702968" w:rsidRPr="003E6C9A">
        <w:rPr>
          <w:i/>
          <w:iCs/>
          <w:color w:val="215E99" w:themeColor="text2" w:themeTint="BF"/>
        </w:rPr>
        <w:t xml:space="preserve">. This plays into </w:t>
      </w:r>
      <w:r w:rsidR="003E6C9A" w:rsidRPr="003E6C9A">
        <w:rPr>
          <w:i/>
          <w:iCs/>
          <w:color w:val="215E99" w:themeColor="text2" w:themeTint="BF"/>
        </w:rPr>
        <w:t>the events of my case in 2025.</w:t>
      </w:r>
      <w:r w:rsidR="00500C87">
        <w:rPr>
          <w:i/>
          <w:iCs/>
          <w:color w:val="215E99" w:themeColor="text2" w:themeTint="BF"/>
        </w:rPr>
        <w:t xml:space="preserve"> </w:t>
      </w:r>
      <w:proofErr w:type="spellStart"/>
      <w:r w:rsidR="003E6C9A" w:rsidRPr="003E6C9A">
        <w:rPr>
          <w:i/>
          <w:iCs/>
          <w:color w:val="215E99" w:themeColor="text2" w:themeTint="BF"/>
        </w:rPr>
        <w:t>Blackstream</w:t>
      </w:r>
      <w:proofErr w:type="spellEnd"/>
      <w:r w:rsidR="003E6C9A" w:rsidRPr="003E6C9A">
        <w:rPr>
          <w:i/>
          <w:iCs/>
          <w:color w:val="215E99" w:themeColor="text2" w:themeTint="BF"/>
        </w:rPr>
        <w:t xml:space="preserve"> International is an entity under the parent company,</w:t>
      </w:r>
      <w:r w:rsidRPr="003E6C9A">
        <w:rPr>
          <w:i/>
          <w:iCs/>
          <w:color w:val="215E99" w:themeColor="text2" w:themeTint="BF"/>
        </w:rPr>
        <w:t xml:space="preserve"> Contender Development</w:t>
      </w:r>
      <w:r w:rsidR="003E6C9A" w:rsidRPr="003E6C9A">
        <w:rPr>
          <w:i/>
          <w:iCs/>
          <w:color w:val="215E99" w:themeColor="text2" w:themeTint="BF"/>
        </w:rPr>
        <w:t xml:space="preserve">. CDI </w:t>
      </w:r>
      <w:r w:rsidRPr="003E6C9A">
        <w:rPr>
          <w:i/>
          <w:iCs/>
          <w:color w:val="215E99" w:themeColor="text2" w:themeTint="BF"/>
        </w:rPr>
        <w:t>currently has an SEC monitor.</w:t>
      </w:r>
    </w:p>
    <w:p w14:paraId="0817598D" w14:textId="6FA241EA" w:rsidR="00EF186A" w:rsidRPr="00EF186A" w:rsidRDefault="00EF186A" w:rsidP="00E47181">
      <w:pPr>
        <w:spacing w:line="240" w:lineRule="auto"/>
      </w:pPr>
      <w:r w:rsidRPr="00EF186A">
        <w:t>As of January 2026, the primary legal developments surrounding </w:t>
      </w:r>
      <w:r w:rsidRPr="00EF186A">
        <w:rPr>
          <w:b/>
          <w:bCs/>
        </w:rPr>
        <w:t>Broadstreet Inc.</w:t>
      </w:r>
      <w:r w:rsidRPr="00EF186A">
        <w:t> (a Greenville-based private equity firm often associated with residential development projects) involve a significant settlement with federal regulators and ongoing litigation with private investors.</w:t>
      </w:r>
    </w:p>
    <w:p w14:paraId="02D31D90" w14:textId="77777777" w:rsidR="00EF186A" w:rsidRPr="00EF186A" w:rsidRDefault="00EF186A" w:rsidP="00EF186A">
      <w:pPr>
        <w:rPr>
          <w:b/>
          <w:bCs/>
        </w:rPr>
      </w:pPr>
      <w:r w:rsidRPr="00EF186A">
        <w:rPr>
          <w:b/>
          <w:bCs/>
        </w:rPr>
        <w:t>1. SEC Fraud Lawsuit Settlement </w:t>
      </w:r>
    </w:p>
    <w:p w14:paraId="7821DEA6" w14:textId="77777777" w:rsidR="00EF186A" w:rsidRPr="00EF186A" w:rsidRDefault="00EF186A" w:rsidP="00E47181">
      <w:pPr>
        <w:spacing w:line="240" w:lineRule="auto"/>
      </w:pPr>
      <w:r w:rsidRPr="00EF186A">
        <w:t>In April 2025, Broadstreet reached an </w:t>
      </w:r>
      <w:r w:rsidRPr="00EF186A">
        <w:rPr>
          <w:b/>
          <w:bCs/>
        </w:rPr>
        <w:t>agreement in principle</w:t>
      </w:r>
      <w:r w:rsidRPr="00EF186A">
        <w:t> to resolve a massive fraud lawsuit filed by the </w:t>
      </w:r>
      <w:hyperlink r:id="rId5" w:tgtFrame="_blank" w:history="1">
        <w:r w:rsidRPr="00EF186A">
          <w:rPr>
            <w:rStyle w:val="Hyperlink"/>
          </w:rPr>
          <w:t>U.S. Securities and Exchange Commission (SEC)</w:t>
        </w:r>
      </w:hyperlink>
      <w:r w:rsidRPr="00EF186A">
        <w:t>. </w:t>
      </w:r>
    </w:p>
    <w:p w14:paraId="46676F22" w14:textId="77777777" w:rsidR="00EF186A" w:rsidRPr="00EF186A" w:rsidRDefault="00EF186A" w:rsidP="00E47181">
      <w:pPr>
        <w:numPr>
          <w:ilvl w:val="0"/>
          <w:numId w:val="1"/>
        </w:numPr>
        <w:spacing w:line="240" w:lineRule="auto"/>
      </w:pPr>
      <w:r w:rsidRPr="00EF186A">
        <w:rPr>
          <w:b/>
          <w:bCs/>
        </w:rPr>
        <w:t>The Allegations:</w:t>
      </w:r>
      <w:r w:rsidRPr="00EF186A">
        <w:t> The SEC originally filed the suit in early 2025, alleging that Broadstreet and its executives (including David Feingold and Joseph and Steven Baldassarra) engaged in a </w:t>
      </w:r>
      <w:r w:rsidRPr="00EF186A">
        <w:rPr>
          <w:b/>
          <w:bCs/>
        </w:rPr>
        <w:t>$1 billion offering fraud</w:t>
      </w:r>
      <w:r w:rsidRPr="00EF186A">
        <w:t>. The agency claimed they misled over 1,000 investors and commingled nearly $880 million into management accounts.</w:t>
      </w:r>
    </w:p>
    <w:p w14:paraId="091F3A41" w14:textId="77777777" w:rsidR="00EF186A" w:rsidRPr="00EF186A" w:rsidRDefault="00EF186A" w:rsidP="00E47181">
      <w:pPr>
        <w:numPr>
          <w:ilvl w:val="0"/>
          <w:numId w:val="1"/>
        </w:numPr>
        <w:spacing w:line="240" w:lineRule="auto"/>
      </w:pPr>
      <w:r w:rsidRPr="00EF186A">
        <w:rPr>
          <w:b/>
          <w:bCs/>
        </w:rPr>
        <w:t>Resolution:</w:t>
      </w:r>
      <w:r w:rsidRPr="00EF186A">
        <w:t> During a March 2025 hearing for a temporary restraining order, SEC attorneys requested an adjournment to finalize a settlement. While the SEC maintained reservations about the defendants' conduct, they deemed the settlement to be in the "best interests of investors." </w:t>
      </w:r>
    </w:p>
    <w:p w14:paraId="0E0A8D5C" w14:textId="77777777" w:rsidR="00EF186A" w:rsidRPr="00EF186A" w:rsidRDefault="00EF186A" w:rsidP="00E47181">
      <w:pPr>
        <w:spacing w:line="240" w:lineRule="auto"/>
        <w:rPr>
          <w:b/>
          <w:bCs/>
        </w:rPr>
      </w:pPr>
      <w:r w:rsidRPr="00EF186A">
        <w:rPr>
          <w:b/>
          <w:bCs/>
        </w:rPr>
        <w:t>2. Private Investor Litigation &amp; Countersuits</w:t>
      </w:r>
    </w:p>
    <w:p w14:paraId="45DDA94F" w14:textId="77777777" w:rsidR="00EF186A" w:rsidRPr="00EF186A" w:rsidRDefault="00EF186A" w:rsidP="00E47181">
      <w:pPr>
        <w:spacing w:line="240" w:lineRule="auto"/>
      </w:pPr>
      <w:r w:rsidRPr="00EF186A">
        <w:t>Broadstreet has been involved in several skirmishes with individual investors and groups:</w:t>
      </w:r>
    </w:p>
    <w:p w14:paraId="63B51FF4" w14:textId="77777777" w:rsidR="00EF186A" w:rsidRPr="00EF186A" w:rsidRDefault="00EF186A" w:rsidP="00E47181">
      <w:pPr>
        <w:numPr>
          <w:ilvl w:val="0"/>
          <w:numId w:val="2"/>
        </w:numPr>
        <w:spacing w:line="240" w:lineRule="auto"/>
      </w:pPr>
      <w:r w:rsidRPr="00EF186A">
        <w:rPr>
          <w:b/>
          <w:bCs/>
        </w:rPr>
        <w:t>Declaratory Judgment Action:</w:t>
      </w:r>
      <w:r w:rsidRPr="00EF186A">
        <w:t> In June 2025, Broadstreet filed a </w:t>
      </w:r>
      <w:hyperlink r:id="rId6" w:tgtFrame="_blank" w:history="1">
        <w:r w:rsidRPr="00EF186A">
          <w:rPr>
            <w:rStyle w:val="Hyperlink"/>
          </w:rPr>
          <w:t>preemptive lawsuit in Greenville County</w:t>
        </w:r>
      </w:hyperlink>
      <w:r w:rsidRPr="00EF186A">
        <w:t> against a group known as the "L3 Investors." Broadstreet sought a declaration that these investors could not recover lost funds from the firm.</w:t>
      </w:r>
    </w:p>
    <w:p w14:paraId="3697AED4" w14:textId="77777777" w:rsidR="00EF186A" w:rsidRPr="00EF186A" w:rsidRDefault="00EF186A" w:rsidP="00E47181">
      <w:pPr>
        <w:numPr>
          <w:ilvl w:val="0"/>
          <w:numId w:val="2"/>
        </w:numPr>
        <w:spacing w:line="240" w:lineRule="auto"/>
      </w:pPr>
      <w:r w:rsidRPr="00EF186A">
        <w:rPr>
          <w:b/>
          <w:bCs/>
        </w:rPr>
        <w:t>Motions to Dismiss:</w:t>
      </w:r>
      <w:r w:rsidRPr="00EF186A">
        <w:t xml:space="preserve"> The L3 Investors moved to dismiss Broadstreet's complaint in late June 2025, arguing it was an improper attempt to foreclose their claims before they were even filed and requesting the case be stayed pending the </w:t>
      </w:r>
      <w:proofErr w:type="gramStart"/>
      <w:r w:rsidRPr="00EF186A">
        <w:t>final outcome</w:t>
      </w:r>
      <w:proofErr w:type="gramEnd"/>
      <w:r w:rsidRPr="00EF186A">
        <w:t xml:space="preserve"> of the SEC action.</w:t>
      </w:r>
    </w:p>
    <w:p w14:paraId="741AD706" w14:textId="77777777" w:rsidR="00EF186A" w:rsidRPr="00EF186A" w:rsidRDefault="00EF186A" w:rsidP="00E47181">
      <w:pPr>
        <w:numPr>
          <w:ilvl w:val="0"/>
          <w:numId w:val="2"/>
        </w:numPr>
        <w:spacing w:line="240" w:lineRule="auto"/>
      </w:pPr>
      <w:r w:rsidRPr="00EF186A">
        <w:rPr>
          <w:b/>
          <w:bCs/>
        </w:rPr>
        <w:t>Individual Settlements:</w:t>
      </w:r>
      <w:r w:rsidRPr="00EF186A">
        <w:t> In May 2025, Broadstreet </w:t>
      </w:r>
      <w:hyperlink r:id="rId7" w:tgtFrame="_blank" w:history="1">
        <w:r w:rsidRPr="00EF186A">
          <w:rPr>
            <w:rStyle w:val="Hyperlink"/>
          </w:rPr>
          <w:t>settled a misrepresentation suit</w:t>
        </w:r>
      </w:hyperlink>
      <w:r w:rsidRPr="00EF186A">
        <w:t> filed by an 83-year-old investor, Leroy Howe, who claimed he was unable to recover his life savings from the firm. </w:t>
      </w:r>
    </w:p>
    <w:p w14:paraId="44B8037B" w14:textId="77777777" w:rsidR="00EF186A" w:rsidRPr="00EF186A" w:rsidRDefault="00EF186A" w:rsidP="00E47181">
      <w:pPr>
        <w:spacing w:line="240" w:lineRule="auto"/>
        <w:rPr>
          <w:b/>
          <w:bCs/>
        </w:rPr>
      </w:pPr>
      <w:r w:rsidRPr="00EF186A">
        <w:rPr>
          <w:b/>
          <w:bCs/>
        </w:rPr>
        <w:lastRenderedPageBreak/>
        <w:t>3. Withdrawal of SEC Appeal </w:t>
      </w:r>
    </w:p>
    <w:p w14:paraId="626A5ABA" w14:textId="77777777" w:rsidR="00EF186A" w:rsidRPr="00EF186A" w:rsidRDefault="00EF186A" w:rsidP="00E47181">
      <w:pPr>
        <w:spacing w:after="0"/>
      </w:pPr>
      <w:r w:rsidRPr="00EF186A">
        <w:t>In March 2025, Broadstreet </w:t>
      </w:r>
      <w:hyperlink r:id="rId8" w:tgtFrame="_blank" w:history="1">
        <w:r w:rsidRPr="00EF186A">
          <w:rPr>
            <w:rStyle w:val="Hyperlink"/>
          </w:rPr>
          <w:t>withdrew its appeal</w:t>
        </w:r>
      </w:hyperlink>
      <w:r w:rsidRPr="00EF186A">
        <w:t> in the Fifth Circuit Court of Appeals. The firm had originally sued the SEC in late 2024 to block the agency's investigation, claiming regulatory overreach, but dropped the challenge after the SEC filed its formal enforcement action in Florida. </w:t>
      </w:r>
    </w:p>
    <w:p w14:paraId="252771A1" w14:textId="77777777" w:rsidR="00EF186A" w:rsidRPr="00EF186A" w:rsidRDefault="00EF186A" w:rsidP="00E47181">
      <w:pPr>
        <w:spacing w:after="0"/>
      </w:pPr>
      <w:r w:rsidRPr="00EF186A">
        <w:rPr>
          <w:b/>
          <w:bCs/>
          <w:i/>
          <w:iCs/>
        </w:rPr>
        <w:t>Note:</w:t>
      </w:r>
      <w:r w:rsidRPr="00EF186A">
        <w:rPr>
          <w:i/>
          <w:iCs/>
        </w:rPr>
        <w:t> While "Broadstreet Homes" specifically refers to the home-building arm, these legal updates concern the parent private equity firm, </w:t>
      </w:r>
      <w:r w:rsidRPr="00EF186A">
        <w:rPr>
          <w:b/>
          <w:bCs/>
          <w:i/>
          <w:iCs/>
        </w:rPr>
        <w:t>Broadstreet Inc.</w:t>
      </w:r>
      <w:r w:rsidRPr="00EF186A">
        <w:rPr>
          <w:i/>
          <w:iCs/>
        </w:rPr>
        <w:t>, which controls the funding and infrastructure development for those residential projects.</w:t>
      </w:r>
      <w:r w:rsidRPr="00EF186A">
        <w:t> </w:t>
      </w:r>
    </w:p>
    <w:p w14:paraId="739923CB" w14:textId="12146BA2" w:rsidR="00420060" w:rsidRPr="00E47181" w:rsidRDefault="00420060" w:rsidP="00E47181">
      <w:pPr>
        <w:spacing w:after="0"/>
        <w:rPr>
          <w:i/>
          <w:iCs/>
        </w:rPr>
      </w:pPr>
      <w:r w:rsidRPr="00E47181">
        <w:rPr>
          <w:i/>
          <w:iCs/>
        </w:rPr>
        <w:t>https://www.postandcourier.com/greenville/business/broad-street-global-management-greenville-fraud-lawsuit/article_e361d1c8-e585-11ef-8f95-ffaf05c10281.html</w:t>
      </w:r>
    </w:p>
    <w:p w14:paraId="0A752DBE" w14:textId="08FD2C4C" w:rsidR="00972959" w:rsidRDefault="00972959" w:rsidP="00E47181">
      <w:pPr>
        <w:spacing w:after="0"/>
        <w:rPr>
          <w:rFonts w:ascii="Arial" w:hAnsi="Arial" w:cs="Arial"/>
          <w:b/>
          <w:bCs/>
          <w:color w:val="F15062"/>
          <w:sz w:val="32"/>
          <w:szCs w:val="32"/>
        </w:rPr>
      </w:pPr>
      <w:r>
        <w:rPr>
          <w:rFonts w:ascii="Arial" w:hAnsi="Arial" w:cs="Arial"/>
          <w:b/>
          <w:bCs/>
          <w:color w:val="F15062"/>
          <w:sz w:val="32"/>
          <w:szCs w:val="32"/>
        </w:rPr>
        <w:t>SEC CASE</w:t>
      </w:r>
    </w:p>
    <w:p w14:paraId="4C688FEA" w14:textId="33821843" w:rsidR="00972959" w:rsidRPr="00E47181" w:rsidRDefault="00972959" w:rsidP="00E47181">
      <w:pPr>
        <w:pStyle w:val="Heading1"/>
        <w:spacing w:before="0" w:after="0" w:line="240" w:lineRule="auto"/>
        <w:ind w:right="1500"/>
        <w:rPr>
          <w:rFonts w:ascii="miller-headline" w:hAnsi="miller-headline" w:cs="Times New Roman"/>
          <w:b/>
          <w:bCs/>
          <w:color w:val="262B28"/>
        </w:rPr>
      </w:pPr>
      <w:r w:rsidRPr="00E47181">
        <w:rPr>
          <w:rFonts w:ascii="miller-headline" w:hAnsi="miller-headline"/>
          <w:color w:val="262B28"/>
        </w:rPr>
        <w:t>A major Greenville company duped investors out of $1 billion, lawsuit</w:t>
      </w:r>
      <w:r w:rsidR="00420060" w:rsidRPr="00E47181">
        <w:rPr>
          <w:rFonts w:ascii="miller-headline" w:hAnsi="miller-headline"/>
          <w:color w:val="262B28"/>
        </w:rPr>
        <w:t xml:space="preserve"> </w:t>
      </w:r>
      <w:r w:rsidRPr="00E47181">
        <w:rPr>
          <w:rFonts w:ascii="miller-headline" w:hAnsi="miller-headline"/>
          <w:color w:val="262B28"/>
        </w:rPr>
        <w:t>says</w:t>
      </w:r>
    </w:p>
    <w:p w14:paraId="6265DF32" w14:textId="77777777" w:rsidR="00972959" w:rsidRPr="00972959" w:rsidRDefault="00972959" w:rsidP="00E47181">
      <w:pPr>
        <w:spacing w:before="100" w:beforeAutospacing="1" w:after="0" w:line="240" w:lineRule="auto"/>
        <w:ind w:left="285"/>
        <w:rPr>
          <w:rFonts w:ascii="Arial" w:hAnsi="Arial" w:cs="Arial"/>
          <w:sz w:val="20"/>
          <w:szCs w:val="20"/>
        </w:rPr>
      </w:pPr>
      <w:hyperlink r:id="rId9" w:history="1">
        <w:r w:rsidRPr="00972959">
          <w:rPr>
            <w:rStyle w:val="Hyperlink"/>
            <w:rFonts w:ascii="Arial" w:hAnsi="Arial" w:cs="Arial"/>
            <w:b/>
            <w:bCs/>
            <w:color w:val="535B57"/>
            <w:sz w:val="20"/>
            <w:szCs w:val="20"/>
            <w:u w:val="none"/>
          </w:rPr>
          <w:t>By Seth Taylor staylor@postandcourier.com</w:t>
        </w:r>
      </w:hyperlink>
    </w:p>
    <w:p w14:paraId="79305D2C" w14:textId="77777777" w:rsidR="00972959" w:rsidRPr="00972959" w:rsidRDefault="00972959" w:rsidP="00E47181">
      <w:pPr>
        <w:pStyle w:val="hidden-print"/>
        <w:spacing w:before="0" w:beforeAutospacing="0"/>
        <w:ind w:left="285"/>
        <w:rPr>
          <w:rFonts w:ascii="Arial" w:hAnsi="Arial" w:cs="Arial"/>
          <w:sz w:val="20"/>
          <w:szCs w:val="20"/>
        </w:rPr>
      </w:pPr>
      <w:r w:rsidRPr="00972959">
        <w:rPr>
          <w:rFonts w:ascii="Arial" w:hAnsi="Arial" w:cs="Arial"/>
          <w:sz w:val="20"/>
          <w:szCs w:val="20"/>
        </w:rPr>
        <w:t>Feb 10, 2025</w:t>
      </w:r>
    </w:p>
    <w:p w14:paraId="56FC5731" w14:textId="75BD8E05" w:rsidR="00972959" w:rsidRDefault="00972959" w:rsidP="00972959">
      <w:pPr>
        <w:shd w:val="clear" w:color="auto" w:fill="F3F4F2"/>
      </w:pPr>
      <w:r>
        <w:fldChar w:fldCharType="begin"/>
      </w:r>
      <w:r>
        <w:instrText xml:space="preserve"> INCLUDEPICTURE "https://bloximages.newyork1.vip.townnews.com/postandcourier.com/content/tncms/assets/v3/editorial/7/73/7730f2ac-e7f8-11ef-841c-3f567499f330/58062ff6f283b.image.jpg?resize=400%2C267" \* MERGEFORMATINET </w:instrText>
      </w:r>
      <w:r>
        <w:fldChar w:fldCharType="separate"/>
      </w:r>
      <w:r>
        <w:rPr>
          <w:noProof/>
        </w:rPr>
        <w:drawing>
          <wp:inline distT="0" distB="0" distL="0" distR="0" wp14:anchorId="0F0D40A2" wp14:editId="2ED6ED7B">
            <wp:extent cx="3585633" cy="2390934"/>
            <wp:effectExtent l="0" t="0" r="0" b="0"/>
            <wp:docPr id="1401979206" name="Picture 1" descr="How much more does the CEO make? You may find out (copy)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much more does the CEO make? You may find out (copy) (cop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9051" cy="2406549"/>
                    </a:xfrm>
                    <a:prstGeom prst="rect">
                      <a:avLst/>
                    </a:prstGeom>
                    <a:noFill/>
                    <a:ln>
                      <a:noFill/>
                    </a:ln>
                  </pic:spPr>
                </pic:pic>
              </a:graphicData>
            </a:graphic>
          </wp:inline>
        </w:drawing>
      </w:r>
      <w:r>
        <w:fldChar w:fldCharType="end"/>
      </w:r>
    </w:p>
    <w:p w14:paraId="29A9CD2A" w14:textId="77777777" w:rsidR="00972959" w:rsidRDefault="00972959" w:rsidP="00972959">
      <w:pPr>
        <w:pStyle w:val="NormalWeb"/>
        <w:shd w:val="clear" w:color="auto" w:fill="F3F4F2"/>
        <w:spacing w:before="0" w:beforeAutospacing="0" w:after="0" w:afterAutospacing="0" w:line="336" w:lineRule="atLeast"/>
        <w:rPr>
          <w:rFonts w:ascii="Arial" w:hAnsi="Arial" w:cs="Arial"/>
          <w:color w:val="535B57"/>
          <w:sz w:val="20"/>
          <w:szCs w:val="20"/>
        </w:rPr>
      </w:pPr>
      <w:r>
        <w:rPr>
          <w:rFonts w:ascii="Arial" w:hAnsi="Arial" w:cs="Arial"/>
          <w:color w:val="535B57"/>
          <w:sz w:val="20"/>
          <w:szCs w:val="20"/>
        </w:rPr>
        <w:t>The U.S. Securities and Exchange Commission is suing a Greenville-based private equity investment firm that sued the agency last year.</w:t>
      </w:r>
    </w:p>
    <w:p w14:paraId="7230A058" w14:textId="77777777" w:rsidR="00972959" w:rsidRDefault="00972959" w:rsidP="00972959">
      <w:pPr>
        <w:shd w:val="clear" w:color="auto" w:fill="F3F4F2"/>
        <w:rPr>
          <w:rFonts w:ascii="Times New Roman" w:hAnsi="Times New Roman" w:cs="Times New Roman"/>
        </w:rPr>
      </w:pPr>
      <w:r>
        <w:rPr>
          <w:rStyle w:val="tnt-byline"/>
          <w:rFonts w:ascii="Arial" w:hAnsi="Arial" w:cs="Arial"/>
          <w:color w:val="919995"/>
          <w:sz w:val="18"/>
          <w:szCs w:val="18"/>
        </w:rPr>
        <w:t>File/AP</w:t>
      </w:r>
    </w:p>
    <w:p w14:paraId="4E724D52" w14:textId="77777777" w:rsidR="00972959" w:rsidRPr="00E47181" w:rsidRDefault="00972959" w:rsidP="00972959">
      <w:pPr>
        <w:pStyle w:val="z-TopofForm"/>
        <w:rPr>
          <w:sz w:val="24"/>
          <w:szCs w:val="24"/>
        </w:rPr>
      </w:pPr>
      <w:r w:rsidRPr="00E47181">
        <w:rPr>
          <w:sz w:val="24"/>
          <w:szCs w:val="24"/>
        </w:rPr>
        <w:t>Top of Form</w:t>
      </w:r>
    </w:p>
    <w:p w14:paraId="120D2027" w14:textId="77777777" w:rsidR="00972959" w:rsidRPr="00E47181" w:rsidRDefault="00972959" w:rsidP="00972959">
      <w:pPr>
        <w:pStyle w:val="z-BottomofForm"/>
        <w:rPr>
          <w:sz w:val="24"/>
          <w:szCs w:val="24"/>
        </w:rPr>
      </w:pPr>
      <w:r w:rsidRPr="00E47181">
        <w:rPr>
          <w:sz w:val="24"/>
          <w:szCs w:val="24"/>
        </w:rPr>
        <w:t>Bottom of Form</w:t>
      </w:r>
    </w:p>
    <w:p w14:paraId="1C973816" w14:textId="77777777" w:rsidR="00972959" w:rsidRPr="00E47181" w:rsidRDefault="00972959" w:rsidP="00972959">
      <w:pPr>
        <w:pStyle w:val="NormalWeb"/>
        <w:shd w:val="clear" w:color="auto" w:fill="F3F4F2"/>
        <w:spacing w:before="0" w:beforeAutospacing="0" w:after="360" w:afterAutospacing="0" w:line="435" w:lineRule="atLeast"/>
        <w:rPr>
          <w:rFonts w:ascii="miller-text" w:hAnsi="miller-text"/>
          <w:color w:val="262B28"/>
        </w:rPr>
      </w:pPr>
      <w:r w:rsidRPr="00E47181">
        <w:rPr>
          <w:rFonts w:ascii="miller-text" w:hAnsi="miller-text"/>
          <w:color w:val="262B28"/>
        </w:rPr>
        <w:t>GREENVILLE — An Upstate private equity fund is accused of defrauding more than a thousand investors to the tune of $1 billion, according to a lawsuit filed by the </w:t>
      </w:r>
      <w:hyperlink r:id="rId11" w:tgtFrame="_blank" w:history="1">
        <w:r w:rsidRPr="00E47181">
          <w:rPr>
            <w:rStyle w:val="Hyperlink"/>
            <w:rFonts w:ascii="miller-text" w:eastAsiaTheme="majorEastAsia" w:hAnsi="miller-text"/>
            <w:b/>
            <w:bCs/>
            <w:color w:val="0074D9"/>
          </w:rPr>
          <w:t>U.S. Securities and Exchange Commission</w:t>
        </w:r>
      </w:hyperlink>
      <w:r w:rsidRPr="00E47181">
        <w:rPr>
          <w:rFonts w:ascii="miller-text" w:hAnsi="miller-text"/>
          <w:color w:val="262B28"/>
        </w:rPr>
        <w:t>.</w:t>
      </w:r>
    </w:p>
    <w:p w14:paraId="01B2E39D" w14:textId="0160007B" w:rsidR="005115C4" w:rsidRPr="00E47181" w:rsidRDefault="00972959" w:rsidP="00972959">
      <w:pPr>
        <w:pStyle w:val="NormalWeb"/>
        <w:shd w:val="clear" w:color="auto" w:fill="F3F4F2"/>
        <w:spacing w:before="0" w:beforeAutospacing="0" w:after="360" w:afterAutospacing="0" w:line="435" w:lineRule="atLeast"/>
        <w:rPr>
          <w:rFonts w:ascii="miller-text" w:hAnsi="miller-text"/>
          <w:color w:val="262B28"/>
        </w:rPr>
      </w:pPr>
      <w:r w:rsidRPr="00E47181">
        <w:rPr>
          <w:rFonts w:ascii="miller-text" w:hAnsi="miller-text"/>
          <w:color w:val="262B28"/>
        </w:rPr>
        <w:lastRenderedPageBreak/>
        <w:t>The SEC accuses Greenville-based Broad Street Global Management and its leaders of making numerous false statements to investors and using “deceptive schemes” to raise funding. </w:t>
      </w:r>
    </w:p>
    <w:sectPr w:rsidR="005115C4" w:rsidRPr="00E47181"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ller-headline">
    <w:altName w:val="Cambria"/>
    <w:panose1 w:val="020B0604020202020204"/>
    <w:charset w:val="00"/>
    <w:family w:val="roman"/>
    <w:notTrueType/>
    <w:pitch w:val="default"/>
  </w:font>
  <w:font w:name="miller-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6365"/>
    <w:multiLevelType w:val="multilevel"/>
    <w:tmpl w:val="B58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678AE"/>
    <w:multiLevelType w:val="multilevel"/>
    <w:tmpl w:val="DBE8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A3936"/>
    <w:multiLevelType w:val="multilevel"/>
    <w:tmpl w:val="1ADA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B0E8B"/>
    <w:multiLevelType w:val="multilevel"/>
    <w:tmpl w:val="1A3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D2832"/>
    <w:multiLevelType w:val="multilevel"/>
    <w:tmpl w:val="974A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632034">
    <w:abstractNumId w:val="3"/>
  </w:num>
  <w:num w:numId="2" w16cid:durableId="863709536">
    <w:abstractNumId w:val="4"/>
  </w:num>
  <w:num w:numId="3" w16cid:durableId="744689362">
    <w:abstractNumId w:val="2"/>
  </w:num>
  <w:num w:numId="4" w16cid:durableId="366683748">
    <w:abstractNumId w:val="1"/>
  </w:num>
  <w:num w:numId="5" w16cid:durableId="1618289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6A"/>
    <w:rsid w:val="00024199"/>
    <w:rsid w:val="0003349C"/>
    <w:rsid w:val="003A235A"/>
    <w:rsid w:val="003E6C9A"/>
    <w:rsid w:val="00420060"/>
    <w:rsid w:val="00432835"/>
    <w:rsid w:val="00500C87"/>
    <w:rsid w:val="005115C4"/>
    <w:rsid w:val="005755C0"/>
    <w:rsid w:val="005961AC"/>
    <w:rsid w:val="005B044F"/>
    <w:rsid w:val="005E27E8"/>
    <w:rsid w:val="00702968"/>
    <w:rsid w:val="007659A0"/>
    <w:rsid w:val="008605A2"/>
    <w:rsid w:val="00972959"/>
    <w:rsid w:val="00B73322"/>
    <w:rsid w:val="00E47181"/>
    <w:rsid w:val="00EF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C5DAE7"/>
  <w15:chartTrackingRefBased/>
  <w15:docId w15:val="{8AA864BF-737E-DF44-8835-7D9A2238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86A"/>
    <w:rPr>
      <w:rFonts w:eastAsiaTheme="majorEastAsia" w:cstheme="majorBidi"/>
      <w:color w:val="272727" w:themeColor="text1" w:themeTint="D8"/>
    </w:rPr>
  </w:style>
  <w:style w:type="paragraph" w:styleId="Title">
    <w:name w:val="Title"/>
    <w:basedOn w:val="Normal"/>
    <w:next w:val="Normal"/>
    <w:link w:val="TitleChar"/>
    <w:uiPriority w:val="10"/>
    <w:qFormat/>
    <w:rsid w:val="00EF1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86A"/>
    <w:pPr>
      <w:spacing w:before="160"/>
      <w:jc w:val="center"/>
    </w:pPr>
    <w:rPr>
      <w:i/>
      <w:iCs/>
      <w:color w:val="404040" w:themeColor="text1" w:themeTint="BF"/>
    </w:rPr>
  </w:style>
  <w:style w:type="character" w:customStyle="1" w:styleId="QuoteChar">
    <w:name w:val="Quote Char"/>
    <w:basedOn w:val="DefaultParagraphFont"/>
    <w:link w:val="Quote"/>
    <w:uiPriority w:val="29"/>
    <w:rsid w:val="00EF186A"/>
    <w:rPr>
      <w:i/>
      <w:iCs/>
      <w:color w:val="404040" w:themeColor="text1" w:themeTint="BF"/>
    </w:rPr>
  </w:style>
  <w:style w:type="paragraph" w:styleId="ListParagraph">
    <w:name w:val="List Paragraph"/>
    <w:basedOn w:val="Normal"/>
    <w:uiPriority w:val="34"/>
    <w:qFormat/>
    <w:rsid w:val="00EF186A"/>
    <w:pPr>
      <w:ind w:left="720"/>
      <w:contextualSpacing/>
    </w:pPr>
  </w:style>
  <w:style w:type="character" w:styleId="IntenseEmphasis">
    <w:name w:val="Intense Emphasis"/>
    <w:basedOn w:val="DefaultParagraphFont"/>
    <w:uiPriority w:val="21"/>
    <w:qFormat/>
    <w:rsid w:val="00EF186A"/>
    <w:rPr>
      <w:i/>
      <w:iCs/>
      <w:color w:val="0F4761" w:themeColor="accent1" w:themeShade="BF"/>
    </w:rPr>
  </w:style>
  <w:style w:type="paragraph" w:styleId="IntenseQuote">
    <w:name w:val="Intense Quote"/>
    <w:basedOn w:val="Normal"/>
    <w:next w:val="Normal"/>
    <w:link w:val="IntenseQuoteChar"/>
    <w:uiPriority w:val="30"/>
    <w:qFormat/>
    <w:rsid w:val="00EF1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86A"/>
    <w:rPr>
      <w:i/>
      <w:iCs/>
      <w:color w:val="0F4761" w:themeColor="accent1" w:themeShade="BF"/>
    </w:rPr>
  </w:style>
  <w:style w:type="character" w:styleId="IntenseReference">
    <w:name w:val="Intense Reference"/>
    <w:basedOn w:val="DefaultParagraphFont"/>
    <w:uiPriority w:val="32"/>
    <w:qFormat/>
    <w:rsid w:val="00EF186A"/>
    <w:rPr>
      <w:b/>
      <w:bCs/>
      <w:smallCaps/>
      <w:color w:val="0F4761" w:themeColor="accent1" w:themeShade="BF"/>
      <w:spacing w:val="5"/>
    </w:rPr>
  </w:style>
  <w:style w:type="character" w:styleId="Hyperlink">
    <w:name w:val="Hyperlink"/>
    <w:basedOn w:val="DefaultParagraphFont"/>
    <w:uiPriority w:val="99"/>
    <w:unhideWhenUsed/>
    <w:rsid w:val="00EF186A"/>
    <w:rPr>
      <w:color w:val="467886" w:themeColor="hyperlink"/>
      <w:u w:val="single"/>
    </w:rPr>
  </w:style>
  <w:style w:type="character" w:styleId="UnresolvedMention">
    <w:name w:val="Unresolved Mention"/>
    <w:basedOn w:val="DefaultParagraphFont"/>
    <w:uiPriority w:val="99"/>
    <w:semiHidden/>
    <w:unhideWhenUsed/>
    <w:rsid w:val="00EF186A"/>
    <w:rPr>
      <w:color w:val="605E5C"/>
      <w:shd w:val="clear" w:color="auto" w:fill="E1DFDD"/>
    </w:rPr>
  </w:style>
  <w:style w:type="character" w:customStyle="1" w:styleId="tnt-byline">
    <w:name w:val="tnt-byline"/>
    <w:basedOn w:val="DefaultParagraphFont"/>
    <w:rsid w:val="00972959"/>
  </w:style>
  <w:style w:type="paragraph" w:customStyle="1" w:styleId="hidden-print">
    <w:name w:val="hidden-print"/>
    <w:basedOn w:val="Normal"/>
    <w:rsid w:val="0097295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ocial-share-link">
    <w:name w:val="social-share-link"/>
    <w:basedOn w:val="Normal"/>
    <w:rsid w:val="009729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972959"/>
  </w:style>
  <w:style w:type="paragraph" w:styleId="NormalWeb">
    <w:name w:val="Normal (Web)"/>
    <w:basedOn w:val="Normal"/>
    <w:uiPriority w:val="99"/>
    <w:unhideWhenUsed/>
    <w:rsid w:val="009729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97295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7295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97295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72959"/>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4200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law.com/securities-law/broadstreet-withdraws-appeal-over-sec-real-estate-investig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ews.bloomberglaw.com/litigation/broadstreet-misrepresented-investments-elderly-customer-alleg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2.greenvillecounty.org/scjd/PublicIndex/PIImageDisplay.aspx?ctagency=23002&amp;doctype=D&amp;docid=1749843759032-653&amp;HKey=11480108112811126798114831117356548984117669969686610366118111755678495043761021211071188949100479056" TargetMode="External"/><Relationship Id="rId11" Type="http://schemas.openxmlformats.org/officeDocument/2006/relationships/hyperlink" Target="https://assets.law360news.com/2290000/2290692/https-ecf-flsd-uscourts-gov-doc1-051128066632.pdf" TargetMode="External"/><Relationship Id="rId5" Type="http://schemas.openxmlformats.org/officeDocument/2006/relationships/hyperlink" Target="https://www.fitsnews.com/2025/04/10/broadstreet-saga-agreement-in-principle-reached-in-upstate-private-equity-lawsuit/"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postandcourier.com/users/profile/Seth%20Tayl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724</Words>
  <Characters>4325</Characters>
  <Application>Microsoft Office Word</Application>
  <DocSecurity>0</DocSecurity>
  <Lines>78</Lines>
  <Paragraphs>37</Paragraphs>
  <ScaleCrop>false</ScaleCrop>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14</cp:revision>
  <cp:lastPrinted>2026-01-18T13:51:00Z</cp:lastPrinted>
  <dcterms:created xsi:type="dcterms:W3CDTF">2026-01-18T13:49:00Z</dcterms:created>
  <dcterms:modified xsi:type="dcterms:W3CDTF">2026-01-18T16:39:00Z</dcterms:modified>
</cp:coreProperties>
</file>