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1BD8"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Good morning, Thomas</w:t>
      </w:r>
    </w:p>
    <w:p w14:paraId="20CC1E63" w14:textId="77777777" w:rsidR="0001203C" w:rsidRPr="0001203C" w:rsidRDefault="0001203C" w:rsidP="0001203C">
      <w:pPr>
        <w:spacing w:beforeAutospacing="1" w:after="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I’m writing to ensure you are aware of an article published Feb 3 regarding the L3 Capital litigation in Florida. </w:t>
      </w:r>
      <w:hyperlink r:id="rId5" w:tooltip="https://www.investmentnews.com/regulation-legal-compliance/investors-sue-florida-attorney-allege-150-million-pe-fund-theft-scheme/265123" w:history="1">
        <w:r w:rsidRPr="0001203C">
          <w:rPr>
            <w:rFonts w:ascii="Aptos" w:eastAsia="Times New Roman" w:hAnsi="Aptos" w:cs="Times New Roman"/>
            <w:color w:val="0078D4"/>
            <w:kern w:val="0"/>
            <w:u w:val="single"/>
            <w14:ligatures w14:val="none"/>
          </w:rPr>
          <w:t>https://www.investmentnews.com/regulation-legal-compliance/investors-sue-florida-attorney-allege-150-million-pe-fund-theft-scheme/265123</w:t>
        </w:r>
      </w:hyperlink>
      <w:r w:rsidRPr="0001203C">
        <w:rPr>
          <w:rFonts w:ascii="Aptos" w:eastAsia="Times New Roman" w:hAnsi="Aptos" w:cs="Times New Roman"/>
          <w:color w:val="000000"/>
          <w:kern w:val="0"/>
          <w14:ligatures w14:val="none"/>
        </w:rPr>
        <w:t>. I was made aware that this article has been circulating through the company today.</w:t>
      </w:r>
    </w:p>
    <w:p w14:paraId="51B68B8A"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Given the nature of the allegations and the specific naming of our entities, my concern is the potential for "reputational contagion" affecting our current projects and partnerships. While a "No Comment" or "Quiet" strategy is often the first instinct in legal matters, the $150M figure and the "human interest" elements in this filing make this a high-value target for South Carolina and Florida business media.</w:t>
      </w:r>
    </w:p>
    <w:p w14:paraId="63140339"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Having a background in pr and crisis communications, I have drafted a few "protective" items that we can keep in our back pocket should the need arise:</w:t>
      </w:r>
    </w:p>
    <w:p w14:paraId="11CC9699" w14:textId="77777777" w:rsidR="0001203C" w:rsidRPr="0001203C" w:rsidRDefault="0001203C" w:rsidP="0001203C">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01203C">
        <w:rPr>
          <w:rFonts w:ascii="Aptos" w:eastAsia="Times New Roman" w:hAnsi="Aptos" w:cs="Times New Roman"/>
          <w:b/>
          <w:bCs/>
          <w:color w:val="000000"/>
          <w:kern w:val="0"/>
          <w14:ligatures w14:val="none"/>
        </w:rPr>
        <w:t>A "Holding Statement":</w:t>
      </w:r>
      <w:r w:rsidRPr="0001203C">
        <w:rPr>
          <w:rFonts w:ascii="Aptos" w:eastAsia="Times New Roman" w:hAnsi="Aptos" w:cs="Times New Roman"/>
          <w:color w:val="000000"/>
          <w:kern w:val="0"/>
          <w14:ligatures w14:val="none"/>
        </w:rPr>
        <w:t xml:space="preserve"> To ensure we have a unified, </w:t>
      </w:r>
      <w:proofErr w:type="gramStart"/>
      <w:r w:rsidRPr="0001203C">
        <w:rPr>
          <w:rFonts w:ascii="Aptos" w:eastAsia="Times New Roman" w:hAnsi="Aptos" w:cs="Times New Roman"/>
          <w:color w:val="000000"/>
          <w:kern w:val="0"/>
          <w14:ligatures w14:val="none"/>
        </w:rPr>
        <w:t>legally-vetted</w:t>
      </w:r>
      <w:proofErr w:type="gramEnd"/>
      <w:r w:rsidRPr="0001203C">
        <w:rPr>
          <w:rFonts w:ascii="Aptos" w:eastAsia="Times New Roman" w:hAnsi="Aptos" w:cs="Times New Roman"/>
          <w:color w:val="000000"/>
          <w:kern w:val="0"/>
          <w14:ligatures w14:val="none"/>
        </w:rPr>
        <w:t xml:space="preserve"> response if a reporter calls.</w:t>
      </w:r>
    </w:p>
    <w:p w14:paraId="70BA2CD8" w14:textId="77777777" w:rsidR="0001203C" w:rsidRPr="0001203C" w:rsidRDefault="0001203C" w:rsidP="0001203C">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01203C">
        <w:rPr>
          <w:rFonts w:ascii="Aptos" w:eastAsia="Times New Roman" w:hAnsi="Aptos" w:cs="Times New Roman"/>
          <w:b/>
          <w:bCs/>
          <w:color w:val="000000"/>
          <w:kern w:val="0"/>
          <w14:ligatures w14:val="none"/>
        </w:rPr>
        <w:t>A Staff Protocol:</w:t>
      </w:r>
      <w:r w:rsidRPr="0001203C">
        <w:rPr>
          <w:rFonts w:ascii="Aptos" w:eastAsia="Times New Roman" w:hAnsi="Aptos" w:cs="Times New Roman"/>
          <w:color w:val="000000"/>
          <w:kern w:val="0"/>
          <w14:ligatures w14:val="none"/>
        </w:rPr>
        <w:t> To ensure our team knows exactly how to deflect inquiries without creating confusion or fuel for the plaintiffs.</w:t>
      </w:r>
    </w:p>
    <w:p w14:paraId="31573C54" w14:textId="77777777" w:rsidR="0001203C" w:rsidRPr="0001203C" w:rsidRDefault="0001203C" w:rsidP="0001203C">
      <w:pPr>
        <w:numPr>
          <w:ilvl w:val="0"/>
          <w:numId w:val="1"/>
        </w:numPr>
        <w:spacing w:before="100" w:beforeAutospacing="1" w:after="100" w:afterAutospacing="1" w:line="240" w:lineRule="auto"/>
        <w:rPr>
          <w:rFonts w:ascii="Aptos" w:eastAsia="Times New Roman" w:hAnsi="Aptos" w:cs="Times New Roman"/>
          <w:color w:val="000000"/>
          <w:kern w:val="0"/>
          <w14:ligatures w14:val="none"/>
        </w:rPr>
      </w:pPr>
      <w:r w:rsidRPr="0001203C">
        <w:rPr>
          <w:rFonts w:ascii="Aptos" w:eastAsia="Times New Roman" w:hAnsi="Aptos" w:cs="Times New Roman"/>
          <w:b/>
          <w:bCs/>
          <w:color w:val="000000"/>
          <w:kern w:val="0"/>
          <w14:ligatures w14:val="none"/>
        </w:rPr>
        <w:t>A Partner Fact Sheet:</w:t>
      </w:r>
      <w:r w:rsidRPr="0001203C">
        <w:rPr>
          <w:rFonts w:ascii="Aptos" w:eastAsia="Times New Roman" w:hAnsi="Aptos" w:cs="Times New Roman"/>
          <w:color w:val="000000"/>
          <w:kern w:val="0"/>
          <w14:ligatures w14:val="none"/>
        </w:rPr>
        <w:t xml:space="preserve"> To provide a clear distinction between these historical funds and our current operating entities, should our capital </w:t>
      </w:r>
      <w:proofErr w:type="gramStart"/>
      <w:r w:rsidRPr="0001203C">
        <w:rPr>
          <w:rFonts w:ascii="Aptos" w:eastAsia="Times New Roman" w:hAnsi="Aptos" w:cs="Times New Roman"/>
          <w:color w:val="000000"/>
          <w:kern w:val="0"/>
          <w14:ligatures w14:val="none"/>
        </w:rPr>
        <w:t>partners</w:t>
      </w:r>
      <w:proofErr w:type="gramEnd"/>
      <w:r w:rsidRPr="0001203C">
        <w:rPr>
          <w:rFonts w:ascii="Aptos" w:eastAsia="Times New Roman" w:hAnsi="Aptos" w:cs="Times New Roman"/>
          <w:color w:val="000000"/>
          <w:kern w:val="0"/>
          <w14:ligatures w14:val="none"/>
        </w:rPr>
        <w:t xml:space="preserve"> express concern.</w:t>
      </w:r>
    </w:p>
    <w:p w14:paraId="7AB21E88"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 xml:space="preserve">I am here to help manage the narrative as much or as little as you need. Please let me know if you’d like to review any of these drafts (attached) or if there is anything </w:t>
      </w:r>
      <w:proofErr w:type="gramStart"/>
      <w:r w:rsidRPr="0001203C">
        <w:rPr>
          <w:rFonts w:ascii="Aptos" w:eastAsia="Times New Roman" w:hAnsi="Aptos" w:cs="Times New Roman"/>
          <w:color w:val="000000"/>
          <w:kern w:val="0"/>
          <w14:ligatures w14:val="none"/>
        </w:rPr>
        <w:t>specific</w:t>
      </w:r>
      <w:proofErr w:type="gramEnd"/>
      <w:r w:rsidRPr="0001203C">
        <w:rPr>
          <w:rFonts w:ascii="Aptos" w:eastAsia="Times New Roman" w:hAnsi="Aptos" w:cs="Times New Roman"/>
          <w:color w:val="000000"/>
          <w:kern w:val="0"/>
          <w14:ligatures w14:val="none"/>
        </w:rPr>
        <w:t xml:space="preserve"> I can do to assist in this matter.</w:t>
      </w:r>
    </w:p>
    <w:p w14:paraId="1E4A3434"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color w:val="000000"/>
          <w:kern w:val="0"/>
          <w14:ligatures w14:val="none"/>
        </w:rPr>
        <w:t>Best - Beth</w:t>
      </w:r>
    </w:p>
    <w:p w14:paraId="1FC17ED7" w14:textId="77777777" w:rsidR="0001203C" w:rsidRPr="0001203C" w:rsidRDefault="0001203C" w:rsidP="0001203C">
      <w:pPr>
        <w:spacing w:before="100" w:beforeAutospacing="1" w:after="100" w:afterAutospacing="1" w:line="240" w:lineRule="auto"/>
        <w:rPr>
          <w:rFonts w:ascii="Aptos" w:eastAsia="Times New Roman" w:hAnsi="Aptos" w:cs="Times New Roman"/>
          <w:color w:val="212121"/>
          <w:kern w:val="0"/>
          <w14:ligatures w14:val="none"/>
        </w:rPr>
      </w:pPr>
      <w:r w:rsidRPr="0001203C">
        <w:rPr>
          <w:rFonts w:ascii="Aptos" w:eastAsia="Times New Roman" w:hAnsi="Aptos" w:cs="Times New Roman"/>
          <w:b/>
          <w:bCs/>
          <w:i/>
          <w:iCs/>
          <w:color w:val="000000"/>
          <w:kern w:val="0"/>
          <w14:ligatures w14:val="none"/>
        </w:rPr>
        <w:t>Attachment: Reputational Risk Toolkit</w:t>
      </w:r>
    </w:p>
    <w:p w14:paraId="5D2BD0AD" w14:textId="77777777" w:rsidR="0001203C" w:rsidRPr="0001203C" w:rsidRDefault="0001203C" w:rsidP="0001203C">
      <w:pPr>
        <w:spacing w:after="0" w:line="240" w:lineRule="auto"/>
        <w:rPr>
          <w:rFonts w:ascii="Aptos" w:eastAsia="Times New Roman" w:hAnsi="Aptos" w:cs="Times New Roman"/>
          <w:color w:val="000000"/>
          <w:kern w:val="0"/>
          <w14:ligatures w14:val="none"/>
        </w:rPr>
      </w:pPr>
    </w:p>
    <w:p w14:paraId="74F15D21" w14:textId="77777777" w:rsidR="0001203C" w:rsidRPr="0001203C" w:rsidRDefault="0001203C" w:rsidP="0001203C">
      <w:pPr>
        <w:spacing w:after="0" w:line="276" w:lineRule="atLeast"/>
        <w:jc w:val="right"/>
        <w:rPr>
          <w:rFonts w:ascii="Aptos" w:eastAsia="Times New Roman" w:hAnsi="Aptos" w:cs="Times New Roman"/>
          <w:color w:val="212121"/>
          <w:kern w:val="0"/>
          <w14:ligatures w14:val="none"/>
        </w:rPr>
      </w:pPr>
    </w:p>
    <w:p w14:paraId="6A8EA47C" w14:textId="77777777" w:rsidR="0001203C" w:rsidRPr="0001203C" w:rsidRDefault="0001203C" w:rsidP="0001203C">
      <w:pPr>
        <w:spacing w:after="0" w:line="240" w:lineRule="auto"/>
        <w:rPr>
          <w:rFonts w:ascii="Times New Roman" w:eastAsia="Times New Roman" w:hAnsi="Times New Roman" w:cs="Times New Roman"/>
          <w:kern w:val="0"/>
          <w14:ligatures w14:val="none"/>
        </w:rPr>
      </w:pPr>
    </w:p>
    <w:p w14:paraId="6647398D" w14:textId="77777777" w:rsidR="0001203C" w:rsidRDefault="0001203C"/>
    <w:sectPr w:rsidR="00012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63EFE"/>
    <w:multiLevelType w:val="multilevel"/>
    <w:tmpl w:val="C708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627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03C"/>
    <w:rsid w:val="0001203C"/>
    <w:rsid w:val="00810626"/>
    <w:rsid w:val="00A67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3B283"/>
  <w15:chartTrackingRefBased/>
  <w15:docId w15:val="{B02A843D-3552-BD44-849D-7AAE60D4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03C"/>
    <w:rPr>
      <w:rFonts w:eastAsiaTheme="majorEastAsia" w:cstheme="majorBidi"/>
      <w:color w:val="272727" w:themeColor="text1" w:themeTint="D8"/>
    </w:rPr>
  </w:style>
  <w:style w:type="paragraph" w:styleId="Title">
    <w:name w:val="Title"/>
    <w:basedOn w:val="Normal"/>
    <w:next w:val="Normal"/>
    <w:link w:val="TitleChar"/>
    <w:uiPriority w:val="10"/>
    <w:qFormat/>
    <w:rsid w:val="00012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03C"/>
    <w:pPr>
      <w:spacing w:before="160"/>
      <w:jc w:val="center"/>
    </w:pPr>
    <w:rPr>
      <w:i/>
      <w:iCs/>
      <w:color w:val="404040" w:themeColor="text1" w:themeTint="BF"/>
    </w:rPr>
  </w:style>
  <w:style w:type="character" w:customStyle="1" w:styleId="QuoteChar">
    <w:name w:val="Quote Char"/>
    <w:basedOn w:val="DefaultParagraphFont"/>
    <w:link w:val="Quote"/>
    <w:uiPriority w:val="29"/>
    <w:rsid w:val="0001203C"/>
    <w:rPr>
      <w:i/>
      <w:iCs/>
      <w:color w:val="404040" w:themeColor="text1" w:themeTint="BF"/>
    </w:rPr>
  </w:style>
  <w:style w:type="paragraph" w:styleId="ListParagraph">
    <w:name w:val="List Paragraph"/>
    <w:basedOn w:val="Normal"/>
    <w:uiPriority w:val="34"/>
    <w:qFormat/>
    <w:rsid w:val="0001203C"/>
    <w:pPr>
      <w:ind w:left="720"/>
      <w:contextualSpacing/>
    </w:pPr>
  </w:style>
  <w:style w:type="character" w:styleId="IntenseEmphasis">
    <w:name w:val="Intense Emphasis"/>
    <w:basedOn w:val="DefaultParagraphFont"/>
    <w:uiPriority w:val="21"/>
    <w:qFormat/>
    <w:rsid w:val="0001203C"/>
    <w:rPr>
      <w:i/>
      <w:iCs/>
      <w:color w:val="0F4761" w:themeColor="accent1" w:themeShade="BF"/>
    </w:rPr>
  </w:style>
  <w:style w:type="paragraph" w:styleId="IntenseQuote">
    <w:name w:val="Intense Quote"/>
    <w:basedOn w:val="Normal"/>
    <w:next w:val="Normal"/>
    <w:link w:val="IntenseQuoteChar"/>
    <w:uiPriority w:val="30"/>
    <w:qFormat/>
    <w:rsid w:val="00012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03C"/>
    <w:rPr>
      <w:i/>
      <w:iCs/>
      <w:color w:val="0F4761" w:themeColor="accent1" w:themeShade="BF"/>
    </w:rPr>
  </w:style>
  <w:style w:type="character" w:styleId="IntenseReference">
    <w:name w:val="Intense Reference"/>
    <w:basedOn w:val="DefaultParagraphFont"/>
    <w:uiPriority w:val="32"/>
    <w:qFormat/>
    <w:rsid w:val="0001203C"/>
    <w:rPr>
      <w:b/>
      <w:bCs/>
      <w:smallCaps/>
      <w:color w:val="0F4761" w:themeColor="accent1" w:themeShade="BF"/>
      <w:spacing w:val="5"/>
    </w:rPr>
  </w:style>
  <w:style w:type="paragraph" w:styleId="NormalWeb">
    <w:name w:val="Normal (Web)"/>
    <w:basedOn w:val="Normal"/>
    <w:uiPriority w:val="99"/>
    <w:semiHidden/>
    <w:unhideWhenUsed/>
    <w:rsid w:val="0001203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203C"/>
  </w:style>
  <w:style w:type="character" w:styleId="Hyperlink">
    <w:name w:val="Hyperlink"/>
    <w:basedOn w:val="DefaultParagraphFont"/>
    <w:uiPriority w:val="99"/>
    <w:semiHidden/>
    <w:unhideWhenUsed/>
    <w:rsid w:val="000120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vestmentnews.com/regulation-legal-compliance/investors-sue-florida-attorney-allege-150-million-pe-fund-theft-scheme/2651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2026-03-15T18:48:00Z</dcterms:created>
  <dcterms:modified xsi:type="dcterms:W3CDTF">2026-03-15T18:48:00Z</dcterms:modified>
</cp:coreProperties>
</file>