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2F37" w14:textId="77777777" w:rsidR="001554EE" w:rsidRDefault="00000000">
      <w:r>
        <w:t>Elizabeth Langworthy Lord</w:t>
      </w:r>
    </w:p>
    <w:p w14:paraId="3F223FA6" w14:textId="77777777" w:rsidR="001554EE" w:rsidRDefault="00000000">
      <w:r>
        <w:t>109 Asteria Street</w:t>
      </w:r>
    </w:p>
    <w:p w14:paraId="1FF0A816" w14:textId="77777777" w:rsidR="001554EE" w:rsidRDefault="00000000">
      <w:r>
        <w:t>Greenville, SC 29617</w:t>
      </w:r>
    </w:p>
    <w:p w14:paraId="6E6D133B" w14:textId="77777777" w:rsidR="001554EE" w:rsidRDefault="00000000">
      <w:pPr>
        <w:spacing w:after="240"/>
      </w:pPr>
      <w:r>
        <w:t>Phone: (512) 808-7984</w:t>
      </w:r>
    </w:p>
    <w:p w14:paraId="6987A3F6" w14:textId="77777777" w:rsidR="001554EE" w:rsidRDefault="00000000">
      <w:pPr>
        <w:spacing w:after="240"/>
      </w:pPr>
      <w:r>
        <w:t>March 11, 2026</w:t>
      </w:r>
    </w:p>
    <w:p w14:paraId="13A9F301" w14:textId="77777777" w:rsidR="001554EE" w:rsidRDefault="00000000">
      <w:pPr>
        <w:spacing w:after="240"/>
      </w:pPr>
      <w:r>
        <w:rPr>
          <w:b/>
          <w:bCs/>
        </w:rPr>
        <w:t>VIA EEOC RESPONDENT PORTAL</w:t>
      </w:r>
    </w:p>
    <w:p w14:paraId="79DC30A5" w14:textId="77777777" w:rsidR="001554EE" w:rsidRDefault="00000000">
      <w:r>
        <w:t>Jacquie Jones-Mounts</w:t>
      </w:r>
    </w:p>
    <w:p w14:paraId="0F432E7E" w14:textId="77777777" w:rsidR="001554EE" w:rsidRDefault="00000000">
      <w:r>
        <w:t>Acting Local Director</w:t>
      </w:r>
    </w:p>
    <w:p w14:paraId="1F5B57B1" w14:textId="77777777" w:rsidR="001554EE" w:rsidRDefault="00000000">
      <w:r>
        <w:t>Greenville Local Office</w:t>
      </w:r>
    </w:p>
    <w:p w14:paraId="0E3FD275" w14:textId="77777777" w:rsidR="001554EE" w:rsidRDefault="00000000">
      <w:pPr>
        <w:spacing w:after="240"/>
      </w:pPr>
      <w:r>
        <w:t>United States Equal Employment Opportunity Commission</w:t>
      </w:r>
    </w:p>
    <w:p w14:paraId="41798BF9" w14:textId="77777777" w:rsidR="001554EE" w:rsidRDefault="00000000">
      <w:r>
        <w:rPr>
          <w:b/>
          <w:bCs/>
        </w:rPr>
        <w:t>Re: Charging Party’s Rebuttal to Respondent’s Position Statement</w:t>
      </w:r>
    </w:p>
    <w:p w14:paraId="6EFBB582" w14:textId="77777777" w:rsidR="001554EE" w:rsidRDefault="00000000">
      <w:r>
        <w:rPr>
          <w:i/>
          <w:iCs/>
        </w:rPr>
        <w:t>Complainant: Elizabeth Lord</w:t>
      </w:r>
    </w:p>
    <w:p w14:paraId="496F2533" w14:textId="77777777" w:rsidR="001554EE" w:rsidRDefault="00000000">
      <w:r>
        <w:rPr>
          <w:i/>
          <w:iCs/>
        </w:rPr>
        <w:t>Respondent: Contender Development, Inc. d/b/a Contender America</w:t>
      </w:r>
    </w:p>
    <w:p w14:paraId="47F301CC" w14:textId="77777777" w:rsidR="001554EE" w:rsidRDefault="00000000">
      <w:r>
        <w:rPr>
          <w:i/>
          <w:iCs/>
        </w:rPr>
        <w:t>EEOC Charge No.: 436-2026-00670</w:t>
      </w:r>
    </w:p>
    <w:p w14:paraId="5098DB01" w14:textId="77777777" w:rsidR="001554EE" w:rsidRDefault="00000000">
      <w:pPr>
        <w:spacing w:after="240"/>
      </w:pPr>
      <w:r>
        <w:rPr>
          <w:i/>
          <w:iCs/>
        </w:rPr>
        <w:t>Related Charge No.: 436-2026-00698 (</w:t>
      </w:r>
      <w:proofErr w:type="spellStart"/>
      <w:r>
        <w:rPr>
          <w:i/>
          <w:iCs/>
        </w:rPr>
        <w:t>Blackstream</w:t>
      </w:r>
      <w:proofErr w:type="spellEnd"/>
      <w:r>
        <w:rPr>
          <w:i/>
          <w:iCs/>
        </w:rPr>
        <w:t xml:space="preserve"> International Real Estate)</w:t>
      </w:r>
    </w:p>
    <w:p w14:paraId="1316A4C9" w14:textId="77777777" w:rsidR="001554EE" w:rsidRDefault="00000000">
      <w:pPr>
        <w:spacing w:after="200"/>
      </w:pPr>
      <w:r>
        <w:t>Dear Ms. Jones-Mounts:</w:t>
      </w:r>
    </w:p>
    <w:p w14:paraId="66BC6A51" w14:textId="77777777" w:rsidR="001554EE" w:rsidRDefault="00000000">
      <w:pPr>
        <w:spacing w:after="160" w:line="276" w:lineRule="auto"/>
        <w:jc w:val="both"/>
      </w:pPr>
      <w:r>
        <w:t>Charging Party Elizabeth Lord respectfully submits this rebuttal to the Position Statement filed by Respondent Contender Development, Inc. d/b/a Contender America (“Contender” or “Company”) through its counsel, Fisher &amp; Phillips LLP, on February 16, 2026. As set forth below, Respondent’s response is characterized by selective framing, factual omission, and legal overstatement. When the record is considered in its totality—as the ADEA requires—the evidence establishes a prima facie case of age discrimination, hostile work environment, and retaliation.</w:t>
      </w:r>
    </w:p>
    <w:p w14:paraId="65478136" w14:textId="77777777" w:rsidR="001554EE" w:rsidRDefault="00000000">
      <w:pPr>
        <w:spacing w:after="160" w:line="276" w:lineRule="auto"/>
        <w:jc w:val="both"/>
      </w:pPr>
      <w:r>
        <w:t xml:space="preserve">Ms. Lord has also filed a related charge against </w:t>
      </w:r>
      <w:proofErr w:type="spellStart"/>
      <w:r>
        <w:t>Blackstream</w:t>
      </w:r>
      <w:proofErr w:type="spellEnd"/>
      <w:r>
        <w:t xml:space="preserve"> International Real Estate (EEOC Charge No. 436-2026-00698), arising from the same pattern of conduct and the same period of discrimination. The two charges involve overlapping facts, common decision-makers, and a shared discriminatory scheme, and should be considered together.</w:t>
      </w:r>
    </w:p>
    <w:p w14:paraId="0334E204" w14:textId="77777777" w:rsidR="001554EE" w:rsidRDefault="001554EE"/>
    <w:p w14:paraId="1ECF6E6D" w14:textId="77777777" w:rsidR="001554EE" w:rsidRDefault="00000000">
      <w:pPr>
        <w:spacing w:before="280" w:after="160" w:line="276" w:lineRule="auto"/>
      </w:pPr>
      <w:r>
        <w:rPr>
          <w:b/>
          <w:bCs/>
          <w:u w:val="single"/>
        </w:rPr>
        <w:t>I. PRELIMINARY OBSERVATIONS: THE VOLUME OF EVIDENCE IS NOT A WEAKNESS</w:t>
      </w:r>
    </w:p>
    <w:p w14:paraId="16CBFD35" w14:textId="77777777" w:rsidR="001554EE" w:rsidRDefault="00000000">
      <w:pPr>
        <w:spacing w:after="160" w:line="276" w:lineRule="auto"/>
        <w:jc w:val="both"/>
      </w:pPr>
      <w:r>
        <w:t>Respondent’s response repeatedly implies that because Ms. Lord documented numerous incidents, her claims are somehow less credible or amount to a “laundry list.” This framing inverts the proper legal analysis. Under the ADEA, the Commission evaluates the totality of the circumstances. A pattern of conduct—systematic exclusion, removal of authority, denial of resources, age-related remarks, and retaliation following protected activity—is more probative of discriminatory intent than any single incident in isolation. The volume of documented grievances is not evidence of frivolousness. It is evidence of a pattern.</w:t>
      </w:r>
    </w:p>
    <w:p w14:paraId="2ABD87D0" w14:textId="77777777" w:rsidR="001554EE" w:rsidRDefault="00000000">
      <w:pPr>
        <w:spacing w:after="160" w:line="276" w:lineRule="auto"/>
        <w:jc w:val="both"/>
      </w:pPr>
      <w:r>
        <w:lastRenderedPageBreak/>
        <w:t>Further, the proper question before this Commission is not whether Ms. Lord has too many complaints. The proper question is whether those complaints have merit. The answer, as the following analysis demonstrates, is yes.</w:t>
      </w:r>
    </w:p>
    <w:p w14:paraId="440FFAD2" w14:textId="77777777" w:rsidR="001554EE" w:rsidRDefault="001554EE"/>
    <w:p w14:paraId="34163656" w14:textId="77777777" w:rsidR="001554EE" w:rsidRDefault="00000000">
      <w:pPr>
        <w:spacing w:before="280" w:after="160" w:line="276" w:lineRule="auto"/>
      </w:pPr>
      <w:r>
        <w:rPr>
          <w:b/>
          <w:bCs/>
          <w:u w:val="single"/>
        </w:rPr>
        <w:t>II. REBUTTAL TO RESPONDENT’S CHARACTERIZATION OF MS. LORD’S EMPLOYMENT HISTORY</w:t>
      </w:r>
    </w:p>
    <w:p w14:paraId="532F583C" w14:textId="77777777" w:rsidR="001554EE" w:rsidRDefault="00000000">
      <w:pPr>
        <w:spacing w:before="200" w:after="120" w:line="276" w:lineRule="auto"/>
      </w:pPr>
      <w:r>
        <w:rPr>
          <w:b/>
          <w:bCs/>
        </w:rPr>
        <w:t>A. Respondent Mischaracterizes the Nature of Ms. Lord’s Role and Her Relationship with Ms. Cape</w:t>
      </w:r>
    </w:p>
    <w:p w14:paraId="5A58CB37" w14:textId="77777777" w:rsidR="001554EE" w:rsidRDefault="00000000">
      <w:pPr>
        <w:spacing w:after="160" w:line="276" w:lineRule="auto"/>
        <w:jc w:val="both"/>
      </w:pPr>
      <w:r>
        <w:t>The Position Statement claims that the relationship between Ms. Lord and co-worker Haley Cape “deteriorated” because Ms. Lord “viewed Cape as a subordinate” and “began demanding” updates, causing friction. This characterization omits critical context and misrepresents the organizational structure.</w:t>
      </w:r>
    </w:p>
    <w:p w14:paraId="1B78D985" w14:textId="77777777" w:rsidR="001554EE" w:rsidRDefault="00000000">
      <w:pPr>
        <w:spacing w:after="160" w:line="276" w:lineRule="auto"/>
        <w:jc w:val="both"/>
      </w:pPr>
      <w:r>
        <w:t xml:space="preserve">Ms. Lord was hired in July 2022 as Director of Marketing and held full-scope marketing and branding authority for both </w:t>
      </w:r>
      <w:proofErr w:type="spellStart"/>
      <w:r>
        <w:t>Blackstream</w:t>
      </w:r>
      <w:proofErr w:type="spellEnd"/>
      <w:r>
        <w:t xml:space="preserve"> and Contender from the outset, including graphic design, website management, advertising, PR, and corporate branding—including designing Contender’s flag logo. Ms. Cape was not hired until August 2023, initially in an administrative and graphic design support role. An organizational chart circulated by CEO Michael Mumma showed Ms. Cape as Ms. Lord’s direct report, and HR Director Cameron Aldridge’s March 13, </w:t>
      </w:r>
      <w:proofErr w:type="gramStart"/>
      <w:r>
        <w:t>2025</w:t>
      </w:r>
      <w:proofErr w:type="gramEnd"/>
      <w:r>
        <w:t xml:space="preserve"> written memo explicitly confirmed that both Ms. Cape and Alex Weldon reported to Ms. Lord and that Ms. Lord held budget authority. When Ms. Lord requested that Ms. Cape keep her informed of work and complete assigned tasks, she was exercising the supervisory authority the Company itself had confirmed in writing—not “demanding” information she had no right to.</w:t>
      </w:r>
    </w:p>
    <w:p w14:paraId="063D834F" w14:textId="77777777" w:rsidR="001554EE" w:rsidRDefault="00000000">
      <w:pPr>
        <w:spacing w:after="160" w:line="276" w:lineRule="auto"/>
        <w:jc w:val="both"/>
      </w:pPr>
      <w:r>
        <w:t>The Company’s framing of these interactions as mere interpersonal friction obscures the underlying reality: Ms. Lord’s established authority was being systematically undermined and transferred to a substantially younger employee who had been given special, undisclosed access to senior leadership. Most critically, Ms. Lord was deliberately excluded from a major corporate rebranding of Elliott Homes that CEO Michael Mumma planned and executed in secret sessions with Ms. Cape—concealing the project entirely from the Director of Marketing whose job it was to oversee such initiatives.</w:t>
      </w:r>
    </w:p>
    <w:p w14:paraId="00E325D3" w14:textId="77777777" w:rsidR="001554EE" w:rsidRDefault="00000000">
      <w:pPr>
        <w:spacing w:before="200" w:after="120" w:line="276" w:lineRule="auto"/>
      </w:pPr>
      <w:r>
        <w:rPr>
          <w:b/>
          <w:bCs/>
        </w:rPr>
        <w:t xml:space="preserve">B. The Transition to Contender Was a Constructive Demotion, </w:t>
      </w:r>
      <w:proofErr w:type="gramStart"/>
      <w:r>
        <w:rPr>
          <w:b/>
          <w:bCs/>
        </w:rPr>
        <w:t>Not</w:t>
      </w:r>
      <w:proofErr w:type="gramEnd"/>
      <w:r>
        <w:rPr>
          <w:b/>
          <w:bCs/>
        </w:rPr>
        <w:t xml:space="preserve"> a Lateral Move</w:t>
      </w:r>
    </w:p>
    <w:p w14:paraId="252EC501" w14:textId="77777777" w:rsidR="001554EE" w:rsidRDefault="00000000">
      <w:pPr>
        <w:spacing w:after="160" w:line="276" w:lineRule="auto"/>
        <w:jc w:val="both"/>
      </w:pPr>
      <w:r>
        <w:t xml:space="preserve">Respondent claims that Ms. Lord’s transition from </w:t>
      </w:r>
      <w:proofErr w:type="spellStart"/>
      <w:r>
        <w:t>Blackstream</w:t>
      </w:r>
      <w:proofErr w:type="spellEnd"/>
      <w:r>
        <w:t xml:space="preserve"> to Contender in May 2025 involved no change in compensation, duties, or conditions of employment. This characterization is misleading and incomplete.</w:t>
      </w:r>
    </w:p>
    <w:p w14:paraId="0E48776E" w14:textId="77777777" w:rsidR="001554EE" w:rsidRDefault="00000000">
      <w:pPr>
        <w:spacing w:after="160" w:line="276" w:lineRule="auto"/>
        <w:jc w:val="both"/>
      </w:pPr>
      <w:r>
        <w:t xml:space="preserve">The record establishes that the transition was preceded by a systematic stripping of Ms. Lord’s authority. On March 13, 2025—six weeks before the transition—HR Director Cameron Aldridge issued a written memo reaffirming Ms. Lord’s supervisory authority over Haley Cape and Alex </w:t>
      </w:r>
      <w:r>
        <w:lastRenderedPageBreak/>
        <w:t>Weldon, and her control over the marketing budget. Six days later, on March 19, 2025, without notice and without HR present, CEO Michael Mumma verbally revoked that authority entirely, removing both subordinates from her supervision and transferring all social media responsibilities to Cape and Annette Wrenn. This sequence—reaffirmation followed immediately by revocation—is not consistent with a legitimate, pre-planned organizational restructuring. It is consistent with retaliation.</w:t>
      </w:r>
    </w:p>
    <w:p w14:paraId="0D1A818E" w14:textId="77777777" w:rsidR="001554EE" w:rsidRDefault="00000000">
      <w:pPr>
        <w:spacing w:after="160" w:line="276" w:lineRule="auto"/>
        <w:jc w:val="both"/>
      </w:pPr>
      <w:r>
        <w:t>By May 1, 2025, Ms. Lord transitioned to a “Director of Marketing” role at Contender that, by the Company’s own account, had no dedicated staff and no budget that ever materialized. Her title remained the same; her function as a director did not. A director title without staff, without budget, without decision-making authority, and subject to a 90.3% non-response rate on work submissions—documented across 31 submissions between May and November 2025—is not the same role. It is a constructive demotion.</w:t>
      </w:r>
    </w:p>
    <w:p w14:paraId="4CE8E476" w14:textId="77777777" w:rsidR="001554EE" w:rsidRDefault="00000000">
      <w:pPr>
        <w:spacing w:after="160" w:line="276" w:lineRule="auto"/>
        <w:jc w:val="both"/>
      </w:pPr>
      <w:r>
        <w:t xml:space="preserve">Respondent’s assertion that her role at </w:t>
      </w:r>
      <w:proofErr w:type="spellStart"/>
      <w:r>
        <w:t>Blackstream</w:t>
      </w:r>
      <w:proofErr w:type="spellEnd"/>
      <w:r>
        <w:t xml:space="preserve"> “was not assumed by a younger employee” is a deliberate misdirection. The record directly contradicts this claim. </w:t>
      </w:r>
      <w:r>
        <w:rPr>
          <w:b/>
          <w:bCs/>
        </w:rPr>
        <w:t xml:space="preserve">In a September 5, </w:t>
      </w:r>
      <w:proofErr w:type="gramStart"/>
      <w:r>
        <w:rPr>
          <w:b/>
          <w:bCs/>
        </w:rPr>
        <w:t>2025</w:t>
      </w:r>
      <w:proofErr w:type="gramEnd"/>
      <w:r>
        <w:rPr>
          <w:b/>
          <w:bCs/>
        </w:rPr>
        <w:t xml:space="preserve"> email from Christine Brodsky to Daniel Burke of Guided Luxury, Haley Cape was explicitly identified and introduced as Director of Marketing—Ms. Lord’s title—while Ms. Lord was still employed by the Company.</w:t>
      </w:r>
      <w:r>
        <w:t xml:space="preserve"> Furthermore, on May 12, 2025—the same day Ms. Lord signed her acceptance of the transition to Contender—internal emails and the Company’s own website show that Ms. Cape was simultaneously promoted from “Experiences and Services Coordinator” to “Senior Graphic Designer and Brand Manager,” and Ms. Wrenn was promoted from “Support and Operations Manager” to “Director of Operations.” The timing is not coincidental: on the very day Ms. Lord was moved out, younger employees were elevated into her substantive functions.</w:t>
      </w:r>
    </w:p>
    <w:p w14:paraId="1D916A15" w14:textId="77777777" w:rsidR="001554EE" w:rsidRDefault="00000000">
      <w:pPr>
        <w:spacing w:after="160" w:line="276" w:lineRule="auto"/>
        <w:jc w:val="both"/>
      </w:pPr>
      <w:r>
        <w:t xml:space="preserve">The relevant comparators are not who filled Ms. Lord’s exact title at </w:t>
      </w:r>
      <w:proofErr w:type="spellStart"/>
      <w:r>
        <w:t>Blackstream</w:t>
      </w:r>
      <w:proofErr w:type="spellEnd"/>
      <w:r>
        <w:t>. The relevant comparators are Ms. Cape (age 28) and Ms. Wrenn (approximately age 30), who received the substantive marketing responsibilities, strategic project authority, and management visibility that were stripped from Ms. Lord.</w:t>
      </w:r>
    </w:p>
    <w:p w14:paraId="6E9F7660" w14:textId="77777777" w:rsidR="001554EE" w:rsidRDefault="00000000">
      <w:pPr>
        <w:spacing w:before="200" w:after="120" w:line="276" w:lineRule="auto"/>
      </w:pPr>
      <w:r>
        <w:rPr>
          <w:b/>
          <w:bCs/>
        </w:rPr>
        <w:t>C. Respondent’s Characterization of the Offer Letter Dispute Reflects Poorly on the Company</w:t>
      </w:r>
    </w:p>
    <w:p w14:paraId="768D3D67" w14:textId="77777777" w:rsidR="001554EE" w:rsidRDefault="00000000">
      <w:pPr>
        <w:spacing w:after="160" w:line="276" w:lineRule="auto"/>
        <w:jc w:val="both"/>
      </w:pPr>
      <w:r>
        <w:t>Respondent notes that Ms. Lord refused to sign the standard offer letter and employee handbook acknowledgment, implying this reflects bad faith on her part. To the contrary: Ms. Lord objected to a non-compete provision that the Company then conceded was inappropriate and removed. Her refusal to sign, absent that correction, was legally reasonable. That the Company required a 74-year-old marketing professional to sign a non-compete at all raises its own questions about the legitimacy of the transition.</w:t>
      </w:r>
    </w:p>
    <w:p w14:paraId="23799447" w14:textId="77777777" w:rsidR="001554EE" w:rsidRDefault="001554EE"/>
    <w:p w14:paraId="0A3A2503" w14:textId="77777777" w:rsidR="001554EE" w:rsidRDefault="00000000">
      <w:pPr>
        <w:spacing w:before="280" w:after="160" w:line="276" w:lineRule="auto"/>
      </w:pPr>
      <w:r>
        <w:rPr>
          <w:b/>
          <w:bCs/>
          <w:u w:val="single"/>
        </w:rPr>
        <w:t>III. REBUTTAL TO RESPONDENT’S “NO ADVERSE EMPLOYMENT ACTION” DEFENSE</w:t>
      </w:r>
    </w:p>
    <w:p w14:paraId="73AAA6EC" w14:textId="77777777" w:rsidR="001554EE" w:rsidRDefault="00000000">
      <w:pPr>
        <w:spacing w:before="200" w:after="120" w:line="276" w:lineRule="auto"/>
      </w:pPr>
      <w:r>
        <w:rPr>
          <w:b/>
          <w:bCs/>
        </w:rPr>
        <w:lastRenderedPageBreak/>
        <w:t>A. The Verbal Warning Was Retaliatory in Nature, Timing, and Application</w:t>
      </w:r>
    </w:p>
    <w:p w14:paraId="74D2ACD5" w14:textId="77777777" w:rsidR="001554EE" w:rsidRDefault="00000000">
      <w:pPr>
        <w:spacing w:after="160" w:line="276" w:lineRule="auto"/>
        <w:jc w:val="both"/>
      </w:pPr>
      <w:r>
        <w:t xml:space="preserve">Respondent characterizes the December 8, </w:t>
      </w:r>
      <w:proofErr w:type="gramStart"/>
      <w:r>
        <w:t>2025</w:t>
      </w:r>
      <w:proofErr w:type="gramEnd"/>
      <w:r>
        <w:t xml:space="preserve"> verbal warning as a routine counseling with no employment impact. The timing, context, stated rationale, and asymmetric application of this discipline tell a very different story.</w:t>
      </w:r>
    </w:p>
    <w:p w14:paraId="513D6662" w14:textId="77777777" w:rsidR="001554EE" w:rsidRDefault="00000000">
      <w:pPr>
        <w:spacing w:after="160" w:line="276" w:lineRule="auto"/>
        <w:jc w:val="both"/>
      </w:pPr>
      <w:r>
        <w:t>Ms. Lord filed her internal discrimination complaint on November 14, 2025. The verbal warning was issued approximately three weeks later. Courts have consistently held that temporal proximity between protected activity and adverse action is evidence of retaliatory motive. Three weeks is well within the range courts have found sufficient to establish a causal link.</w:t>
      </w:r>
    </w:p>
    <w:p w14:paraId="3B8D92F2" w14:textId="5E38E0C8" w:rsidR="001554EE" w:rsidRDefault="00000000">
      <w:pPr>
        <w:spacing w:after="160" w:line="276" w:lineRule="auto"/>
        <w:jc w:val="both"/>
      </w:pPr>
      <w:r>
        <w:t>Respondent characterizes Ms. Lord’s statements about the Company’s finances as “entirely</w:t>
      </w:r>
      <w:r w:rsidR="00496BE6">
        <w:t xml:space="preserve"> </w:t>
      </w:r>
      <w:r>
        <w:t>false.” This is inaccurate. Ms. Lord was receiving serious, specific concerns about the Company’s financial condition directly from senior finance personnel, including Chief Accounting Officer Maxine Turner and CFO Peter Reinert himself, in the context of discussions about significant expenditures. For example, when a $54,000 holiday party estimate was presented against a $28,000 expectation, Reinert directed Ms. Lord to forward her concerns to CEO Ford Elliott. She did so and received no response. Shortly thereafter, Cameron Aldridge informed Ms. Lord that all corporate events were being moved to Human Resources—removing them from Marketing entirely. Her statements about financial concerns were not fabrications; they reflected the internal information she was receiving from the Company’s own senior leadership.</w:t>
      </w:r>
    </w:p>
    <w:p w14:paraId="414B237B" w14:textId="77777777" w:rsidR="001554EE" w:rsidRDefault="00000000">
      <w:pPr>
        <w:spacing w:after="160" w:line="276" w:lineRule="auto"/>
        <w:jc w:val="both"/>
      </w:pPr>
      <w:r>
        <w:t>Furthermore, what Respondent characterizes as Ms. Lord telling an employee to “start looking for work” was, in substance, advising a younger colleague, Alex Weldon, to keep his professional portfolio and website current and be prepared in case conditions changed. This type of communication about job security and working conditions is consistent with protected concerted activity under federal labor law—not malicious rumor-spreading.</w:t>
      </w:r>
    </w:p>
    <w:p w14:paraId="7A9D1027" w14:textId="77777777" w:rsidR="001554EE" w:rsidRDefault="00000000">
      <w:pPr>
        <w:spacing w:after="160" w:line="276" w:lineRule="auto"/>
        <w:jc w:val="both"/>
      </w:pPr>
      <w:r>
        <w:t xml:space="preserve">Respondent’s own position statement acknowledges that rumors about the Company’s ability to make payroll were circulating inside the Company as early as February 2025—well before Ms. Lord’s alleged comments. Ms. Lord had, in fact, raised these financial concerns directly with Ford Elliott, Peter Reinert, and Cameron Aldridge at the April 25, </w:t>
      </w:r>
      <w:proofErr w:type="gramStart"/>
      <w:r>
        <w:t>2025</w:t>
      </w:r>
      <w:proofErr w:type="gramEnd"/>
      <w:r>
        <w:t xml:space="preserve"> meeting—the same meeting in which Reinert made his age-based remark. Disciplining Ms. Lord for repeating concerns she had raised internally for months, and doing so three weeks after she filed a discrimination complaint, is textbook pretext.</w:t>
      </w:r>
    </w:p>
    <w:p w14:paraId="7681ACA3" w14:textId="77777777" w:rsidR="001554EE" w:rsidRDefault="00000000">
      <w:pPr>
        <w:spacing w:after="160" w:line="276" w:lineRule="auto"/>
        <w:jc w:val="both"/>
      </w:pPr>
      <w:r>
        <w:t xml:space="preserve">The Company’s treatment of Stuart Owen further confirms that pretext. Respondent acknowledges Owen made similar comments about the Company’s financial status. Owen is 34 years old. He was not disciplined until after Ms. Lord reported him, and only after independent confirmation of his statements. The asymmetry in the speed, severity, and evidentiary threshold applied to discipline Ms. Lord versus Mr. Owen is direct evidence of disparate treatment </w:t>
      </w:r>
      <w:proofErr w:type="gramStart"/>
      <w:r>
        <w:t>on the basis of</w:t>
      </w:r>
      <w:proofErr w:type="gramEnd"/>
      <w:r>
        <w:t xml:space="preserve"> age.</w:t>
      </w:r>
    </w:p>
    <w:p w14:paraId="67C8EECF" w14:textId="77777777" w:rsidR="001554EE" w:rsidRDefault="00000000">
      <w:pPr>
        <w:spacing w:before="200" w:after="120" w:line="276" w:lineRule="auto"/>
      </w:pPr>
      <w:r>
        <w:rPr>
          <w:b/>
          <w:bCs/>
        </w:rPr>
        <w:t>B. The “Excellent Performance Review” Argument Backfires</w:t>
      </w:r>
    </w:p>
    <w:p w14:paraId="227E764F" w14:textId="77777777" w:rsidR="001554EE" w:rsidRDefault="00000000">
      <w:pPr>
        <w:spacing w:after="160" w:line="276" w:lineRule="auto"/>
        <w:jc w:val="both"/>
      </w:pPr>
      <w:r>
        <w:lastRenderedPageBreak/>
        <w:t>Respondent makes much of the fact that Thomas Phillips gave Ms. Lord an “excellent” performance rating and recommended a 5% raise in December 2025. This argument, however, undermines rather than supports Respondent’s defense.</w:t>
      </w:r>
    </w:p>
    <w:p w14:paraId="688D78E2" w14:textId="77777777" w:rsidR="001554EE" w:rsidRDefault="00000000">
      <w:pPr>
        <w:spacing w:after="160" w:line="276" w:lineRule="auto"/>
        <w:jc w:val="both"/>
      </w:pPr>
      <w:r>
        <w:t>If Ms. Lord’s performance was genuinely excellent in every category, then the systematic removal of her authority, exclusion from strategic meetings, denial of office space, withholding of budget, and 90.3% non-response to her work submissions cannot be explained by legitimate performance concerns. A positive performance review eliminates poor performance as a non-discriminatory justification for the other adverse actions. It does not negate those actions.</w:t>
      </w:r>
    </w:p>
    <w:p w14:paraId="16635B2F" w14:textId="77777777" w:rsidR="001554EE" w:rsidRDefault="00000000">
      <w:pPr>
        <w:spacing w:after="160" w:line="276" w:lineRule="auto"/>
        <w:jc w:val="both"/>
      </w:pPr>
      <w:r>
        <w:t>Moreover, a positive performance review does not, as a matter of law, insulate an employer from retaliation claims. Retaliation claims turn on whether adverse actions followed protected activity—not on whether the employer also took some positive actions concurrently. Both things can be true: Ms. Lord can have received an excellent evaluation and simultaneously have been subjected to retaliatory discipline and constructive demotion.</w:t>
      </w:r>
    </w:p>
    <w:p w14:paraId="7CADCED2" w14:textId="77777777" w:rsidR="001554EE" w:rsidRDefault="00000000">
      <w:pPr>
        <w:spacing w:before="200" w:after="120" w:line="276" w:lineRule="auto"/>
      </w:pPr>
      <w:r>
        <w:rPr>
          <w:b/>
          <w:bCs/>
        </w:rPr>
        <w:t>C. The Broader Pattern of Adverse Actions Respondent Fails to Address</w:t>
      </w:r>
    </w:p>
    <w:p w14:paraId="32E449B2" w14:textId="77777777" w:rsidR="001554EE" w:rsidRDefault="00000000">
      <w:pPr>
        <w:spacing w:after="160" w:line="276" w:lineRule="auto"/>
        <w:jc w:val="both"/>
      </w:pPr>
      <w:r>
        <w:t xml:space="preserve">Respondent’s position statement focuses narrowly on the </w:t>
      </w:r>
      <w:proofErr w:type="spellStart"/>
      <w:r>
        <w:t>Blackstream</w:t>
      </w:r>
      <w:proofErr w:type="spellEnd"/>
      <w:r>
        <w:t>-to-Contender transition and the verbal warning, while conspicuously ignoring a documented pattern of adverse actions that the Commission should consider in its totality:</w:t>
      </w:r>
    </w:p>
    <w:p w14:paraId="7AEC11CB" w14:textId="77777777" w:rsidR="001554EE" w:rsidRDefault="00000000">
      <w:pPr>
        <w:pStyle w:val="ListParagraph"/>
        <w:numPr>
          <w:ilvl w:val="0"/>
          <w:numId w:val="2"/>
        </w:numPr>
        <w:spacing w:after="120" w:line="276" w:lineRule="auto"/>
      </w:pPr>
      <w:r>
        <w:t>Revocation of supervisory authority on March 19, 2025—six days after HR reaffirmed it in writing—following Ms. Lord’s report of Ms. Cape’s insubordination and firearm possession.</w:t>
      </w:r>
    </w:p>
    <w:p w14:paraId="4D739AAC" w14:textId="77777777" w:rsidR="001554EE" w:rsidRDefault="00000000">
      <w:pPr>
        <w:pStyle w:val="ListParagraph"/>
        <w:numPr>
          <w:ilvl w:val="0"/>
          <w:numId w:val="2"/>
        </w:numPr>
        <w:spacing w:after="120" w:line="276" w:lineRule="auto"/>
      </w:pPr>
      <w:r>
        <w:t>Denial of office space at the 5 Century Drive location in May 2025, forcing Ms. Lord to locate her own workspace in a cubicle at another location.</w:t>
      </w:r>
    </w:p>
    <w:p w14:paraId="670190F9" w14:textId="77777777" w:rsidR="001554EE" w:rsidRDefault="00000000">
      <w:pPr>
        <w:pStyle w:val="ListParagraph"/>
        <w:numPr>
          <w:ilvl w:val="0"/>
          <w:numId w:val="2"/>
        </w:numPr>
        <w:spacing w:after="120" w:line="276" w:lineRule="auto"/>
      </w:pPr>
      <w:r>
        <w:t>Cancellation of four or more scheduled CEO meetings between June and August 2025.</w:t>
      </w:r>
    </w:p>
    <w:p w14:paraId="69114502" w14:textId="77777777" w:rsidR="001554EE" w:rsidRDefault="00000000">
      <w:pPr>
        <w:pStyle w:val="ListParagraph"/>
        <w:numPr>
          <w:ilvl w:val="0"/>
          <w:numId w:val="2"/>
        </w:numPr>
        <w:spacing w:after="120" w:line="276" w:lineRule="auto"/>
      </w:pPr>
      <w:r>
        <w:t xml:space="preserve">Withholding of budget authority despite repeated requests, leaving Ms. Lord unable to execute the responsibilities of her </w:t>
      </w:r>
      <w:proofErr w:type="gramStart"/>
      <w:r>
        <w:t>Director</w:t>
      </w:r>
      <w:proofErr w:type="gramEnd"/>
      <w:r>
        <w:t xml:space="preserve"> title.</w:t>
      </w:r>
    </w:p>
    <w:p w14:paraId="56914B92" w14:textId="77777777" w:rsidR="001554EE" w:rsidRDefault="00000000">
      <w:pPr>
        <w:pStyle w:val="ListParagraph"/>
        <w:numPr>
          <w:ilvl w:val="0"/>
          <w:numId w:val="2"/>
        </w:numPr>
        <w:spacing w:after="120" w:line="276" w:lineRule="auto"/>
      </w:pPr>
      <w:r>
        <w:t>Removal of the Holiday Gala and team-building events from Marketing to HR in August 2025.</w:t>
      </w:r>
    </w:p>
    <w:p w14:paraId="1F0D04D2" w14:textId="77777777" w:rsidR="001554EE" w:rsidRDefault="00000000">
      <w:pPr>
        <w:pStyle w:val="ListParagraph"/>
        <w:numPr>
          <w:ilvl w:val="0"/>
          <w:numId w:val="2"/>
        </w:numPr>
        <w:spacing w:after="120" w:line="276" w:lineRule="auto"/>
      </w:pPr>
      <w:r>
        <w:t xml:space="preserve">Lockout from her </w:t>
      </w:r>
      <w:proofErr w:type="spellStart"/>
      <w:r>
        <w:t>Blackstream</w:t>
      </w:r>
      <w:proofErr w:type="spellEnd"/>
      <w:r>
        <w:t xml:space="preserve"> email account on September 2, 2025—containing work communications and documentation material to this claim—after IT administrator Stuart Owen was allegedly instructed by Christine Brodsky and/or Michael Mumma not to reset her password. This raises serious evidence spoliation concerns.</w:t>
      </w:r>
    </w:p>
    <w:p w14:paraId="517EAB87" w14:textId="77777777" w:rsidR="001554EE" w:rsidRDefault="00000000">
      <w:pPr>
        <w:pStyle w:val="ListParagraph"/>
        <w:numPr>
          <w:ilvl w:val="0"/>
          <w:numId w:val="2"/>
        </w:numPr>
        <w:spacing w:after="120" w:line="276" w:lineRule="auto"/>
      </w:pPr>
      <w:r>
        <w:t>28 out of 31 work submissions receiving no response or acknowledgment between May and November 2025—a documented 90.3% non-response rate.</w:t>
      </w:r>
    </w:p>
    <w:p w14:paraId="03873F93" w14:textId="77777777" w:rsidR="001554EE" w:rsidRDefault="00000000">
      <w:pPr>
        <w:spacing w:after="160" w:line="276" w:lineRule="auto"/>
        <w:jc w:val="both"/>
      </w:pPr>
      <w:r>
        <w:t xml:space="preserve">Each of these actions, standing alone, might be characterized as a minor workplace frustration. Taken together, over a sustained period and directed consistently at the Company’s oldest </w:t>
      </w:r>
      <w:r>
        <w:lastRenderedPageBreak/>
        <w:t>employee, they constitute a pattern of systematic marginalization that is actionable under the ADEA.</w:t>
      </w:r>
    </w:p>
    <w:p w14:paraId="769EA298" w14:textId="77777777" w:rsidR="001554EE" w:rsidRDefault="001554EE"/>
    <w:p w14:paraId="3ED0AA43" w14:textId="77777777" w:rsidR="001554EE" w:rsidRDefault="00000000">
      <w:pPr>
        <w:spacing w:before="280" w:after="160" w:line="276" w:lineRule="auto"/>
      </w:pPr>
      <w:r>
        <w:rPr>
          <w:b/>
          <w:bCs/>
          <w:u w:val="single"/>
        </w:rPr>
        <w:t>IV. REBUTTAL TO RESPONDENT’S DEFENSE OF THE REINERT REMARK</w:t>
      </w:r>
    </w:p>
    <w:p w14:paraId="6620AEB8" w14:textId="77777777" w:rsidR="001554EE" w:rsidRDefault="00000000">
      <w:pPr>
        <w:spacing w:before="200" w:after="120" w:line="276" w:lineRule="auto"/>
      </w:pPr>
      <w:r>
        <w:rPr>
          <w:b/>
          <w:bCs/>
        </w:rPr>
        <w:t>A. “No Recollection” Is Not a Denial</w:t>
      </w:r>
    </w:p>
    <w:p w14:paraId="0EDBB5A5" w14:textId="77777777" w:rsidR="001554EE" w:rsidRDefault="00000000">
      <w:pPr>
        <w:spacing w:after="160" w:line="276" w:lineRule="auto"/>
        <w:jc w:val="both"/>
      </w:pPr>
      <w:r>
        <w:t xml:space="preserve">Respondent states that CFO Peter Reinert “denies making any comments” about Ms. Lord’s age, and that HR Director Cameron Aldridge, who was present in the April 25, </w:t>
      </w:r>
      <w:proofErr w:type="gramStart"/>
      <w:r>
        <w:t>2025</w:t>
      </w:r>
      <w:proofErr w:type="gramEnd"/>
      <w:r>
        <w:t xml:space="preserve"> meeting, has “no recollection” of Reinert making such a comment. These are materially different statements. A denial is an affirmative assertion that the event did not occur. The absence of recollection is the absence of a denial. Aldridge does not say the remark was not made; he says he does not remember it.</w:t>
      </w:r>
    </w:p>
    <w:p w14:paraId="1DD42487" w14:textId="5E99B21B" w:rsidR="001554EE" w:rsidRDefault="00000000">
      <w:pPr>
        <w:spacing w:after="160" w:line="276" w:lineRule="auto"/>
        <w:jc w:val="both"/>
      </w:pPr>
      <w:r>
        <w:t xml:space="preserve">By contrast, Ms. Lord’s account is specific: she identifies the exact words (“At your age, why do you care about </w:t>
      </w:r>
      <w:r w:rsidR="00496BE6">
        <w:t xml:space="preserve">your </w:t>
      </w:r>
      <w:r>
        <w:t>reputation?”), the exact meeting, the exact date, and all attendees by name. The Commission should weigh the specificity of Ms. Lord’s contemporaneous account against the non-confirmatory non-recollections of the individuals accused.</w:t>
      </w:r>
    </w:p>
    <w:p w14:paraId="6E8A219D" w14:textId="77777777" w:rsidR="001554EE" w:rsidRDefault="00000000">
      <w:pPr>
        <w:spacing w:before="200" w:after="120" w:line="276" w:lineRule="auto"/>
      </w:pPr>
      <w:r>
        <w:rPr>
          <w:b/>
          <w:bCs/>
        </w:rPr>
        <w:t>B. This Was Not a “Stray Remark” Under Applicable Legal Standards</w:t>
      </w:r>
    </w:p>
    <w:p w14:paraId="44386451" w14:textId="77777777" w:rsidR="001554EE" w:rsidRDefault="00000000">
      <w:pPr>
        <w:spacing w:after="160" w:line="276" w:lineRule="auto"/>
        <w:jc w:val="both"/>
      </w:pPr>
      <w:r>
        <w:t>Respondent’s invocation of the “stray remark” doctrine is legally misapplied. A stray remark, for purposes of ADEA analysis, is a comment made by someone not involved in the adverse employment decision, or a comment temporally remote from the adverse action. Neither condition is satisfied here.</w:t>
      </w:r>
    </w:p>
    <w:p w14:paraId="426D6100" w14:textId="77777777" w:rsidR="001554EE" w:rsidRDefault="00000000">
      <w:pPr>
        <w:spacing w:after="160" w:line="276" w:lineRule="auto"/>
        <w:jc w:val="both"/>
      </w:pPr>
      <w:r>
        <w:t>Peter Reinert is the Company’s CFO and a member of its Executive Committee. He is a decision-maker. The remark was made in a meeting also attended by the CEO and the HR Director—the very individuals with authority over Ms. Lord’s employment conditions. The remark was made on April 25, 2025—the same day Ms. Lord was informed she would be moved to Contender full-time with no budget or staff. The remark was made in direct response to Ms. Lord raising concerns about the professional harm being done to her reputation. A remark made by a senior executive, in a decision-making meeting, in direct response to an employee’s expression of concern, on the day adverse action was taken, is direct evidence of discriminatory animus—not a stray remark.</w:t>
      </w:r>
    </w:p>
    <w:p w14:paraId="792F1437" w14:textId="77777777" w:rsidR="001554EE" w:rsidRDefault="00000000">
      <w:pPr>
        <w:spacing w:before="200" w:after="120" w:line="276" w:lineRule="auto"/>
      </w:pPr>
      <w:r>
        <w:rPr>
          <w:b/>
          <w:bCs/>
        </w:rPr>
        <w:t>C. The “Same Protected Class” Argument Has No Legal Validity</w:t>
      </w:r>
    </w:p>
    <w:p w14:paraId="1E276C4E" w14:textId="77777777" w:rsidR="001554EE" w:rsidRDefault="00000000">
      <w:pPr>
        <w:spacing w:after="160" w:line="276" w:lineRule="auto"/>
        <w:jc w:val="both"/>
      </w:pPr>
      <w:r>
        <w:t>Respondent argues that because Peter Reinert is 67 years old, he could not have harbored age-based animus toward Ms. Lord. This argument has been consistently and thoroughly rejected by courts. The ADEA protects individuals over the age of 40. A 67-year-old executive can discriminate against a 74-year-old employee. The statute does not require that the discriminating party be outside the protected class.</w:t>
      </w:r>
    </w:p>
    <w:p w14:paraId="6972BC95" w14:textId="77777777" w:rsidR="001554EE" w:rsidRDefault="00000000">
      <w:pPr>
        <w:spacing w:after="160" w:line="276" w:lineRule="auto"/>
        <w:jc w:val="both"/>
      </w:pPr>
      <w:r>
        <w:lastRenderedPageBreak/>
        <w:t>Indeed, the Supreme Court held in General Dynamics Land Systems, Inc. v. Cline, 540 U.S. 581 (2004), that the ADEA is specifically designed to protect older workers from discrimination even at the hands of employees who are themselves within the protected class.</w:t>
      </w:r>
    </w:p>
    <w:p w14:paraId="71B98E92" w14:textId="77777777" w:rsidR="001554EE" w:rsidRDefault="00000000">
      <w:pPr>
        <w:spacing w:after="160" w:line="276" w:lineRule="auto"/>
        <w:jc w:val="both"/>
      </w:pPr>
      <w:r>
        <w:t xml:space="preserve">Moreover, Mr. Reinert is not simply another older employee in the protected class. He is also the </w:t>
      </w:r>
      <w:r>
        <w:rPr>
          <w:b/>
          <w:bCs/>
        </w:rPr>
        <w:t>uncle of CEO and founder Ford Elliott</w:t>
      </w:r>
      <w:r>
        <w:t>. This close family relationship gives Mr. Reinert a degree of insulation from accountability and informal influence over employment decisions that other employees—including Ms. Lord—do not enjoy. The Commission should consider whether Mr. Reinert’s family relationship with the CEO affected the candor of the Company’s internal investigation into his remark, and whether it contributed to the absence of meaningful corrective action following Ms. Lord’s complaint.</w:t>
      </w:r>
    </w:p>
    <w:p w14:paraId="769F6D33" w14:textId="77777777" w:rsidR="001554EE" w:rsidRDefault="001554EE"/>
    <w:p w14:paraId="5D2D2899" w14:textId="77777777" w:rsidR="001554EE" w:rsidRDefault="00000000">
      <w:pPr>
        <w:spacing w:before="280" w:after="160" w:line="276" w:lineRule="auto"/>
      </w:pPr>
      <w:r>
        <w:rPr>
          <w:b/>
          <w:bCs/>
          <w:u w:val="single"/>
        </w:rPr>
        <w:t>V. REBUTTAL TO RESPONDENT’S RETALIATION DEFENSE</w:t>
      </w:r>
    </w:p>
    <w:p w14:paraId="287B6527" w14:textId="77777777" w:rsidR="001554EE" w:rsidRDefault="00000000">
      <w:pPr>
        <w:spacing w:after="160" w:line="276" w:lineRule="auto"/>
        <w:jc w:val="both"/>
      </w:pPr>
      <w:r>
        <w:t>Respondent’s retaliation defense rests on two pillars: (1) the internal investigation found no substantiation, and (2) the same supervisor who received the complaint gave Ms. Lord an excellent review. Neither pillar holds.</w:t>
      </w:r>
    </w:p>
    <w:p w14:paraId="20E44E67" w14:textId="77777777" w:rsidR="001554EE" w:rsidRDefault="00000000">
      <w:pPr>
        <w:spacing w:after="160" w:line="276" w:lineRule="auto"/>
        <w:jc w:val="both"/>
      </w:pPr>
      <w:r>
        <w:t xml:space="preserve">First, the Company’s internal investigation consisted of presenting Ms. Lord’s allegations to the accused parties and accepting their denials. HR Director Aldridge’s November 24, </w:t>
      </w:r>
      <w:proofErr w:type="gramStart"/>
      <w:r>
        <w:t>2025</w:t>
      </w:r>
      <w:proofErr w:type="gramEnd"/>
      <w:r>
        <w:t xml:space="preserve"> response letter reflects no independent corroboration, no witness interviews beyond the accused, and no documentary review. An investigation that relies exclusively on the denials of accused parties to reach a finding of no substantiation is not a good-faith investigation—it is a formality. The Commission should not defer to such an investigation.</w:t>
      </w:r>
    </w:p>
    <w:p w14:paraId="71A098F6" w14:textId="77777777" w:rsidR="001554EE" w:rsidRDefault="00000000">
      <w:pPr>
        <w:spacing w:after="160" w:line="276" w:lineRule="auto"/>
        <w:jc w:val="both"/>
      </w:pPr>
      <w:r>
        <w:t>Second, the “same actor” inference is a factual argument, not a legal rule. Courts recognize that an employer may take both positive and retaliatory actions simultaneously. That Phillips gave Ms. Lord an excellent review does not preclude a finding that the verbal warning—issued by the same management team three weeks after her discrimination complaint—was retaliatory in nature and timing.</w:t>
      </w:r>
    </w:p>
    <w:p w14:paraId="39190383" w14:textId="77777777" w:rsidR="001554EE" w:rsidRDefault="00000000">
      <w:pPr>
        <w:spacing w:after="160" w:line="276" w:lineRule="auto"/>
        <w:jc w:val="both"/>
      </w:pPr>
      <w:r>
        <w:t>Third, the retaliation claim extends well beyond the verbal warning. The sustained pattern of exclusion, non-response, denial of resources, and authority stripping that continued after Ms. Lord’s November 14 complaint constitutes ongoing retaliatory conduct regardless of the December performance review.</w:t>
      </w:r>
    </w:p>
    <w:p w14:paraId="0FA892E2" w14:textId="77777777" w:rsidR="001554EE" w:rsidRDefault="001554EE"/>
    <w:p w14:paraId="511796DB" w14:textId="77777777" w:rsidR="001554EE" w:rsidRDefault="00000000">
      <w:pPr>
        <w:spacing w:before="280" w:after="160" w:line="276" w:lineRule="auto"/>
      </w:pPr>
      <w:r>
        <w:rPr>
          <w:b/>
          <w:bCs/>
          <w:u w:val="single"/>
        </w:rPr>
        <w:t>VI. REBUTTAL TO RESPONDENT’S CONSTRUCTIVE DISCHARGE DEFENSE</w:t>
      </w:r>
    </w:p>
    <w:p w14:paraId="11033697" w14:textId="77777777" w:rsidR="001554EE" w:rsidRDefault="00000000">
      <w:pPr>
        <w:spacing w:after="160" w:line="276" w:lineRule="auto"/>
        <w:jc w:val="both"/>
      </w:pPr>
      <w:r>
        <w:t>Respondent asserts that because Ms. Lord remained employed at the time of the Charge, no constructive discharge occurred. This reflects a misunderstanding of the constructive discharge doctrine.</w:t>
      </w:r>
    </w:p>
    <w:p w14:paraId="4351E8F7" w14:textId="77777777" w:rsidR="001554EE" w:rsidRDefault="00000000">
      <w:pPr>
        <w:spacing w:after="160" w:line="276" w:lineRule="auto"/>
        <w:jc w:val="both"/>
      </w:pPr>
      <w:r>
        <w:lastRenderedPageBreak/>
        <w:t xml:space="preserve">Constructive discharge does not require that the employee have </w:t>
      </w:r>
      <w:proofErr w:type="gramStart"/>
      <w:r>
        <w:t>actually resigned</w:t>
      </w:r>
      <w:proofErr w:type="gramEnd"/>
      <w:r>
        <w:t xml:space="preserve"> at the time of filing. It requires that the employer deliberately made working conditions so intolerable that a reasonable person in the employee’s position would have felt compelled to resign. The analysis is objective.</w:t>
      </w:r>
    </w:p>
    <w:p w14:paraId="386328B8" w14:textId="77777777" w:rsidR="001554EE" w:rsidRDefault="00000000">
      <w:pPr>
        <w:spacing w:after="160" w:line="276" w:lineRule="auto"/>
        <w:jc w:val="both"/>
      </w:pPr>
      <w:r>
        <w:t>The conditions documented here—no staff, no budget, no office, no response to work product over a period of months, exclusion from all meaningful strategic functions, a formal disciplinary action three weeks after filing a discrimination complaint, and complete functional isolation from the Company’s core business—readily satisfy that standard. That Ms. Lord continued to attempt to perform her job despite these conditions is evidence of her professionalism and commitment, not evidence that the conditions were tolerable.</w:t>
      </w:r>
    </w:p>
    <w:p w14:paraId="4F1DDE47" w14:textId="77777777" w:rsidR="001554EE" w:rsidRDefault="001554EE"/>
    <w:p w14:paraId="47E535EA" w14:textId="77777777" w:rsidR="001554EE" w:rsidRDefault="00000000">
      <w:pPr>
        <w:spacing w:before="280" w:after="160" w:line="276" w:lineRule="auto"/>
      </w:pPr>
      <w:r>
        <w:rPr>
          <w:b/>
          <w:bCs/>
          <w:u w:val="single"/>
        </w:rPr>
        <w:t>VII. CRITICAL ISSUES RESPONDENT’S POSITION STATEMENT FAILS TO ADDRESS</w:t>
      </w:r>
    </w:p>
    <w:p w14:paraId="3F522FF8" w14:textId="77777777" w:rsidR="001554EE" w:rsidRDefault="00000000">
      <w:pPr>
        <w:spacing w:after="160" w:line="276" w:lineRule="auto"/>
        <w:jc w:val="both"/>
      </w:pPr>
      <w:r>
        <w:t>The Commission should note that Respondent’s position statement is conspicuously silent on several significant matters:</w:t>
      </w:r>
    </w:p>
    <w:p w14:paraId="4F070E64" w14:textId="77777777" w:rsidR="001554EE" w:rsidRDefault="00000000">
      <w:pPr>
        <w:pStyle w:val="ListParagraph"/>
        <w:numPr>
          <w:ilvl w:val="0"/>
          <w:numId w:val="3"/>
        </w:numPr>
        <w:spacing w:after="140" w:line="276" w:lineRule="auto"/>
      </w:pPr>
      <w:r>
        <w:rPr>
          <w:b/>
          <w:bCs/>
        </w:rPr>
        <w:t xml:space="preserve">The September 2, </w:t>
      </w:r>
      <w:proofErr w:type="gramStart"/>
      <w:r>
        <w:rPr>
          <w:b/>
          <w:bCs/>
        </w:rPr>
        <w:t>2025</w:t>
      </w:r>
      <w:proofErr w:type="gramEnd"/>
      <w:r>
        <w:rPr>
          <w:b/>
          <w:bCs/>
        </w:rPr>
        <w:t xml:space="preserve"> email lockout and potential spoliation. </w:t>
      </w:r>
      <w:r>
        <w:t xml:space="preserve">IT administrator Stuart Owen told Ms. Lord that he had been instructed by Christine Brodsky and/or Michael Mumma not to reset her </w:t>
      </w:r>
      <w:proofErr w:type="spellStart"/>
      <w:r>
        <w:t>Blackstream</w:t>
      </w:r>
      <w:proofErr w:type="spellEnd"/>
      <w:r>
        <w:t xml:space="preserve"> email password, effectively cutting off her access to work communications and documentation relevant to this very claim. This is a potential evidence spoliation issue warranting specific inquiry by the Commission. The Company’s preservation obligations under applicable law were triggered no later than November 14, 2025, when Ms. Lord served her formal preservation demand. The deliberate denial of password access two months earlier, in September 2025, is itself an adverse action and a red flag for intentional evidence destruction.</w:t>
      </w:r>
    </w:p>
    <w:p w14:paraId="5CBFEF3D" w14:textId="77777777" w:rsidR="001554EE" w:rsidRDefault="00000000">
      <w:pPr>
        <w:pStyle w:val="ListParagraph"/>
        <w:numPr>
          <w:ilvl w:val="0"/>
          <w:numId w:val="3"/>
        </w:numPr>
        <w:spacing w:after="140" w:line="276" w:lineRule="auto"/>
      </w:pPr>
      <w:r>
        <w:rPr>
          <w:b/>
          <w:bCs/>
        </w:rPr>
        <w:t xml:space="preserve">The March 18, </w:t>
      </w:r>
      <w:proofErr w:type="gramStart"/>
      <w:r>
        <w:rPr>
          <w:b/>
          <w:bCs/>
        </w:rPr>
        <w:t>2025</w:t>
      </w:r>
      <w:proofErr w:type="gramEnd"/>
      <w:r>
        <w:rPr>
          <w:b/>
          <w:bCs/>
        </w:rPr>
        <w:t xml:space="preserve"> firearm report. </w:t>
      </w:r>
      <w:r>
        <w:t>Ms. Lord reported to HR Director Aldridge that Ms. Cape had brought a firearm to the workplace. No meaningful action was taken. Two days later, Ms. Lord’s supervisory authority—the very authority under which she had made the safety report—was revoked entirely. The direct temporal connection between the safety report and the authority revocation is unaddressed by Respondent and constitutes additional evidence of retaliation.</w:t>
      </w:r>
    </w:p>
    <w:p w14:paraId="4A49D9FE" w14:textId="77777777" w:rsidR="001554EE" w:rsidRDefault="00000000">
      <w:pPr>
        <w:pStyle w:val="ListParagraph"/>
        <w:numPr>
          <w:ilvl w:val="0"/>
          <w:numId w:val="3"/>
        </w:numPr>
        <w:spacing w:after="140" w:line="276" w:lineRule="auto"/>
      </w:pPr>
      <w:r>
        <w:rPr>
          <w:b/>
          <w:bCs/>
        </w:rPr>
        <w:t xml:space="preserve">The payroll rumor pretext. </w:t>
      </w:r>
      <w:r>
        <w:t xml:space="preserve">The Company characterizes Ms. Lord’s statements about financial concerns as “entirely false” statements justifying discipline. In fact, Ms. Lord raised these exact financial concerns directly with Ford Elliott, Peter Reinert, and Cameron Aldridge at the April 25, </w:t>
      </w:r>
      <w:proofErr w:type="gramStart"/>
      <w:r>
        <w:t>2025</w:t>
      </w:r>
      <w:proofErr w:type="gramEnd"/>
      <w:r>
        <w:t xml:space="preserve"> meeting—months before the employee conversation that triggered the verbal warning. Internal payroll rumors had circulated since at least February 2025. Ms. Lord’s statements were consistent with the financial information she was receiving from senior leadership, including CFO Reinert himself. </w:t>
      </w:r>
      <w:r>
        <w:lastRenderedPageBreak/>
        <w:t>The Company’s selective application of its “false statements” policy—enforced against the employee who had just filed a discrimination complaint, but not against Stuart Owen or the original sources of the rumors—is pretextual on its face.</w:t>
      </w:r>
    </w:p>
    <w:p w14:paraId="0E3CAF28" w14:textId="77777777" w:rsidR="001554EE" w:rsidRDefault="00000000">
      <w:pPr>
        <w:pStyle w:val="ListParagraph"/>
        <w:numPr>
          <w:ilvl w:val="0"/>
          <w:numId w:val="3"/>
        </w:numPr>
        <w:spacing w:after="140" w:line="276" w:lineRule="auto"/>
      </w:pPr>
      <w:r>
        <w:rPr>
          <w:b/>
          <w:bCs/>
        </w:rPr>
        <w:t xml:space="preserve">The simultaneous elevation of younger employees on May 12, 2025. </w:t>
      </w:r>
      <w:r>
        <w:t xml:space="preserve">On the same day Ms. Lord signed her letter accepting the transition to Contender, internal emails and the Company website show Ms. Cape being promoted to Senior Graphic Designer and Brand Manager, and Ms. Wrenn being promoted to Director of Operations. In addition, a September 5, </w:t>
      </w:r>
      <w:proofErr w:type="gramStart"/>
      <w:r>
        <w:t>2025</w:t>
      </w:r>
      <w:proofErr w:type="gramEnd"/>
      <w:r>
        <w:t xml:space="preserve"> email from Christine Brodsky to a third party introduced Ms. Cape as Director of Marketing—Ms. Lord’s own title—while Ms. Lord remained employed. These facts directly contradict Respondent’s claim that Ms. Lord’s role was not assumed by a younger employee, and they constitute the clearest possible evidence of disparate treatment by age.</w:t>
      </w:r>
    </w:p>
    <w:p w14:paraId="491848C1" w14:textId="77777777" w:rsidR="001554EE" w:rsidRDefault="00000000">
      <w:pPr>
        <w:pStyle w:val="ListParagraph"/>
        <w:numPr>
          <w:ilvl w:val="0"/>
          <w:numId w:val="3"/>
        </w:numPr>
        <w:spacing w:after="140" w:line="276" w:lineRule="auto"/>
      </w:pPr>
      <w:r>
        <w:rPr>
          <w:b/>
          <w:bCs/>
        </w:rPr>
        <w:t xml:space="preserve">The Broadstreet Global / SEC investigation context. </w:t>
      </w:r>
      <w:r>
        <w:t>Ms. Lord’s preservation letter identifies communications and work product related to Broadstreet Global / Broad Street Global Management and a related SEC investigation as material to this case. Ms. Lord performed PR and crisis-response work for leadership in connection with Broadstreet. Respondent’s position statement does not acknowledge this issue, does not confirm that those materials have been preserved, and does not address whether the decision to move Ms. Lord to Contender was connected to the Company’s efforts to create distance between its entities following Broadstreet’s SEC-related exposure.</w:t>
      </w:r>
    </w:p>
    <w:p w14:paraId="43ABE8EF" w14:textId="77777777" w:rsidR="001554EE" w:rsidRDefault="001554EE"/>
    <w:p w14:paraId="3513E3FA" w14:textId="77777777" w:rsidR="001554EE" w:rsidRDefault="00000000">
      <w:pPr>
        <w:spacing w:before="280" w:after="160" w:line="276" w:lineRule="auto"/>
      </w:pPr>
      <w:r>
        <w:rPr>
          <w:b/>
          <w:bCs/>
          <w:u w:val="single"/>
        </w:rPr>
        <w:t>VIII. CONCLUSION</w:t>
      </w:r>
    </w:p>
    <w:p w14:paraId="571DCEC7" w14:textId="77777777" w:rsidR="001554EE" w:rsidRDefault="00000000">
      <w:pPr>
        <w:spacing w:after="160" w:line="276" w:lineRule="auto"/>
        <w:jc w:val="both"/>
      </w:pPr>
      <w:r>
        <w:t>Respondent’s position statement is carefully written but legally thin. It relies on denial of the central age-based remark, a legally defunct “same protected class” argument, a narrow focus on two employment actions while ignoring a documented pattern of a dozen more, and a procedurally inadequate internal investigation that accepted accused parties’ own denials as dispositive.</w:t>
      </w:r>
    </w:p>
    <w:p w14:paraId="2D9283C8" w14:textId="77777777" w:rsidR="001554EE" w:rsidRDefault="00000000">
      <w:pPr>
        <w:spacing w:after="160" w:line="276" w:lineRule="auto"/>
        <w:jc w:val="both"/>
      </w:pPr>
      <w:r>
        <w:t>The record, viewed in its totality, establishes that Elizabeth Lord—a 74-year-old employee with more than two years of documented excellent performance—was systematically stripped of authority, excluded from strategic functions, denied basic resources, disciplined immediately following her protected discrimination complaint, and constructively demoted into a title with no practical function. Younger, less experienced employees received the substantive responsibilities taken from her, were elevated into roles duplicating her functions, and were explicitly introduced to third parties as holding her title while she remained employed. A senior executive who is also the CEO’s uncle made a direct age-based remark in her presence, in a meeting with the CEO and HR Director, on the day adverse action was taken.</w:t>
      </w:r>
    </w:p>
    <w:p w14:paraId="68D6612D" w14:textId="77777777" w:rsidR="001554EE" w:rsidRDefault="00000000">
      <w:pPr>
        <w:spacing w:after="160" w:line="276" w:lineRule="auto"/>
        <w:jc w:val="both"/>
      </w:pPr>
      <w:r>
        <w:t xml:space="preserve">Ms. Lord respectfully requests that the Commission proceed to a full investigation of this Charge and its companion charge against </w:t>
      </w:r>
      <w:proofErr w:type="spellStart"/>
      <w:r>
        <w:t>Blackstream</w:t>
      </w:r>
      <w:proofErr w:type="spellEnd"/>
      <w:r>
        <w:t xml:space="preserve"> International Real Estate (No. 436-2026-00698</w:t>
      </w:r>
      <w:proofErr w:type="gramStart"/>
      <w:r>
        <w:t xml:space="preserve">), </w:t>
      </w:r>
      <w:r>
        <w:lastRenderedPageBreak/>
        <w:t>and</w:t>
      </w:r>
      <w:proofErr w:type="gramEnd"/>
      <w:r>
        <w:t xml:space="preserve"> issue a cause determination. The evidence of age discrimination, hostile work environment, and retaliation under the ADEA is substantial and supported by the documentary record.</w:t>
      </w:r>
    </w:p>
    <w:p w14:paraId="035AED2B" w14:textId="77777777" w:rsidR="001554EE" w:rsidRDefault="001554EE"/>
    <w:p w14:paraId="52493AB9" w14:textId="77777777" w:rsidR="001554EE" w:rsidRDefault="001554EE"/>
    <w:p w14:paraId="5E5EBC92" w14:textId="77777777" w:rsidR="001554EE" w:rsidRDefault="00000000">
      <w:pPr>
        <w:spacing w:after="900"/>
      </w:pPr>
      <w:r>
        <w:t>Respectfully submitted,</w:t>
      </w:r>
    </w:p>
    <w:p w14:paraId="7375266C" w14:textId="77777777" w:rsidR="001554EE" w:rsidRDefault="00000000">
      <w:r>
        <w:t>Elizabeth Langworthy Lord</w:t>
      </w:r>
    </w:p>
    <w:p w14:paraId="704FE0F6" w14:textId="77777777" w:rsidR="001554EE" w:rsidRDefault="00000000">
      <w:r>
        <w:t>Charging Party, Pro Se</w:t>
      </w:r>
    </w:p>
    <w:p w14:paraId="43763494" w14:textId="77777777" w:rsidR="001554EE" w:rsidRDefault="00000000">
      <w:r>
        <w:t>109 Asteria Street</w:t>
      </w:r>
    </w:p>
    <w:p w14:paraId="28CBEB4F" w14:textId="77777777" w:rsidR="001554EE" w:rsidRDefault="00000000">
      <w:r>
        <w:t>Greenville, SC 29617</w:t>
      </w:r>
    </w:p>
    <w:p w14:paraId="320EEB80" w14:textId="77777777" w:rsidR="001554EE" w:rsidRDefault="00000000">
      <w:r>
        <w:t>(512) 808-7984</w:t>
      </w:r>
    </w:p>
    <w:sectPr w:rsidR="001554E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F1734"/>
    <w:multiLevelType w:val="hybridMultilevel"/>
    <w:tmpl w:val="A0708A9C"/>
    <w:lvl w:ilvl="0" w:tplc="279A945E">
      <w:start w:val="1"/>
      <w:numFmt w:val="bullet"/>
      <w:lvlText w:val="•"/>
      <w:lvlJc w:val="left"/>
      <w:pPr>
        <w:ind w:left="720" w:hanging="360"/>
      </w:pPr>
    </w:lvl>
    <w:lvl w:ilvl="1" w:tplc="7506035C">
      <w:numFmt w:val="decimal"/>
      <w:lvlText w:val=""/>
      <w:lvlJc w:val="left"/>
    </w:lvl>
    <w:lvl w:ilvl="2" w:tplc="560A202C">
      <w:numFmt w:val="decimal"/>
      <w:lvlText w:val=""/>
      <w:lvlJc w:val="left"/>
    </w:lvl>
    <w:lvl w:ilvl="3" w:tplc="794E274E">
      <w:numFmt w:val="decimal"/>
      <w:lvlText w:val=""/>
      <w:lvlJc w:val="left"/>
    </w:lvl>
    <w:lvl w:ilvl="4" w:tplc="418848DE">
      <w:numFmt w:val="decimal"/>
      <w:lvlText w:val=""/>
      <w:lvlJc w:val="left"/>
    </w:lvl>
    <w:lvl w:ilvl="5" w:tplc="E9E82148">
      <w:numFmt w:val="decimal"/>
      <w:lvlText w:val=""/>
      <w:lvlJc w:val="left"/>
    </w:lvl>
    <w:lvl w:ilvl="6" w:tplc="4FC0FC2C">
      <w:numFmt w:val="decimal"/>
      <w:lvlText w:val=""/>
      <w:lvlJc w:val="left"/>
    </w:lvl>
    <w:lvl w:ilvl="7" w:tplc="D3F892D6">
      <w:numFmt w:val="decimal"/>
      <w:lvlText w:val=""/>
      <w:lvlJc w:val="left"/>
    </w:lvl>
    <w:lvl w:ilvl="8" w:tplc="C2862F3E">
      <w:numFmt w:val="decimal"/>
      <w:lvlText w:val=""/>
      <w:lvlJc w:val="left"/>
    </w:lvl>
  </w:abstractNum>
  <w:abstractNum w:abstractNumId="1" w15:restartNumberingAfterBreak="0">
    <w:nsid w:val="54DE7E8F"/>
    <w:multiLevelType w:val="hybridMultilevel"/>
    <w:tmpl w:val="FFC8427A"/>
    <w:lvl w:ilvl="0" w:tplc="D03C4868">
      <w:start w:val="1"/>
      <w:numFmt w:val="decimal"/>
      <w:lvlText w:val="%1."/>
      <w:lvlJc w:val="left"/>
      <w:pPr>
        <w:ind w:left="720" w:hanging="360"/>
      </w:pPr>
    </w:lvl>
    <w:lvl w:ilvl="1" w:tplc="292CE770">
      <w:numFmt w:val="decimal"/>
      <w:lvlText w:val=""/>
      <w:lvlJc w:val="left"/>
    </w:lvl>
    <w:lvl w:ilvl="2" w:tplc="56CE9746">
      <w:numFmt w:val="decimal"/>
      <w:lvlText w:val=""/>
      <w:lvlJc w:val="left"/>
    </w:lvl>
    <w:lvl w:ilvl="3" w:tplc="F146A8E6">
      <w:numFmt w:val="decimal"/>
      <w:lvlText w:val=""/>
      <w:lvlJc w:val="left"/>
    </w:lvl>
    <w:lvl w:ilvl="4" w:tplc="1840C48A">
      <w:numFmt w:val="decimal"/>
      <w:lvlText w:val=""/>
      <w:lvlJc w:val="left"/>
    </w:lvl>
    <w:lvl w:ilvl="5" w:tplc="9550A68E">
      <w:numFmt w:val="decimal"/>
      <w:lvlText w:val=""/>
      <w:lvlJc w:val="left"/>
    </w:lvl>
    <w:lvl w:ilvl="6" w:tplc="0AEEB9AE">
      <w:numFmt w:val="decimal"/>
      <w:lvlText w:val=""/>
      <w:lvlJc w:val="left"/>
    </w:lvl>
    <w:lvl w:ilvl="7" w:tplc="ECD6921C">
      <w:numFmt w:val="decimal"/>
      <w:lvlText w:val=""/>
      <w:lvlJc w:val="left"/>
    </w:lvl>
    <w:lvl w:ilvl="8" w:tplc="E5DCACBA">
      <w:numFmt w:val="decimal"/>
      <w:lvlText w:val=""/>
      <w:lvlJc w:val="left"/>
    </w:lvl>
  </w:abstractNum>
  <w:abstractNum w:abstractNumId="2" w15:restartNumberingAfterBreak="0">
    <w:nsid w:val="7B13484D"/>
    <w:multiLevelType w:val="hybridMultilevel"/>
    <w:tmpl w:val="097E78DE"/>
    <w:lvl w:ilvl="0" w:tplc="4560EBC6">
      <w:start w:val="1"/>
      <w:numFmt w:val="bullet"/>
      <w:lvlText w:val="●"/>
      <w:lvlJc w:val="left"/>
      <w:pPr>
        <w:ind w:left="720" w:hanging="360"/>
      </w:pPr>
    </w:lvl>
    <w:lvl w:ilvl="1" w:tplc="AEF6A42A">
      <w:start w:val="1"/>
      <w:numFmt w:val="bullet"/>
      <w:lvlText w:val="○"/>
      <w:lvlJc w:val="left"/>
      <w:pPr>
        <w:ind w:left="1440" w:hanging="360"/>
      </w:pPr>
    </w:lvl>
    <w:lvl w:ilvl="2" w:tplc="8F8C6024">
      <w:start w:val="1"/>
      <w:numFmt w:val="bullet"/>
      <w:lvlText w:val="■"/>
      <w:lvlJc w:val="left"/>
      <w:pPr>
        <w:ind w:left="2160" w:hanging="360"/>
      </w:pPr>
    </w:lvl>
    <w:lvl w:ilvl="3" w:tplc="E03ACD40">
      <w:start w:val="1"/>
      <w:numFmt w:val="bullet"/>
      <w:lvlText w:val="●"/>
      <w:lvlJc w:val="left"/>
      <w:pPr>
        <w:ind w:left="2880" w:hanging="360"/>
      </w:pPr>
    </w:lvl>
    <w:lvl w:ilvl="4" w:tplc="8F180A54">
      <w:start w:val="1"/>
      <w:numFmt w:val="bullet"/>
      <w:lvlText w:val="○"/>
      <w:lvlJc w:val="left"/>
      <w:pPr>
        <w:ind w:left="3600" w:hanging="360"/>
      </w:pPr>
    </w:lvl>
    <w:lvl w:ilvl="5" w:tplc="80FA6F12">
      <w:start w:val="1"/>
      <w:numFmt w:val="bullet"/>
      <w:lvlText w:val="■"/>
      <w:lvlJc w:val="left"/>
      <w:pPr>
        <w:ind w:left="4320" w:hanging="360"/>
      </w:pPr>
    </w:lvl>
    <w:lvl w:ilvl="6" w:tplc="77ECFF1E">
      <w:start w:val="1"/>
      <w:numFmt w:val="bullet"/>
      <w:lvlText w:val="●"/>
      <w:lvlJc w:val="left"/>
      <w:pPr>
        <w:ind w:left="5040" w:hanging="360"/>
      </w:pPr>
    </w:lvl>
    <w:lvl w:ilvl="7" w:tplc="B7A6D924">
      <w:start w:val="1"/>
      <w:numFmt w:val="bullet"/>
      <w:lvlText w:val="●"/>
      <w:lvlJc w:val="left"/>
      <w:pPr>
        <w:ind w:left="5760" w:hanging="360"/>
      </w:pPr>
    </w:lvl>
    <w:lvl w:ilvl="8" w:tplc="B45C9C4C">
      <w:start w:val="1"/>
      <w:numFmt w:val="bullet"/>
      <w:lvlText w:val="●"/>
      <w:lvlJc w:val="left"/>
      <w:pPr>
        <w:ind w:left="6480" w:hanging="360"/>
      </w:pPr>
    </w:lvl>
  </w:abstractNum>
  <w:num w:numId="1" w16cid:durableId="1353995219">
    <w:abstractNumId w:val="2"/>
    <w:lvlOverride w:ilvl="0">
      <w:startOverride w:val="1"/>
    </w:lvlOverride>
  </w:num>
  <w:num w:numId="2" w16cid:durableId="930428403">
    <w:abstractNumId w:val="0"/>
    <w:lvlOverride w:ilvl="0">
      <w:startOverride w:val="1"/>
    </w:lvlOverride>
  </w:num>
  <w:num w:numId="3" w16cid:durableId="222170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4EE"/>
    <w:rsid w:val="001554EE"/>
    <w:rsid w:val="00496BE6"/>
    <w:rsid w:val="00810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EBE757"/>
  <w15:docId w15:val="{61595676-AB40-B341-9B4C-41D53AB95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3726</Words>
  <Characters>21244</Characters>
  <Application>Microsoft Office Word</Application>
  <DocSecurity>0</DocSecurity>
  <Lines>177</Lines>
  <Paragraphs>49</Paragraphs>
  <ScaleCrop>false</ScaleCrop>
  <Company/>
  <LinksUpToDate>false</LinksUpToDate>
  <CharactersWithSpaces>24921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Elizabeth Lord</cp:lastModifiedBy>
  <cp:revision>2</cp:revision>
  <dcterms:created xsi:type="dcterms:W3CDTF">2026-03-11T22:37:00Z</dcterms:created>
  <dcterms:modified xsi:type="dcterms:W3CDTF">2026-03-14T16:59:00Z</dcterms:modified>
</cp:coreProperties>
</file>