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2F37" w14:textId="77777777" w:rsidR="001554EE" w:rsidRDefault="00000000">
      <w:r>
        <w:t>Elizabeth Langworthy Lord</w:t>
      </w:r>
    </w:p>
    <w:p w14:paraId="3F223FA6" w14:textId="77777777" w:rsidR="001554EE" w:rsidRDefault="00000000">
      <w:r>
        <w:t>109 Asteria Street</w:t>
      </w:r>
    </w:p>
    <w:p w14:paraId="1FF0A816" w14:textId="77777777" w:rsidR="001554EE" w:rsidRDefault="00000000">
      <w:r>
        <w:t>Greenville, SC 29617</w:t>
      </w:r>
    </w:p>
    <w:p w14:paraId="6E6D133B" w14:textId="77777777" w:rsidR="001554EE" w:rsidRDefault="00000000">
      <w:pPr>
        <w:spacing w:after="240"/>
      </w:pPr>
      <w:r>
        <w:t>Phone: (512) 808-7984</w:t>
      </w:r>
    </w:p>
    <w:p w14:paraId="6987A3F6" w14:textId="77777777" w:rsidR="001554EE" w:rsidRDefault="00000000">
      <w:pPr>
        <w:spacing w:after="240"/>
      </w:pPr>
      <w:r>
        <w:t>March 11, 2026</w:t>
      </w:r>
    </w:p>
    <w:p w14:paraId="13A9F301" w14:textId="77777777" w:rsidR="001554EE" w:rsidRDefault="00000000">
      <w:pPr>
        <w:spacing w:after="240"/>
      </w:pPr>
      <w:r>
        <w:rPr>
          <w:b/>
          <w:bCs/>
        </w:rPr>
        <w:t>VIA EEOC RESPONDENT PORTAL</w:t>
      </w:r>
    </w:p>
    <w:p w14:paraId="79DC30A5" w14:textId="77777777" w:rsidR="001554EE" w:rsidRDefault="00000000">
      <w:r>
        <w:t>Jacquie Jones-Mounts</w:t>
      </w:r>
    </w:p>
    <w:p w14:paraId="0F432E7E" w14:textId="77777777" w:rsidR="001554EE" w:rsidRDefault="00000000">
      <w:r>
        <w:t>Acting Local Director</w:t>
      </w:r>
    </w:p>
    <w:p w14:paraId="1F5B57B1" w14:textId="77777777" w:rsidR="001554EE" w:rsidRDefault="00000000">
      <w:r>
        <w:t>Greenville Local Office</w:t>
      </w:r>
    </w:p>
    <w:p w14:paraId="0E3FD275" w14:textId="77777777" w:rsidR="001554EE" w:rsidRDefault="00000000">
      <w:pPr>
        <w:spacing w:after="240"/>
      </w:pPr>
      <w:r>
        <w:t>United States Equal Employment Opportunity Commission</w:t>
      </w:r>
    </w:p>
    <w:p w14:paraId="41798BF9" w14:textId="77777777" w:rsidR="001554EE" w:rsidRDefault="00000000">
      <w:r>
        <w:rPr>
          <w:b/>
          <w:bCs/>
        </w:rPr>
        <w:t>Re: Charging Party’s Rebuttal to Respondent’s Position Statement</w:t>
      </w:r>
    </w:p>
    <w:p w14:paraId="6EFBB582" w14:textId="77777777" w:rsidR="001554EE" w:rsidRDefault="00000000">
      <w:r>
        <w:rPr>
          <w:i/>
          <w:iCs/>
        </w:rPr>
        <w:t>Complainant: Elizabeth Lord</w:t>
      </w:r>
    </w:p>
    <w:p w14:paraId="496F2533" w14:textId="77777777" w:rsidR="001554EE" w:rsidRDefault="00000000">
      <w:r>
        <w:rPr>
          <w:i/>
          <w:iCs/>
        </w:rPr>
        <w:t>Respondent: Contender Development, Inc. d/b/a Contender America</w:t>
      </w:r>
    </w:p>
    <w:p w14:paraId="47F301CC" w14:textId="77777777" w:rsidR="001554EE" w:rsidRDefault="00000000">
      <w:r>
        <w:rPr>
          <w:i/>
          <w:iCs/>
        </w:rPr>
        <w:t>EEOC Charge No.: 436-2026-00670</w:t>
      </w:r>
    </w:p>
    <w:p w14:paraId="5098DB01" w14:textId="77777777" w:rsidR="001554EE" w:rsidRDefault="00000000">
      <w:pPr>
        <w:spacing w:after="240"/>
      </w:pPr>
      <w:r>
        <w:rPr>
          <w:i/>
          <w:iCs/>
        </w:rPr>
        <w:t>Related Charge No.: 436-2026-00698 (</w:t>
      </w:r>
      <w:proofErr w:type="spellStart"/>
      <w:r>
        <w:rPr>
          <w:i/>
          <w:iCs/>
        </w:rPr>
        <w:t>Blackstream</w:t>
      </w:r>
      <w:proofErr w:type="spellEnd"/>
      <w:r>
        <w:rPr>
          <w:i/>
          <w:iCs/>
        </w:rPr>
        <w:t xml:space="preserve"> International Real Estate)</w:t>
      </w:r>
    </w:p>
    <w:p w14:paraId="1316A4C9" w14:textId="695439BF" w:rsidR="001554EE" w:rsidRDefault="00000000">
      <w:pPr>
        <w:spacing w:after="200"/>
      </w:pPr>
      <w:r>
        <w:t>Dear Ms. Jones-Mounts</w:t>
      </w:r>
      <w:r w:rsidR="00F44788">
        <w:t xml:space="preserve"> and Mr. Gregory Somers</w:t>
      </w:r>
      <w:r>
        <w:t>:</w:t>
      </w:r>
    </w:p>
    <w:p w14:paraId="66BC6A51" w14:textId="77777777" w:rsidR="001554EE" w:rsidRDefault="00000000">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65478136" w14:textId="77777777" w:rsidR="001554EE" w:rsidRDefault="00000000">
      <w:pPr>
        <w:spacing w:after="160" w:line="276" w:lineRule="auto"/>
        <w:jc w:val="both"/>
      </w:pPr>
      <w:r>
        <w:t xml:space="preserve">Ms. Lord has also filed a related charge against </w:t>
      </w:r>
      <w:proofErr w:type="spellStart"/>
      <w:r>
        <w:t>Blackstream</w:t>
      </w:r>
      <w:proofErr w:type="spellEnd"/>
      <w:r>
        <w:t xml:space="preserve"> International Real Estate (EEOC Charge No. 436-2026-00698), arising from the same pattern of conduct and the same period of discrimination. The two charges involve overlapping facts, common decision-makers, and a shared discriminatory scheme, and should be considered together.</w:t>
      </w:r>
    </w:p>
    <w:p w14:paraId="0334E204" w14:textId="77777777" w:rsidR="001554EE" w:rsidRDefault="001554EE"/>
    <w:p w14:paraId="1ECF6E6D" w14:textId="77777777" w:rsidR="001554EE" w:rsidRDefault="00000000">
      <w:pPr>
        <w:spacing w:before="280" w:after="160" w:line="276" w:lineRule="auto"/>
      </w:pPr>
      <w:r>
        <w:rPr>
          <w:b/>
          <w:bCs/>
          <w:u w:val="single"/>
        </w:rPr>
        <w:t>I. PRELIMINARY OBSERVATIONS: THE VOLUME OF EVIDENCE IS NOT A WEAKNESS</w:t>
      </w:r>
    </w:p>
    <w:p w14:paraId="16CBFD35" w14:textId="77777777" w:rsidR="001554EE" w:rsidRDefault="00000000">
      <w:pPr>
        <w:spacing w:after="16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than any single incident in isolation. The volume of documented grievances is not evidence of frivolousness. It is evidence of a pattern.</w:t>
      </w:r>
    </w:p>
    <w:p w14:paraId="2ABD87D0" w14:textId="77777777" w:rsidR="001554EE" w:rsidRDefault="00000000">
      <w:pPr>
        <w:spacing w:after="160" w:line="276" w:lineRule="auto"/>
        <w:jc w:val="both"/>
      </w:pPr>
      <w:r>
        <w:lastRenderedPageBreak/>
        <w:t>Further, the proper question before this Commission is not whether Ms. Lord has too many complaints. The proper question is whether those complaints have merit. The answer, as the following analysis demonstrates, is yes.</w:t>
      </w:r>
    </w:p>
    <w:p w14:paraId="440FFAD2" w14:textId="77777777" w:rsidR="001554EE" w:rsidRDefault="001554EE"/>
    <w:p w14:paraId="34163656" w14:textId="77777777" w:rsidR="001554EE" w:rsidRDefault="00000000">
      <w:pPr>
        <w:spacing w:before="280" w:after="160" w:line="276" w:lineRule="auto"/>
      </w:pPr>
      <w:r>
        <w:rPr>
          <w:b/>
          <w:bCs/>
          <w:u w:val="single"/>
        </w:rPr>
        <w:t>II. REBUTTAL TO RESPONDENT’S CHARACTERIZATION OF MS. LORD’S EMPLOYMENT HISTORY</w:t>
      </w:r>
    </w:p>
    <w:p w14:paraId="532F583C" w14:textId="77777777" w:rsidR="001554EE" w:rsidRDefault="00000000">
      <w:pPr>
        <w:spacing w:before="200" w:after="120" w:line="276" w:lineRule="auto"/>
      </w:pPr>
      <w:r>
        <w:rPr>
          <w:b/>
          <w:bCs/>
        </w:rPr>
        <w:t>A. Respondent Mischaracterizes the Nature of Ms. Lord’s Role and Her Relationship with Ms. Cape</w:t>
      </w:r>
    </w:p>
    <w:p w14:paraId="5A58CB37" w14:textId="77777777" w:rsidR="001554EE" w:rsidRDefault="00000000">
      <w:pPr>
        <w:spacing w:after="160" w:line="276" w:lineRule="auto"/>
        <w:jc w:val="both"/>
      </w:pPr>
      <w:r>
        <w:t>The Position Statement claims that the relationship between Ms. Lord and co-worker Haley Cape “deteriorated” because Ms. Lord “viewed Cape as a subordinate” and “began demanding” updates, causing friction. This characterization omits critical context and misrepresents the organizational structure.</w:t>
      </w:r>
    </w:p>
    <w:p w14:paraId="1B78D985" w14:textId="77777777" w:rsidR="001554EE" w:rsidRDefault="00000000">
      <w:pPr>
        <w:spacing w:after="160" w:line="276" w:lineRule="auto"/>
        <w:jc w:val="both"/>
      </w:pPr>
      <w:r>
        <w:t xml:space="preserve">Ms. Lord was hired in July 2022 as Director of Marketing and held full-scope marketing and branding authority for both </w:t>
      </w:r>
      <w:proofErr w:type="spellStart"/>
      <w:r>
        <w:t>Blackstream</w:t>
      </w:r>
      <w:proofErr w:type="spellEnd"/>
      <w:r>
        <w:t xml:space="preserve"> and Contender from the outset, including graphic design, website management, advertising, PR, and corporate branding—including designing Contender’s flag logo. Ms. Cape was not hired until August 2023, initially in an administrative and graphic design support role. An organizational chart circulated by CEO Michael Mumma showed Ms. Cape as Ms. Lord’s direct report, and HR Director Cameron Aldridge’s March 13, </w:t>
      </w:r>
      <w:proofErr w:type="gramStart"/>
      <w:r>
        <w:t>2025</w:t>
      </w:r>
      <w:proofErr w:type="gramEnd"/>
      <w:r>
        <w:t xml:space="preserve"> written memo explicitly confirmed that both Ms. Cape and Alex Weldon reported to Ms. Lord and that Ms. Lord held budget authority. When Ms. Lord requested that Ms. Cape keep her informed of work and complete assigned tasks, she was exercising the supervisory authority the Company itself had confirmed in writing—not “demanding” information she had no right to.</w:t>
      </w:r>
    </w:p>
    <w:p w14:paraId="063D834F" w14:textId="77777777" w:rsidR="001554EE" w:rsidRDefault="00000000">
      <w:pPr>
        <w:spacing w:after="160" w:line="276" w:lineRule="auto"/>
        <w:jc w:val="both"/>
      </w:pPr>
      <w:r>
        <w:t>The Company’s framing of these interactions as mere interpersonal friction obscures the underlying reality: Ms. Lord’s established authority was being systematically undermined and transferred to a substantially younger employee who had been given special, undisclosed access to senior leadership. Most critically, Ms. Lord was deliberately excluded from a major corporate rebranding of Elliott Homes that CEO Michael Mumma planned and executed in secret sessions with Ms. Cape—concealing the project entirely from the Director of Marketing whose job it was to oversee such initiatives.</w:t>
      </w:r>
    </w:p>
    <w:p w14:paraId="00E325D3" w14:textId="77777777" w:rsidR="001554EE" w:rsidRDefault="00000000">
      <w:pPr>
        <w:spacing w:before="200" w:after="120" w:line="276" w:lineRule="auto"/>
      </w:pPr>
      <w:r>
        <w:rPr>
          <w:b/>
          <w:bCs/>
        </w:rPr>
        <w:t xml:space="preserve">B. The Transition to Contender Was a Constructive Demotion, </w:t>
      </w:r>
      <w:proofErr w:type="gramStart"/>
      <w:r>
        <w:rPr>
          <w:b/>
          <w:bCs/>
        </w:rPr>
        <w:t>Not</w:t>
      </w:r>
      <w:proofErr w:type="gramEnd"/>
      <w:r>
        <w:rPr>
          <w:b/>
          <w:bCs/>
        </w:rPr>
        <w:t xml:space="preserve"> a Lateral Move</w:t>
      </w:r>
    </w:p>
    <w:p w14:paraId="252EC501" w14:textId="77777777" w:rsidR="001554EE" w:rsidRDefault="00000000">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0E48776E" w14:textId="77777777" w:rsidR="001554EE" w:rsidRDefault="00000000">
      <w:pPr>
        <w:spacing w:after="160" w:line="276" w:lineRule="auto"/>
        <w:jc w:val="both"/>
      </w:pPr>
      <w:r>
        <w:t xml:space="preserve">The record establishes that the transition was preceded by a systematic stripping of Ms. Lord’s authority. On March 13, 2025—six weeks before the transition—HR Director Cameron Aldridge issued a written memo reaffirming Ms. Lord’s supervisory authority over Haley Cape and Alex </w:t>
      </w:r>
      <w:r>
        <w:lastRenderedPageBreak/>
        <w:t>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5A608EB6" w14:textId="1F9C10B2" w:rsidR="00D504EE" w:rsidRPr="00D504EE" w:rsidRDefault="00D504EE" w:rsidP="00D504EE">
      <w:pPr>
        <w:spacing w:after="160" w:line="276" w:lineRule="auto"/>
        <w:jc w:val="both"/>
      </w:pPr>
      <w:r w:rsidRPr="00D504EE">
        <w:t>Annette Wrenn was hired as an operations assistant and began work on or about February 14, 2025. It has since been revealed that Ms. Wrenn was engaged in an extramarital relationship with then</w:t>
      </w:r>
      <w:r w:rsidRPr="00D504EE">
        <w:noBreakHyphen/>
        <w:t xml:space="preserve">CEO Michael Mumma. Christine Brodsky, Chief Operating Officer, confided to me that she had been “told” to hire Ms. Wrenn, rather than independently selecting her based on merit. Ms. Wrenn quickly became a close associate of </w:t>
      </w:r>
      <w:r>
        <w:t xml:space="preserve">another </w:t>
      </w:r>
      <w:r w:rsidRPr="00D504EE">
        <w:t xml:space="preserve">substantially younger employee Hayley Cape. Mr. Mumma provided Ms. Cape with a discounted apartment in the corporate apartment building and then requested the keys from Ms. Cape so that he could use that apartment to meet privately with Ms. Wrenn. </w:t>
      </w:r>
      <w:proofErr w:type="spellStart"/>
      <w:r>
        <w:t>Ms</w:t>
      </w:r>
      <w:proofErr w:type="spellEnd"/>
      <w:r>
        <w:t xml:space="preserve"> Wrenn was given marketing duties such as assisting with social media and managing the </w:t>
      </w:r>
      <w:proofErr w:type="spellStart"/>
      <w:r>
        <w:t>Blackstream</w:t>
      </w:r>
      <w:proofErr w:type="spellEnd"/>
      <w:r>
        <w:t xml:space="preserve"> Real Estate Academy website (among other</w:t>
      </w:r>
      <w:r w:rsidR="00225E53">
        <w:t xml:space="preserve"> tasks</w:t>
      </w:r>
      <w:r>
        <w:t xml:space="preserve">). </w:t>
      </w:r>
      <w:r w:rsidRPr="00D504EE">
        <w:t xml:space="preserve">When </w:t>
      </w:r>
      <w:r>
        <w:t xml:space="preserve">agents and other staff began to complain about the behavior of Mumma and Wrenn to Ford Elliott, CEO of Contender and founder of </w:t>
      </w:r>
      <w:proofErr w:type="spellStart"/>
      <w:r>
        <w:t>Blackstream</w:t>
      </w:r>
      <w:proofErr w:type="spellEnd"/>
      <w:r>
        <w:t>,</w:t>
      </w:r>
      <w:r w:rsidRPr="00D504EE">
        <w:t xml:space="preserve"> the Company decided that Ms. Wrenn would be terminated in </w:t>
      </w:r>
      <w:r>
        <w:t xml:space="preserve">the </w:t>
      </w:r>
      <w:r w:rsidRPr="00D504EE">
        <w:t xml:space="preserve">Summer </w:t>
      </w:r>
      <w:r>
        <w:t xml:space="preserve">of </w:t>
      </w:r>
      <w:r w:rsidRPr="00D504EE">
        <w:t>2025 with a substantial severance package</w:t>
      </w:r>
      <w:r>
        <w:t xml:space="preserve"> that is rumored to be over one year’s salary.</w:t>
      </w:r>
      <w:r w:rsidRPr="00D504EE">
        <w:t>​</w:t>
      </w:r>
    </w:p>
    <w:p w14:paraId="454FB342" w14:textId="3239EBD8" w:rsidR="00D504EE" w:rsidRPr="00D504EE" w:rsidRDefault="00D504EE" w:rsidP="00D504EE">
      <w:pPr>
        <w:spacing w:after="160" w:line="276" w:lineRule="auto"/>
        <w:jc w:val="both"/>
        <w:rPr>
          <w:b/>
          <w:bCs/>
        </w:rPr>
      </w:pPr>
      <w:r w:rsidRPr="00D504EE">
        <w:rPr>
          <w:b/>
          <w:bCs/>
        </w:rPr>
        <w:t xml:space="preserve">Critically, </w:t>
      </w:r>
      <w:r>
        <w:rPr>
          <w:b/>
          <w:bCs/>
        </w:rPr>
        <w:t xml:space="preserve">Lord learned that </w:t>
      </w:r>
      <w:proofErr w:type="gramStart"/>
      <w:r>
        <w:rPr>
          <w:b/>
          <w:bCs/>
        </w:rPr>
        <w:t>i</w:t>
      </w:r>
      <w:r w:rsidRPr="00D504EE">
        <w:rPr>
          <w:b/>
          <w:bCs/>
        </w:rPr>
        <w:t>n order to</w:t>
      </w:r>
      <w:proofErr w:type="gramEnd"/>
      <w:r w:rsidRPr="00D504EE">
        <w:rPr>
          <w:b/>
          <w:bCs/>
        </w:rPr>
        <w:t xml:space="preserve"> justify increased compensation and expanded responsibilities for Ms. Wrenn and Ms. Cape, Mr. Mumma needed to remove </w:t>
      </w:r>
      <w:r>
        <w:rPr>
          <w:b/>
          <w:bCs/>
        </w:rPr>
        <w:t>Ms. Lord</w:t>
      </w:r>
      <w:r w:rsidRPr="00D504EE">
        <w:rPr>
          <w:b/>
          <w:bCs/>
        </w:rPr>
        <w:t xml:space="preserve">, an older </w:t>
      </w:r>
      <w:r w:rsidRPr="00D504EE">
        <w:rPr>
          <w:b/>
          <w:bCs/>
        </w:rPr>
        <w:t>m</w:t>
      </w:r>
      <w:r w:rsidRPr="00D504EE">
        <w:rPr>
          <w:b/>
          <w:bCs/>
        </w:rPr>
        <w:t xml:space="preserve">arketing </w:t>
      </w:r>
      <w:r w:rsidRPr="00D504EE">
        <w:rPr>
          <w:b/>
          <w:bCs/>
        </w:rPr>
        <w:t>d</w:t>
      </w:r>
      <w:r w:rsidRPr="00D504EE">
        <w:rPr>
          <w:b/>
          <w:bCs/>
        </w:rPr>
        <w:t xml:space="preserve">irector, from </w:t>
      </w:r>
      <w:proofErr w:type="spellStart"/>
      <w:r w:rsidRPr="00D504EE">
        <w:rPr>
          <w:b/>
          <w:bCs/>
        </w:rPr>
        <w:t>Blackstream’s</w:t>
      </w:r>
      <w:proofErr w:type="spellEnd"/>
      <w:r w:rsidRPr="00D504EE">
        <w:rPr>
          <w:b/>
          <w:bCs/>
        </w:rPr>
        <w:t xml:space="preserve"> payroll and shift </w:t>
      </w:r>
      <w:r>
        <w:rPr>
          <w:b/>
          <w:bCs/>
        </w:rPr>
        <w:t>her</w:t>
      </w:r>
      <w:r w:rsidRPr="00D504EE">
        <w:rPr>
          <w:b/>
          <w:bCs/>
        </w:rPr>
        <w:t xml:space="preserve"> duties away from </w:t>
      </w:r>
      <w:proofErr w:type="spellStart"/>
      <w:r w:rsidRPr="00D504EE">
        <w:rPr>
          <w:b/>
          <w:bCs/>
        </w:rPr>
        <w:t>Blackstream</w:t>
      </w:r>
      <w:proofErr w:type="spellEnd"/>
      <w:r w:rsidRPr="00D504EE">
        <w:rPr>
          <w:b/>
          <w:bCs/>
        </w:rPr>
        <w:t xml:space="preserve"> </w:t>
      </w:r>
      <w:r w:rsidRPr="00D504EE">
        <w:rPr>
          <w:b/>
          <w:bCs/>
        </w:rPr>
        <w:t xml:space="preserve">and Nash Homes </w:t>
      </w:r>
      <w:r w:rsidRPr="00D504EE">
        <w:rPr>
          <w:b/>
          <w:bCs/>
        </w:rPr>
        <w:t xml:space="preserve">to Contender. This provides a specific, concrete motive for diverting </w:t>
      </w:r>
      <w:r>
        <w:rPr>
          <w:b/>
          <w:bCs/>
        </w:rPr>
        <w:t>her</w:t>
      </w:r>
      <w:r w:rsidRPr="00D504EE">
        <w:rPr>
          <w:b/>
          <w:bCs/>
        </w:rPr>
        <w:t xml:space="preserve"> core responsibilities and opportunities to substantially younger, favored employees and is directly tied to the adverse actions and age</w:t>
      </w:r>
      <w:r w:rsidRPr="00D504EE">
        <w:rPr>
          <w:b/>
          <w:bCs/>
        </w:rPr>
        <w:noBreakHyphen/>
        <w:t xml:space="preserve">based discrimination </w:t>
      </w:r>
      <w:r>
        <w:rPr>
          <w:b/>
          <w:bCs/>
        </w:rPr>
        <w:t>she</w:t>
      </w:r>
      <w:r w:rsidRPr="00D504EE">
        <w:rPr>
          <w:b/>
          <w:bCs/>
        </w:rPr>
        <w:t xml:space="preserve"> allege</w:t>
      </w:r>
      <w:r>
        <w:rPr>
          <w:b/>
          <w:bCs/>
        </w:rPr>
        <w:t>s</w:t>
      </w:r>
      <w:r w:rsidRPr="00D504EE">
        <w:rPr>
          <w:b/>
          <w:bCs/>
        </w:rPr>
        <w:t>.</w:t>
      </w:r>
    </w:p>
    <w:p w14:paraId="0D1A818E" w14:textId="77777777" w:rsidR="001554EE" w:rsidRDefault="00000000">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31 submissions between May and November 2025—is not the same role. It is a constructive demotion.</w:t>
      </w:r>
    </w:p>
    <w:p w14:paraId="4CE8E476" w14:textId="6F86F23D" w:rsidR="001554EE" w:rsidRDefault="00000000">
      <w:pPr>
        <w:spacing w:after="160" w:line="276" w:lineRule="auto"/>
        <w:jc w:val="both"/>
      </w:pPr>
      <w:r>
        <w:t xml:space="preserve">Respondent’s assertion that her role at </w:t>
      </w:r>
      <w:proofErr w:type="spellStart"/>
      <w:r>
        <w:t>Blackstream</w:t>
      </w:r>
      <w:proofErr w:type="spellEnd"/>
      <w:r>
        <w:t xml:space="preserve"> “was not assumed by a younger employee” is a deliberate misdirection. The record directly contradicts this claim. </w:t>
      </w:r>
      <w:r>
        <w:rPr>
          <w:b/>
          <w:bCs/>
        </w:rPr>
        <w:t xml:space="preserve">In a September 5, </w:t>
      </w:r>
      <w:proofErr w:type="gramStart"/>
      <w:r>
        <w:rPr>
          <w:b/>
          <w:bCs/>
        </w:rPr>
        <w:t>2025</w:t>
      </w:r>
      <w:proofErr w:type="gramEnd"/>
      <w:r>
        <w:rPr>
          <w:b/>
          <w:bCs/>
        </w:rPr>
        <w:t xml:space="preserve"> email from Christine Brodsky to Daniel Burke of Guided Luxury, Haley Cape was explicitly identified and introduced as Director of Marketing</w:t>
      </w:r>
      <w:r w:rsidR="00225E53">
        <w:rPr>
          <w:b/>
          <w:bCs/>
        </w:rPr>
        <w:t xml:space="preserve"> showing intent to replace Lord with Cape</w:t>
      </w:r>
      <w:r>
        <w:rPr>
          <w:b/>
          <w:bCs/>
        </w:rPr>
        <w:t>.</w:t>
      </w:r>
      <w:r>
        <w:t xml:space="preserve"> Furthermore, on May 12, 2025—the same day Ms. Lord signed her acceptance of the transition to Contender—internal emails and the Company’s own website show that Ms. Cape was simultaneously promoted from “Experiences and Services Coordinator” to “Senior Graphic </w:t>
      </w:r>
      <w:r>
        <w:lastRenderedPageBreak/>
        <w:t>Designer and Brand Manager,” and Ms. Wrenn was promoted from “Support and Operations Manager” to “Director of Operations.” The timing is not coincidental: on the very day Ms. Lord was moved out, younger employees were elevated into her substantive functions.</w:t>
      </w:r>
    </w:p>
    <w:p w14:paraId="1D916A15" w14:textId="77777777" w:rsidR="001554EE" w:rsidRDefault="00000000">
      <w:pPr>
        <w:spacing w:after="160" w:line="276" w:lineRule="auto"/>
        <w:jc w:val="both"/>
      </w:pPr>
      <w:r>
        <w:t xml:space="preserve">The relevant comparators are not who filled Ms. Lord’s exact title at </w:t>
      </w:r>
      <w:proofErr w:type="spellStart"/>
      <w:r>
        <w:t>Blackstream</w:t>
      </w:r>
      <w:proofErr w:type="spellEnd"/>
      <w:r>
        <w:t>. The relevant comparators are Ms. Cape (age 28) and Ms. Wrenn (approximately age 30), who received the substantive marketing responsibilities, strategic project authority, and management visibility that were stripped from Ms. Lord.</w:t>
      </w:r>
    </w:p>
    <w:p w14:paraId="6E9F7660" w14:textId="77777777" w:rsidR="001554EE" w:rsidRDefault="00000000">
      <w:pPr>
        <w:spacing w:before="200" w:after="120" w:line="276" w:lineRule="auto"/>
      </w:pPr>
      <w:r>
        <w:rPr>
          <w:b/>
          <w:bCs/>
        </w:rPr>
        <w:t>C. Respondent’s Characterization of the Offer Letter Dispute Reflects Poorly on the Company</w:t>
      </w:r>
    </w:p>
    <w:p w14:paraId="768D3D67" w14:textId="77777777" w:rsidR="001554EE" w:rsidRDefault="00000000">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 That the Company required a 74-year-old marketing professional to sign a non-compete at all raises its own questions about the legitimacy of the transition.</w:t>
      </w:r>
    </w:p>
    <w:p w14:paraId="23799447" w14:textId="77777777" w:rsidR="001554EE" w:rsidRDefault="001554EE"/>
    <w:p w14:paraId="0A3A2503" w14:textId="77777777" w:rsidR="001554EE" w:rsidRDefault="00000000">
      <w:pPr>
        <w:spacing w:before="280" w:after="160" w:line="276" w:lineRule="auto"/>
      </w:pPr>
      <w:r>
        <w:rPr>
          <w:b/>
          <w:bCs/>
          <w:u w:val="single"/>
        </w:rPr>
        <w:t>III. REBUTTAL TO RESPONDENT’S “NO ADVERSE EMPLOYMENT ACTION” DEFENSE</w:t>
      </w:r>
    </w:p>
    <w:p w14:paraId="73AAA6EC" w14:textId="77777777" w:rsidR="001554EE" w:rsidRDefault="00000000">
      <w:pPr>
        <w:spacing w:before="200" w:after="120" w:line="276" w:lineRule="auto"/>
      </w:pPr>
      <w:r>
        <w:rPr>
          <w:b/>
          <w:bCs/>
        </w:rPr>
        <w:t>A. The Verbal Warning Was Retaliatory in Nature, Timing, and Application</w:t>
      </w:r>
    </w:p>
    <w:p w14:paraId="74D2ACD5" w14:textId="77777777" w:rsidR="001554EE" w:rsidRDefault="00000000">
      <w:pPr>
        <w:spacing w:after="160" w:line="276" w:lineRule="auto"/>
        <w:jc w:val="both"/>
      </w:pPr>
      <w:r>
        <w:t xml:space="preserve">Respondent characterizes the December 8, </w:t>
      </w:r>
      <w:proofErr w:type="gramStart"/>
      <w:r>
        <w:t>2025</w:t>
      </w:r>
      <w:proofErr w:type="gramEnd"/>
      <w:r>
        <w:t xml:space="preserve"> verbal warning as a routine counseling with no employment impact. The timing, context, stated rationale, and asymmetric application of this discipline tell a very different story.</w:t>
      </w:r>
    </w:p>
    <w:p w14:paraId="513D6662" w14:textId="77777777" w:rsidR="001554EE" w:rsidRDefault="00000000">
      <w:pPr>
        <w:spacing w:after="160" w:line="276" w:lineRule="auto"/>
        <w:jc w:val="both"/>
      </w:pPr>
      <w:r>
        <w:t>Ms. Lord filed her internal discrimination complaint on November 14, 2025. The verbal warning was issued approximately three weeks later. Courts have consistently held that temporal proximity between protected activity and adverse action is evidence of retaliatory motive. Three weeks is well within the range courts have found sufficient to establish a causal link.</w:t>
      </w:r>
    </w:p>
    <w:p w14:paraId="3B8D92F2" w14:textId="5E38E0C8" w:rsidR="001554EE" w:rsidRDefault="00000000">
      <w:pPr>
        <w:spacing w:after="160" w:line="276" w:lineRule="auto"/>
        <w:jc w:val="both"/>
      </w:pPr>
      <w:r>
        <w:t>Respondent characterizes Ms. Lord’s statements about the Company’s finances as “entirely</w:t>
      </w:r>
      <w:r w:rsidR="00496BE6">
        <w:t xml:space="preserve"> </w:t>
      </w:r>
      <w:r>
        <w:t>false.” This is inaccurate. Ms. Lord was receiving serious, specific concerns about the Company’s financial condition directly from senior finance personnel, including Chief Accounting Officer Maxine Turner and CFO Peter Reinert himself, in the context of discussions about significant expenditures. For example, when a $54,000 holiday party estimate was presented against a $28,000 expectation, Reinert directed Ms. Lord to forward her concerns to CEO Ford Elliott. She did so and received no response. Shortly thereafter, Cameron Aldridge informed Ms. Lord that all corporate events were being moved to Human Resources—removing them from Marketing entirely. Her statements about financial concerns were not fabrications; they reflected the internal information she was receiving from the Company’s own senior leadership.</w:t>
      </w:r>
    </w:p>
    <w:p w14:paraId="414B237B" w14:textId="37B74E71" w:rsidR="001554EE" w:rsidRDefault="00000000">
      <w:pPr>
        <w:spacing w:after="160" w:line="276" w:lineRule="auto"/>
        <w:jc w:val="both"/>
      </w:pPr>
      <w:r>
        <w:lastRenderedPageBreak/>
        <w:t xml:space="preserve">Furthermore, what Respondent characterizes as Ms. Lord telling an employee to “start looking for work” </w:t>
      </w:r>
      <w:r w:rsidR="00225E53">
        <w:t xml:space="preserve">is untrue. Lord advised </w:t>
      </w:r>
      <w:r>
        <w:t>was</w:t>
      </w:r>
      <w:r w:rsidR="00225E53">
        <w:t xml:space="preserve"> this</w:t>
      </w:r>
      <w:r>
        <w:t xml:space="preserve"> younger colleague</w:t>
      </w:r>
      <w:r w:rsidR="00225E53">
        <w:t xml:space="preserve"> and former subordinate</w:t>
      </w:r>
      <w:r>
        <w:t>, Alex Weldon, to keep his professional portfolio and website current and be prepared in case conditions changed. This type of communication about job security and working conditions is consistent with protected concerted activity under federal labor law—not malicious rumor-spreading.</w:t>
      </w:r>
    </w:p>
    <w:p w14:paraId="7A9D1027" w14:textId="77777777" w:rsidR="001554EE" w:rsidRDefault="00000000">
      <w:pPr>
        <w:spacing w:after="160" w:line="276" w:lineRule="auto"/>
        <w:jc w:val="both"/>
      </w:pPr>
      <w:r>
        <w:t xml:space="preserve">Respondent’s own position statement acknowledges that rumors about the Company’s ability to make payroll were circulating inside the Company as early as February 2025—well before Ms. Lord’s alleged comments. Ms. Lord had, in fact, raised these financial concerns directly with Ford Elliott, Peter Reinert, and Cameron Aldridge at the April 25, </w:t>
      </w:r>
      <w:proofErr w:type="gramStart"/>
      <w:r>
        <w:t>2025</w:t>
      </w:r>
      <w:proofErr w:type="gramEnd"/>
      <w:r>
        <w:t xml:space="preserve"> meeting—the same meeting in which Reinert made his age-based remark. Disciplining Ms. Lord for repeating concerns she had raised internally for months, and doing so three weeks after she filed a discrimination complaint, is textbook pretext.</w:t>
      </w:r>
    </w:p>
    <w:p w14:paraId="7681ACA3" w14:textId="77777777" w:rsidR="001554EE" w:rsidRDefault="00000000">
      <w:pPr>
        <w:spacing w:after="160" w:line="276" w:lineRule="auto"/>
        <w:jc w:val="both"/>
      </w:pPr>
      <w:r>
        <w:t xml:space="preserve">The Company’s treatment of Stuart Owen further confirms that pretext. Respondent acknowledges Owen made similar comments about the Company’s financial status. Owen is 34 years old. He was not disciplined until after Ms. Lord reported him, and only after independent confirmation of his statements. The asymmetry in the speed, severity, and evidentiary threshold applied to discipline Ms. Lord versus Mr. Owen is direct evidence of disparate treatment </w:t>
      </w:r>
      <w:proofErr w:type="gramStart"/>
      <w:r>
        <w:t>on the basis of</w:t>
      </w:r>
      <w:proofErr w:type="gramEnd"/>
      <w:r>
        <w:t xml:space="preserve"> age.</w:t>
      </w:r>
    </w:p>
    <w:p w14:paraId="67C8EECF" w14:textId="77777777" w:rsidR="001554EE" w:rsidRDefault="00000000">
      <w:pPr>
        <w:spacing w:before="200" w:after="120" w:line="276" w:lineRule="auto"/>
      </w:pPr>
      <w:r>
        <w:rPr>
          <w:b/>
          <w:bCs/>
        </w:rPr>
        <w:t>B. The “Excellent Performance Review” Argument Backfires</w:t>
      </w:r>
    </w:p>
    <w:p w14:paraId="227E764F" w14:textId="77777777" w:rsidR="001554EE" w:rsidRDefault="00000000">
      <w:pPr>
        <w:spacing w:after="160" w:line="276" w:lineRule="auto"/>
        <w:jc w:val="both"/>
      </w:pPr>
      <w:r>
        <w:t>Respondent makes much of the fact that Thomas Phillips gave Ms. Lord an “excellent” performance rating and recommended a 5% raise in December 2025. This argument, however, undermines rather than supports Respondent’s defense.</w:t>
      </w:r>
    </w:p>
    <w:p w14:paraId="688D78E2" w14:textId="77777777" w:rsidR="001554EE" w:rsidRDefault="00000000">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16635B2F" w14:textId="77777777" w:rsidR="001554EE" w:rsidRDefault="00000000">
      <w:pPr>
        <w:spacing w:after="160" w:line="276" w:lineRule="auto"/>
        <w:jc w:val="both"/>
      </w:pPr>
      <w:r>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7CADCED2" w14:textId="77777777" w:rsidR="001554EE" w:rsidRDefault="00000000">
      <w:pPr>
        <w:spacing w:before="200" w:after="120" w:line="276" w:lineRule="auto"/>
      </w:pPr>
      <w:r>
        <w:rPr>
          <w:b/>
          <w:bCs/>
        </w:rPr>
        <w:t>C. The Broader Pattern of Adverse Actions Respondent Fails to Address</w:t>
      </w:r>
    </w:p>
    <w:p w14:paraId="32E449B2" w14:textId="77777777" w:rsidR="001554EE" w:rsidRDefault="00000000">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7AEC11CB" w14:textId="77777777" w:rsidR="001554EE" w:rsidRDefault="00000000">
      <w:pPr>
        <w:pStyle w:val="ListParagraph"/>
        <w:numPr>
          <w:ilvl w:val="0"/>
          <w:numId w:val="2"/>
        </w:numPr>
        <w:spacing w:after="120" w:line="276" w:lineRule="auto"/>
      </w:pPr>
      <w:r>
        <w:lastRenderedPageBreak/>
        <w:t>Revocation of supervisory authority on March 19, 2025—six days after HR reaffirmed it in writing—following Ms. Lord’s report of Ms. Cape’s insubordination and firearm possession.</w:t>
      </w:r>
    </w:p>
    <w:p w14:paraId="230E1DB7" w14:textId="028E3AEE" w:rsidR="00225E53" w:rsidRDefault="00225E53">
      <w:pPr>
        <w:pStyle w:val="ListParagraph"/>
        <w:numPr>
          <w:ilvl w:val="0"/>
          <w:numId w:val="2"/>
        </w:numPr>
        <w:spacing w:after="120" w:line="276" w:lineRule="auto"/>
      </w:pPr>
      <w:r>
        <w:t xml:space="preserve">Reassignment of Lord’s office space at </w:t>
      </w:r>
      <w:proofErr w:type="spellStart"/>
      <w:r>
        <w:t>Blackstream</w:t>
      </w:r>
      <w:proofErr w:type="spellEnd"/>
      <w:r>
        <w:t xml:space="preserve"> without any notice or explanation (see photo)</w:t>
      </w:r>
    </w:p>
    <w:p w14:paraId="4D739AAC" w14:textId="0AA265A0" w:rsidR="001554EE" w:rsidRDefault="00000000">
      <w:pPr>
        <w:pStyle w:val="ListParagraph"/>
        <w:numPr>
          <w:ilvl w:val="0"/>
          <w:numId w:val="2"/>
        </w:numPr>
        <w:spacing w:after="120" w:line="276" w:lineRule="auto"/>
      </w:pPr>
      <w:r>
        <w:t>Denial of office space at the 5 Century Drive location in May 2025, forcing Ms. Lord to locate her own workspace in a cubicle at another location.</w:t>
      </w:r>
    </w:p>
    <w:p w14:paraId="670190F9" w14:textId="77777777" w:rsidR="001554EE" w:rsidRDefault="00000000">
      <w:pPr>
        <w:pStyle w:val="ListParagraph"/>
        <w:numPr>
          <w:ilvl w:val="0"/>
          <w:numId w:val="2"/>
        </w:numPr>
        <w:spacing w:after="120" w:line="276" w:lineRule="auto"/>
      </w:pPr>
      <w:r>
        <w:t>Cancellation of four or more scheduled CEO meetings between June and August 2025.</w:t>
      </w:r>
    </w:p>
    <w:p w14:paraId="69114502" w14:textId="77777777" w:rsidR="001554EE" w:rsidRDefault="00000000">
      <w:pPr>
        <w:pStyle w:val="ListParagraph"/>
        <w:numPr>
          <w:ilvl w:val="0"/>
          <w:numId w:val="2"/>
        </w:numPr>
        <w:spacing w:after="120" w:line="276" w:lineRule="auto"/>
      </w:pPr>
      <w:r>
        <w:t xml:space="preserve">Withholding of budget authority despite repeated requests, leaving Ms. Lord unable to execute the responsibilities of her </w:t>
      </w:r>
      <w:proofErr w:type="gramStart"/>
      <w:r>
        <w:t>Director</w:t>
      </w:r>
      <w:proofErr w:type="gramEnd"/>
      <w:r>
        <w:t xml:space="preserve"> title.</w:t>
      </w:r>
    </w:p>
    <w:p w14:paraId="56914B92" w14:textId="77777777" w:rsidR="001554EE" w:rsidRDefault="00000000">
      <w:pPr>
        <w:pStyle w:val="ListParagraph"/>
        <w:numPr>
          <w:ilvl w:val="0"/>
          <w:numId w:val="2"/>
        </w:numPr>
        <w:spacing w:after="120" w:line="276" w:lineRule="auto"/>
      </w:pPr>
      <w:r>
        <w:t>Removal of the Holiday Gala and team-building events from Marketing to HR in August 2025.</w:t>
      </w:r>
    </w:p>
    <w:p w14:paraId="1F0D04D2" w14:textId="251F94CD" w:rsidR="001554EE" w:rsidRDefault="00000000">
      <w:pPr>
        <w:pStyle w:val="ListParagraph"/>
        <w:numPr>
          <w:ilvl w:val="0"/>
          <w:numId w:val="2"/>
        </w:numPr>
        <w:spacing w:after="120" w:line="276" w:lineRule="auto"/>
      </w:pPr>
      <w:r>
        <w:t xml:space="preserve">Lockout from her </w:t>
      </w:r>
      <w:proofErr w:type="spellStart"/>
      <w:r>
        <w:t>Blackstream</w:t>
      </w:r>
      <w:proofErr w:type="spellEnd"/>
      <w:r>
        <w:t xml:space="preserve"> email account on September 2, 2025—containing work communications and documentation material to this claim—after IT administrator Stuart Owen was allegedly instructed by Christine Brodsky and/or Michael Mumma not to reset her password. This raises serious evidence spoliation concerns.</w:t>
      </w:r>
      <w:r w:rsidR="00225E53">
        <w:t xml:space="preserve"> While limited access was eventually granted, Lord has no access to prior texts or Teams messages.</w:t>
      </w:r>
    </w:p>
    <w:p w14:paraId="517EAB87" w14:textId="77777777" w:rsidR="001554EE" w:rsidRDefault="00000000">
      <w:pPr>
        <w:pStyle w:val="ListParagraph"/>
        <w:numPr>
          <w:ilvl w:val="0"/>
          <w:numId w:val="2"/>
        </w:numPr>
        <w:spacing w:after="120" w:line="276" w:lineRule="auto"/>
      </w:pPr>
      <w:r>
        <w:t>28 out of 31 work submissions receiving no response or acknowledgment between May and November 2025—a documented 90.3% non-response rate.</w:t>
      </w:r>
    </w:p>
    <w:p w14:paraId="03873F93" w14:textId="77777777" w:rsidR="001554EE" w:rsidRDefault="00000000">
      <w:pPr>
        <w:spacing w:after="160" w:line="276" w:lineRule="auto"/>
        <w:jc w:val="both"/>
      </w:pPr>
      <w:r>
        <w:t>Each of these actions, standing alone, might be characterized as a minor workplace frustration. Taken together, over a sustained period and directed consistently at the Company’s oldest employee, they constitute a pattern of systematic marginalization that is actionable under the ADEA.</w:t>
      </w:r>
    </w:p>
    <w:p w14:paraId="769EA298" w14:textId="77777777" w:rsidR="001554EE" w:rsidRDefault="001554EE"/>
    <w:p w14:paraId="3ED0AA43" w14:textId="77777777" w:rsidR="001554EE" w:rsidRDefault="00000000">
      <w:pPr>
        <w:spacing w:before="280" w:after="160" w:line="276" w:lineRule="auto"/>
      </w:pPr>
      <w:r>
        <w:rPr>
          <w:b/>
          <w:bCs/>
          <w:u w:val="single"/>
        </w:rPr>
        <w:t>IV. REBUTTAL TO RESPONDENT’S DEFENSE OF THE REINERT REMARK</w:t>
      </w:r>
    </w:p>
    <w:p w14:paraId="6620AEB8" w14:textId="77777777" w:rsidR="001554EE" w:rsidRDefault="00000000">
      <w:pPr>
        <w:spacing w:before="200" w:after="120" w:line="276" w:lineRule="auto"/>
      </w:pPr>
      <w:r>
        <w:rPr>
          <w:b/>
          <w:bCs/>
        </w:rPr>
        <w:t>A. “No Recollection” Is Not a Denial</w:t>
      </w:r>
    </w:p>
    <w:p w14:paraId="0EDBB5A5" w14:textId="77777777" w:rsidR="001554EE" w:rsidRDefault="00000000">
      <w:pPr>
        <w:spacing w:after="160" w:line="276" w:lineRule="auto"/>
        <w:jc w:val="both"/>
      </w:pPr>
      <w:r>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absence of a denial. Aldridge does not say the remark was not made; he says he does not remember it.</w:t>
      </w:r>
    </w:p>
    <w:p w14:paraId="1DD42487" w14:textId="5E99B21B" w:rsidR="001554EE" w:rsidRDefault="00000000">
      <w:pPr>
        <w:spacing w:after="160" w:line="276" w:lineRule="auto"/>
        <w:jc w:val="both"/>
      </w:pPr>
      <w:r>
        <w:t xml:space="preserve">By contrast, Ms. Lord’s account is specific: she identifies the exact words (“At your age, why do you care about </w:t>
      </w:r>
      <w:r w:rsidR="00496BE6">
        <w:t xml:space="preserve">your </w:t>
      </w:r>
      <w:r>
        <w:t xml:space="preserve">reputation?”), the exact meeting, the exact date, and all attendees by name. </w:t>
      </w:r>
      <w:r>
        <w:lastRenderedPageBreak/>
        <w:t>The Commission should weigh the specificity of Ms. Lord’s contemporaneous account against the non-confirmatory non-recollections of the individuals accused.</w:t>
      </w:r>
    </w:p>
    <w:p w14:paraId="6E8A219D" w14:textId="77777777" w:rsidR="001554EE" w:rsidRDefault="00000000">
      <w:pPr>
        <w:spacing w:before="200" w:after="120" w:line="276" w:lineRule="auto"/>
      </w:pPr>
      <w:r>
        <w:rPr>
          <w:b/>
          <w:bCs/>
        </w:rPr>
        <w:t>B. This Was Not a “Stray Remark” Under Applicable Legal Standards</w:t>
      </w:r>
    </w:p>
    <w:p w14:paraId="44386451" w14:textId="77777777" w:rsidR="001554EE" w:rsidRDefault="00000000">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temporally remote from the adverse action. Neither condition is satisfied here.</w:t>
      </w:r>
    </w:p>
    <w:p w14:paraId="426D6100" w14:textId="77777777" w:rsidR="001554EE" w:rsidRDefault="00000000">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Ms. Lord was informed she would be moved to Contender full-time with no budget or staff. The remark was made in direct response to Ms. Lord raising concerns about the professional harm being done to her reputation. A remark made by a senior executive, in a decision-making meeting, in direct response to an employee’s expression of concern, on the day adverse action was taken, is direct evidence of discriminatory animus—not a stray remark.</w:t>
      </w:r>
    </w:p>
    <w:p w14:paraId="792F1437" w14:textId="77777777" w:rsidR="001554EE" w:rsidRDefault="00000000">
      <w:pPr>
        <w:spacing w:before="200" w:after="120" w:line="276" w:lineRule="auto"/>
      </w:pPr>
      <w:r>
        <w:rPr>
          <w:b/>
          <w:bCs/>
        </w:rPr>
        <w:t>C. The “Same Protected Class” Argument Has No Legal Validity</w:t>
      </w:r>
    </w:p>
    <w:p w14:paraId="1E276C4E" w14:textId="77777777" w:rsidR="001554EE" w:rsidRDefault="00000000">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6972BC95" w14:textId="77777777" w:rsidR="001554EE" w:rsidRDefault="00000000">
      <w:pPr>
        <w:spacing w:after="160" w:line="276" w:lineRule="auto"/>
        <w:jc w:val="both"/>
      </w:pPr>
      <w:r>
        <w:t>Indeed, the Supreme Court held in General Dynamics Land Systems, Inc. v. Cline, 540 U.S. 581 (2004), that the ADEA is specifically designed to protect older workers from discrimination even at the hands of employees who are themselves within the protected class.</w:t>
      </w:r>
    </w:p>
    <w:p w14:paraId="71B98E92" w14:textId="77777777" w:rsidR="001554EE" w:rsidRDefault="00000000">
      <w:pPr>
        <w:spacing w:after="160" w:line="276" w:lineRule="auto"/>
        <w:jc w:val="both"/>
      </w:pPr>
      <w:r>
        <w:t xml:space="preserve">Moreover, Mr. Reinert is not simply another older employee in the protected class. He is also the </w:t>
      </w:r>
      <w:r>
        <w:rPr>
          <w:b/>
          <w:bCs/>
        </w:rPr>
        <w:t>uncle of CEO and founder Ford Elliott</w:t>
      </w:r>
      <w:r>
        <w:t>. This close family relationship gives Mr. Reinert a degree of insulation from accountability and informal influence over employment decisions that other employees—including Ms. Lord—do not enjoy. The Commission should consider whether Mr. Reinert’s family relationship with the CEO affected the candor of the Company’s internal investigation into his remark, and whether it contributed to the absence of meaningful corrective action following Ms. Lord’s complaint.</w:t>
      </w:r>
    </w:p>
    <w:p w14:paraId="769F6D33" w14:textId="77777777" w:rsidR="001554EE" w:rsidRDefault="001554EE"/>
    <w:p w14:paraId="5D2D2899" w14:textId="77777777" w:rsidR="001554EE" w:rsidRDefault="00000000">
      <w:pPr>
        <w:spacing w:before="280" w:after="160" w:line="276" w:lineRule="auto"/>
      </w:pPr>
      <w:r>
        <w:rPr>
          <w:b/>
          <w:bCs/>
          <w:u w:val="single"/>
        </w:rPr>
        <w:t>V. REBUTTAL TO RESPONDENT’S RETALIATION DEFENSE</w:t>
      </w:r>
    </w:p>
    <w:p w14:paraId="287B6527" w14:textId="77777777" w:rsidR="001554EE" w:rsidRDefault="00000000">
      <w:pPr>
        <w:spacing w:after="160" w:line="276" w:lineRule="auto"/>
        <w:jc w:val="both"/>
      </w:pPr>
      <w:r>
        <w:lastRenderedPageBreak/>
        <w:t>Respondent’s retaliation defense rests on two pillars: (1) the internal investigation found no substantiation, and (2) the same supervisor who received the complaint gave Ms. Lord an excellent review. Neither pillar holds.</w:t>
      </w:r>
    </w:p>
    <w:p w14:paraId="20E44E67" w14:textId="0686DE81" w:rsidR="001554EE" w:rsidRPr="00225E53" w:rsidRDefault="00000000">
      <w:pPr>
        <w:spacing w:after="160" w:line="276" w:lineRule="auto"/>
        <w:jc w:val="both"/>
        <w:rPr>
          <w:b/>
          <w:bCs/>
        </w:rPr>
      </w:pPr>
      <w:r>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relies exclusively on the denials of accused parties to reach a finding of no substantiation is not a good-faith investigation—it is a formality. The Commission should not defer to such an investigation.</w:t>
      </w:r>
      <w:r w:rsidR="00225E53">
        <w:t xml:space="preserve"> </w:t>
      </w:r>
      <w:r w:rsidR="00225E53">
        <w:rPr>
          <w:b/>
          <w:bCs/>
        </w:rPr>
        <w:t>It is also important to note that Aldridge, Director of HR, was himself the target of a claim by Annette Wrenn of sexual harassment during the time of his investigation into Lord’s claims.</w:t>
      </w:r>
    </w:p>
    <w:p w14:paraId="71A098F6" w14:textId="77777777" w:rsidR="001554EE" w:rsidRDefault="00000000">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 three weeks after her discrimination complaint—was retaliatory in nature and timing.</w:t>
      </w:r>
    </w:p>
    <w:p w14:paraId="39190383" w14:textId="77777777" w:rsidR="001554EE" w:rsidRDefault="00000000">
      <w:pPr>
        <w:spacing w:after="160" w:line="276" w:lineRule="auto"/>
        <w:jc w:val="both"/>
      </w:pPr>
      <w:r>
        <w:t>Third, the retaliation claim extends well beyond the verbal warning. The sustained pattern of exclusion, non-response, denial of resources, and authority stripping that continued after Ms. Lord’s November 14 complaint constitutes ongoing retaliatory conduct regardless of the December performance review.</w:t>
      </w:r>
    </w:p>
    <w:p w14:paraId="0FA892E2" w14:textId="77777777" w:rsidR="001554EE" w:rsidRDefault="001554EE"/>
    <w:p w14:paraId="511796DB" w14:textId="77777777" w:rsidR="001554EE" w:rsidRDefault="00000000">
      <w:pPr>
        <w:spacing w:before="280" w:after="160" w:line="276" w:lineRule="auto"/>
      </w:pPr>
      <w:r>
        <w:rPr>
          <w:b/>
          <w:bCs/>
          <w:u w:val="single"/>
        </w:rPr>
        <w:t>VI. REBUTTAL TO RESPONDENT’S CONSTRUCTIVE DISCHARGE DEFENSE</w:t>
      </w:r>
    </w:p>
    <w:p w14:paraId="11033697" w14:textId="77777777" w:rsidR="001554EE" w:rsidRDefault="00000000">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4351E8F7" w14:textId="77777777" w:rsidR="001554EE" w:rsidRDefault="00000000">
      <w:pPr>
        <w:spacing w:after="160" w:line="276" w:lineRule="auto"/>
        <w:jc w:val="both"/>
      </w:pPr>
      <w:r>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w:t>
      </w:r>
    </w:p>
    <w:p w14:paraId="386328B8" w14:textId="77777777" w:rsidR="001554EE" w:rsidRDefault="00000000">
      <w:pPr>
        <w:spacing w:after="160" w:line="276" w:lineRule="auto"/>
        <w:jc w:val="both"/>
      </w:pPr>
      <w:r>
        <w:t>The conditions documented here—no staff, no budget, no office, no response to work product over a period of months, exclusion from all meaningful strategic functions, a formal disciplinary action three weeks after filing a discrimination complaint, and complete functional isolation from the Company’s core business—readily satisfy that standard. That Ms. Lord continued to attempt to perform her job despite these conditions is evidence of her professionalism and commitment, not evidence that the conditions were tolerable.</w:t>
      </w:r>
    </w:p>
    <w:p w14:paraId="4F1DDE47" w14:textId="77777777" w:rsidR="001554EE" w:rsidRDefault="001554EE"/>
    <w:p w14:paraId="47E535EA" w14:textId="77777777" w:rsidR="001554EE" w:rsidRDefault="00000000">
      <w:pPr>
        <w:spacing w:before="280" w:after="160" w:line="276" w:lineRule="auto"/>
      </w:pPr>
      <w:r>
        <w:rPr>
          <w:b/>
          <w:bCs/>
          <w:u w:val="single"/>
        </w:rPr>
        <w:lastRenderedPageBreak/>
        <w:t>VII. CRITICAL ISSUES RESPONDENT’S POSITION STATEMENT FAILS TO ADDRESS</w:t>
      </w:r>
    </w:p>
    <w:p w14:paraId="3F522FF8" w14:textId="77777777" w:rsidR="001554EE" w:rsidRDefault="00000000">
      <w:pPr>
        <w:spacing w:after="160" w:line="276" w:lineRule="auto"/>
        <w:jc w:val="both"/>
      </w:pPr>
      <w:r>
        <w:t>The Commission should note that Respondent’s position statement is conspicuously silent on several significant matters:</w:t>
      </w:r>
    </w:p>
    <w:p w14:paraId="4F070E64" w14:textId="77777777" w:rsidR="001554EE" w:rsidRDefault="00000000">
      <w:pPr>
        <w:pStyle w:val="ListParagraph"/>
        <w:numPr>
          <w:ilvl w:val="0"/>
          <w:numId w:val="3"/>
        </w:numPr>
        <w:spacing w:after="140" w:line="276" w:lineRule="auto"/>
      </w:pPr>
      <w:r>
        <w:rPr>
          <w:b/>
          <w:bCs/>
        </w:rPr>
        <w:t xml:space="preserve">The September 2, </w:t>
      </w:r>
      <w:proofErr w:type="gramStart"/>
      <w:r>
        <w:rPr>
          <w:b/>
          <w:bCs/>
        </w:rPr>
        <w:t>2025</w:t>
      </w:r>
      <w:proofErr w:type="gramEnd"/>
      <w:r>
        <w:rPr>
          <w:b/>
          <w:bCs/>
        </w:rPr>
        <w:t xml:space="preserve"> email lockout and potential spoliation. </w:t>
      </w:r>
      <w:r>
        <w:t xml:space="preserve">IT administrator Stuart Owen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This is a potential evidence spoliation issue warranting specific inquiry by the Commission. The Company’s preservation obligations under applicable law were triggered no later than November 14, 2025, when Ms. Lord served her formal preservation demand. The deliberate denial of password access two months earlier, in September 2025, is itself an adverse action and a red flag for intentional evidence destruction.</w:t>
      </w:r>
    </w:p>
    <w:p w14:paraId="5CBFEF3D" w14:textId="2ADC253B" w:rsidR="001554EE" w:rsidRDefault="00000000">
      <w:pPr>
        <w:pStyle w:val="ListParagraph"/>
        <w:numPr>
          <w:ilvl w:val="0"/>
          <w:numId w:val="3"/>
        </w:numPr>
        <w:spacing w:after="140" w:line="276" w:lineRule="auto"/>
      </w:pPr>
      <w:r>
        <w:rPr>
          <w:b/>
          <w:bCs/>
        </w:rPr>
        <w:t xml:space="preserve">The March 18, </w:t>
      </w:r>
      <w:proofErr w:type="gramStart"/>
      <w:r>
        <w:rPr>
          <w:b/>
          <w:bCs/>
        </w:rPr>
        <w:t>2025</w:t>
      </w:r>
      <w:proofErr w:type="gramEnd"/>
      <w:r>
        <w:rPr>
          <w:b/>
          <w:bCs/>
        </w:rPr>
        <w:t xml:space="preserve"> firearm report. </w:t>
      </w:r>
      <w:r>
        <w:t xml:space="preserve">Ms. Lord reported to HR Director Aldridge that Ms. Cape had brought a firearm to the workplace. No meaningful action was taken. Two days later, Ms. Lord’s supervisory authority—the very authority under which she had made the safety report—was revoked entirely. </w:t>
      </w:r>
      <w:r w:rsidR="00484EC2">
        <w:t xml:space="preserve">Prior to that meeting, </w:t>
      </w:r>
      <w:proofErr w:type="spellStart"/>
      <w:r w:rsidR="00484EC2">
        <w:t>Ms</w:t>
      </w:r>
      <w:proofErr w:type="spellEnd"/>
      <w:r w:rsidR="00484EC2">
        <w:t xml:space="preserve"> Lord notified Mr. Aldridge (see text message screenshot) that the meeting would take place and asked him to be present. He did not attend later stating that “his name wasn’t on the invitation”. </w:t>
      </w:r>
      <w:r>
        <w:t>The direct temporal connection between the safety report and the authority revocation is unaddressed by Respondent and constitutes additional evidence of retaliation.</w:t>
      </w:r>
    </w:p>
    <w:p w14:paraId="4A49D9FE" w14:textId="77777777" w:rsidR="001554EE" w:rsidRDefault="00000000">
      <w:pPr>
        <w:pStyle w:val="ListParagraph"/>
        <w:numPr>
          <w:ilvl w:val="0"/>
          <w:numId w:val="3"/>
        </w:numPr>
        <w:spacing w:after="140" w:line="276" w:lineRule="auto"/>
      </w:pPr>
      <w:r>
        <w:rPr>
          <w:b/>
          <w:bCs/>
        </w:rPr>
        <w:t xml:space="preserve">The payroll rumor pretext. </w:t>
      </w:r>
      <w:r>
        <w:t xml:space="preserve">The Company characterizes Ms. Lord’s statements about financial concerns as “entirely false” statements justifying discipline. In fact, Ms. Lord raised these exact financial concerns directly with Ford Elliott, Peter Reinert, and Cameron Aldridge at the April 25, </w:t>
      </w:r>
      <w:proofErr w:type="gramStart"/>
      <w:r>
        <w:t>2025</w:t>
      </w:r>
      <w:proofErr w:type="gramEnd"/>
      <w:r>
        <w:t xml:space="preserve"> meeting—months before the employee conversation that triggered the verbal warning. Internal payroll rumors had circulated since at least February 2025. Ms. Lord’s statements were consistent with the financial information she was receiving from senior leadership, including CFO Reinert himself. The Company’s selective application of its “false statements” policy—enforced against the employee who had just filed a discrimination complaint, but not against Stuart Owen or the original sources of the rumors—is pretextual on its face.</w:t>
      </w:r>
    </w:p>
    <w:p w14:paraId="0E3CAF28" w14:textId="5A8D0DE4" w:rsidR="001554EE" w:rsidRDefault="00000000">
      <w:pPr>
        <w:pStyle w:val="ListParagraph"/>
        <w:numPr>
          <w:ilvl w:val="0"/>
          <w:numId w:val="3"/>
        </w:numPr>
        <w:spacing w:after="140" w:line="276" w:lineRule="auto"/>
      </w:pPr>
      <w:r>
        <w:rPr>
          <w:b/>
          <w:bCs/>
        </w:rPr>
        <w:t xml:space="preserve">The simultaneous elevation of younger employees on May 12, 2025. </w:t>
      </w:r>
      <w:r>
        <w:t xml:space="preserve">On the same day Ms. Lord signed her letter accepting the transition to Contender, internal emails and the Company website show Ms. Cape being promoted to Senior Graphic Designer and Brand Manager, and Ms. Wrenn being promoted to Director of Operations. In addition, a September 5, </w:t>
      </w:r>
      <w:proofErr w:type="gramStart"/>
      <w:r>
        <w:t>2025</w:t>
      </w:r>
      <w:proofErr w:type="gramEnd"/>
      <w:r>
        <w:t xml:space="preserve"> email from Christine Brodsky to a third party introduced Ms. Cape as Director of Marketing. These facts directly contradict Respondent’s claim that Ms. </w:t>
      </w:r>
      <w:r>
        <w:lastRenderedPageBreak/>
        <w:t>Lord’s role was not assumed by a younger employee, and they constitute the clearest possible evidence of disparate treatment by age.</w:t>
      </w:r>
    </w:p>
    <w:p w14:paraId="491848C1" w14:textId="77777777" w:rsidR="001554EE" w:rsidRDefault="00000000">
      <w:pPr>
        <w:pStyle w:val="ListParagraph"/>
        <w:numPr>
          <w:ilvl w:val="0"/>
          <w:numId w:val="3"/>
        </w:numPr>
        <w:spacing w:after="140" w:line="276" w:lineRule="auto"/>
      </w:pPr>
      <w:r>
        <w:rPr>
          <w:b/>
          <w:bCs/>
        </w:rPr>
        <w:t xml:space="preserve">The Broadstreet Global / SEC investigation context. </w:t>
      </w:r>
      <w:r>
        <w:t>Ms. Lord’s preservation letter identifies communications and work product related to Broadstreet Global / Broad Street Global Management and a related SEC investigation as material to this case. Ms. Lord performed PR and crisis-response work for leadership in connection with Broadstreet. Respondent’s position statement does not acknowledge this issue, does not confirm that those materials have been preserved, and does not address whether the decision to move Ms. Lord to Contender was connected to the Company’s efforts to create distance between its entities following Broadstreet’s SEC-related exposure.</w:t>
      </w:r>
    </w:p>
    <w:p w14:paraId="43ABE8EF" w14:textId="77777777" w:rsidR="001554EE" w:rsidRDefault="001554EE"/>
    <w:p w14:paraId="3513E3FA" w14:textId="77777777" w:rsidR="001554EE" w:rsidRDefault="00000000">
      <w:pPr>
        <w:spacing w:before="280" w:after="160" w:line="276" w:lineRule="auto"/>
      </w:pPr>
      <w:r>
        <w:rPr>
          <w:b/>
          <w:bCs/>
          <w:u w:val="single"/>
        </w:rPr>
        <w:t>VIII. CONCLUSION</w:t>
      </w:r>
    </w:p>
    <w:p w14:paraId="571DCEC7" w14:textId="77777777" w:rsidR="001554EE" w:rsidRDefault="00000000">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2D9283C8" w14:textId="7410B36E" w:rsidR="001554EE" w:rsidRDefault="00000000">
      <w:pPr>
        <w:spacing w:after="160" w:line="276" w:lineRule="auto"/>
        <w:jc w:val="both"/>
      </w:pPr>
      <w:r>
        <w:t xml:space="preserve">The record, viewed in its totality, establishes that Elizabeth Lord—a 74-year-old employee with more than </w:t>
      </w:r>
      <w:r w:rsidR="00484EC2">
        <w:t>three</w:t>
      </w:r>
      <w:r>
        <w:t xml:space="preserve"> years of documented excellent performance—was systematically stripped of 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were elevated into roles duplicating her functions, and were explicitly introduced to third parties as holding her title. A senior executive who is also the CEO’s uncle made a direct age-based remark in her presence, in a meeting with the CEO and HR Director, on the day adverse action was taken.</w:t>
      </w:r>
    </w:p>
    <w:p w14:paraId="035AED2B" w14:textId="3FC07C59" w:rsidR="001554EE" w:rsidRDefault="00000000" w:rsidP="00484EC2">
      <w:pPr>
        <w:spacing w:after="160" w:line="276" w:lineRule="auto"/>
        <w:jc w:val="both"/>
      </w:pPr>
      <w:r>
        <w:t xml:space="preserve">Ms. Lord respectfully requests that the Commission proceed to a full investigation of this Charge and its companion charge against </w:t>
      </w:r>
      <w:proofErr w:type="spellStart"/>
      <w:r>
        <w:t>Blackstream</w:t>
      </w:r>
      <w:proofErr w:type="spellEnd"/>
      <w:r>
        <w:t xml:space="preserve"> International Real Estate (No. 436-2026-00698</w:t>
      </w:r>
      <w:proofErr w:type="gramStart"/>
      <w:r>
        <w:t>), and</w:t>
      </w:r>
      <w:proofErr w:type="gramEnd"/>
      <w:r>
        <w:t xml:space="preserve"> issue a cause determination. The evidence of age discrimination, hostile work environment, and retaliation under the ADEA is substantial and supported by the documentary record.</w:t>
      </w:r>
    </w:p>
    <w:p w14:paraId="52493AB9" w14:textId="77777777" w:rsidR="001554EE" w:rsidRDefault="001554EE"/>
    <w:p w14:paraId="5E5EBC92" w14:textId="038F7F3B" w:rsidR="001554EE" w:rsidRDefault="00000000" w:rsidP="00484EC2">
      <w:r>
        <w:t>Respectfully subm</w:t>
      </w:r>
      <w:r w:rsidR="00484EC2">
        <w:t>i</w:t>
      </w:r>
      <w:r>
        <w:t>tted,</w:t>
      </w:r>
    </w:p>
    <w:p w14:paraId="393D86E0" w14:textId="77777777" w:rsidR="00484EC2" w:rsidRDefault="00484EC2"/>
    <w:p w14:paraId="7375266C" w14:textId="0E7BAA36" w:rsidR="001554EE" w:rsidRDefault="00000000">
      <w:r>
        <w:t>Elizabeth Langworthy Lord</w:t>
      </w:r>
    </w:p>
    <w:p w14:paraId="704FE0F6" w14:textId="77777777" w:rsidR="001554EE" w:rsidRDefault="00000000">
      <w:r>
        <w:t>Charging Party, Pro Se</w:t>
      </w:r>
    </w:p>
    <w:p w14:paraId="43763494" w14:textId="77777777" w:rsidR="001554EE" w:rsidRDefault="00000000">
      <w:r>
        <w:t>109 Asteria Street</w:t>
      </w:r>
    </w:p>
    <w:p w14:paraId="28CBEB4F" w14:textId="77777777" w:rsidR="001554EE" w:rsidRDefault="00000000">
      <w:r>
        <w:t>Greenville, SC 29617</w:t>
      </w:r>
    </w:p>
    <w:p w14:paraId="320EEB80" w14:textId="77777777" w:rsidR="001554EE" w:rsidRDefault="00000000">
      <w:r>
        <w:t>(512) 808-7984</w:t>
      </w:r>
    </w:p>
    <w:sectPr w:rsidR="001554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1734"/>
    <w:multiLevelType w:val="hybridMultilevel"/>
    <w:tmpl w:val="A0708A9C"/>
    <w:lvl w:ilvl="0" w:tplc="279A945E">
      <w:start w:val="1"/>
      <w:numFmt w:val="bullet"/>
      <w:lvlText w:val="•"/>
      <w:lvlJc w:val="left"/>
      <w:pPr>
        <w:ind w:left="720" w:hanging="360"/>
      </w:pPr>
    </w:lvl>
    <w:lvl w:ilvl="1" w:tplc="7506035C">
      <w:numFmt w:val="decimal"/>
      <w:lvlText w:val=""/>
      <w:lvlJc w:val="left"/>
    </w:lvl>
    <w:lvl w:ilvl="2" w:tplc="560A202C">
      <w:numFmt w:val="decimal"/>
      <w:lvlText w:val=""/>
      <w:lvlJc w:val="left"/>
    </w:lvl>
    <w:lvl w:ilvl="3" w:tplc="794E274E">
      <w:numFmt w:val="decimal"/>
      <w:lvlText w:val=""/>
      <w:lvlJc w:val="left"/>
    </w:lvl>
    <w:lvl w:ilvl="4" w:tplc="418848DE">
      <w:numFmt w:val="decimal"/>
      <w:lvlText w:val=""/>
      <w:lvlJc w:val="left"/>
    </w:lvl>
    <w:lvl w:ilvl="5" w:tplc="E9E82148">
      <w:numFmt w:val="decimal"/>
      <w:lvlText w:val=""/>
      <w:lvlJc w:val="left"/>
    </w:lvl>
    <w:lvl w:ilvl="6" w:tplc="4FC0FC2C">
      <w:numFmt w:val="decimal"/>
      <w:lvlText w:val=""/>
      <w:lvlJc w:val="left"/>
    </w:lvl>
    <w:lvl w:ilvl="7" w:tplc="D3F892D6">
      <w:numFmt w:val="decimal"/>
      <w:lvlText w:val=""/>
      <w:lvlJc w:val="left"/>
    </w:lvl>
    <w:lvl w:ilvl="8" w:tplc="C2862F3E">
      <w:numFmt w:val="decimal"/>
      <w:lvlText w:val=""/>
      <w:lvlJc w:val="left"/>
    </w:lvl>
  </w:abstractNum>
  <w:abstractNum w:abstractNumId="1" w15:restartNumberingAfterBreak="0">
    <w:nsid w:val="54DE7E8F"/>
    <w:multiLevelType w:val="hybridMultilevel"/>
    <w:tmpl w:val="FFC8427A"/>
    <w:lvl w:ilvl="0" w:tplc="D03C4868">
      <w:start w:val="1"/>
      <w:numFmt w:val="decimal"/>
      <w:lvlText w:val="%1."/>
      <w:lvlJc w:val="left"/>
      <w:pPr>
        <w:ind w:left="720" w:hanging="360"/>
      </w:pPr>
    </w:lvl>
    <w:lvl w:ilvl="1" w:tplc="292CE770">
      <w:numFmt w:val="decimal"/>
      <w:lvlText w:val=""/>
      <w:lvlJc w:val="left"/>
    </w:lvl>
    <w:lvl w:ilvl="2" w:tplc="56CE9746">
      <w:numFmt w:val="decimal"/>
      <w:lvlText w:val=""/>
      <w:lvlJc w:val="left"/>
    </w:lvl>
    <w:lvl w:ilvl="3" w:tplc="F146A8E6">
      <w:numFmt w:val="decimal"/>
      <w:lvlText w:val=""/>
      <w:lvlJc w:val="left"/>
    </w:lvl>
    <w:lvl w:ilvl="4" w:tplc="1840C48A">
      <w:numFmt w:val="decimal"/>
      <w:lvlText w:val=""/>
      <w:lvlJc w:val="left"/>
    </w:lvl>
    <w:lvl w:ilvl="5" w:tplc="9550A68E">
      <w:numFmt w:val="decimal"/>
      <w:lvlText w:val=""/>
      <w:lvlJc w:val="left"/>
    </w:lvl>
    <w:lvl w:ilvl="6" w:tplc="0AEEB9AE">
      <w:numFmt w:val="decimal"/>
      <w:lvlText w:val=""/>
      <w:lvlJc w:val="left"/>
    </w:lvl>
    <w:lvl w:ilvl="7" w:tplc="ECD6921C">
      <w:numFmt w:val="decimal"/>
      <w:lvlText w:val=""/>
      <w:lvlJc w:val="left"/>
    </w:lvl>
    <w:lvl w:ilvl="8" w:tplc="E5DCACBA">
      <w:numFmt w:val="decimal"/>
      <w:lvlText w:val=""/>
      <w:lvlJc w:val="left"/>
    </w:lvl>
  </w:abstractNum>
  <w:abstractNum w:abstractNumId="2" w15:restartNumberingAfterBreak="0">
    <w:nsid w:val="7B13484D"/>
    <w:multiLevelType w:val="hybridMultilevel"/>
    <w:tmpl w:val="097E78DE"/>
    <w:lvl w:ilvl="0" w:tplc="4560EBC6">
      <w:start w:val="1"/>
      <w:numFmt w:val="bullet"/>
      <w:lvlText w:val="●"/>
      <w:lvlJc w:val="left"/>
      <w:pPr>
        <w:ind w:left="720" w:hanging="360"/>
      </w:pPr>
    </w:lvl>
    <w:lvl w:ilvl="1" w:tplc="AEF6A42A">
      <w:start w:val="1"/>
      <w:numFmt w:val="bullet"/>
      <w:lvlText w:val="○"/>
      <w:lvlJc w:val="left"/>
      <w:pPr>
        <w:ind w:left="1440" w:hanging="360"/>
      </w:pPr>
    </w:lvl>
    <w:lvl w:ilvl="2" w:tplc="8F8C6024">
      <w:start w:val="1"/>
      <w:numFmt w:val="bullet"/>
      <w:lvlText w:val="■"/>
      <w:lvlJc w:val="left"/>
      <w:pPr>
        <w:ind w:left="2160" w:hanging="360"/>
      </w:pPr>
    </w:lvl>
    <w:lvl w:ilvl="3" w:tplc="E03ACD40">
      <w:start w:val="1"/>
      <w:numFmt w:val="bullet"/>
      <w:lvlText w:val="●"/>
      <w:lvlJc w:val="left"/>
      <w:pPr>
        <w:ind w:left="2880" w:hanging="360"/>
      </w:pPr>
    </w:lvl>
    <w:lvl w:ilvl="4" w:tplc="8F180A54">
      <w:start w:val="1"/>
      <w:numFmt w:val="bullet"/>
      <w:lvlText w:val="○"/>
      <w:lvlJc w:val="left"/>
      <w:pPr>
        <w:ind w:left="3600" w:hanging="360"/>
      </w:pPr>
    </w:lvl>
    <w:lvl w:ilvl="5" w:tplc="80FA6F12">
      <w:start w:val="1"/>
      <w:numFmt w:val="bullet"/>
      <w:lvlText w:val="■"/>
      <w:lvlJc w:val="left"/>
      <w:pPr>
        <w:ind w:left="4320" w:hanging="360"/>
      </w:pPr>
    </w:lvl>
    <w:lvl w:ilvl="6" w:tplc="77ECFF1E">
      <w:start w:val="1"/>
      <w:numFmt w:val="bullet"/>
      <w:lvlText w:val="●"/>
      <w:lvlJc w:val="left"/>
      <w:pPr>
        <w:ind w:left="5040" w:hanging="360"/>
      </w:pPr>
    </w:lvl>
    <w:lvl w:ilvl="7" w:tplc="B7A6D924">
      <w:start w:val="1"/>
      <w:numFmt w:val="bullet"/>
      <w:lvlText w:val="●"/>
      <w:lvlJc w:val="left"/>
      <w:pPr>
        <w:ind w:left="5760" w:hanging="360"/>
      </w:pPr>
    </w:lvl>
    <w:lvl w:ilvl="8" w:tplc="B45C9C4C">
      <w:start w:val="1"/>
      <w:numFmt w:val="bullet"/>
      <w:lvlText w:val="●"/>
      <w:lvlJc w:val="left"/>
      <w:pPr>
        <w:ind w:left="6480" w:hanging="360"/>
      </w:pPr>
    </w:lvl>
  </w:abstractNum>
  <w:num w:numId="1" w16cid:durableId="1353995219">
    <w:abstractNumId w:val="2"/>
    <w:lvlOverride w:ilvl="0">
      <w:startOverride w:val="1"/>
    </w:lvlOverride>
  </w:num>
  <w:num w:numId="2" w16cid:durableId="930428403">
    <w:abstractNumId w:val="0"/>
    <w:lvlOverride w:ilvl="0">
      <w:startOverride w:val="1"/>
    </w:lvlOverride>
  </w:num>
  <w:num w:numId="3" w16cid:durableId="22217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EE"/>
    <w:rsid w:val="001554EE"/>
    <w:rsid w:val="00225E53"/>
    <w:rsid w:val="00484EC2"/>
    <w:rsid w:val="00496BE6"/>
    <w:rsid w:val="00810626"/>
    <w:rsid w:val="00D504EE"/>
    <w:rsid w:val="00F44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BE757"/>
  <w15:docId w15:val="{61595676-AB40-B341-9B4C-41D53AB9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4055</Words>
  <Characters>23119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2</cp:revision>
  <dcterms:created xsi:type="dcterms:W3CDTF">2026-03-15T16:13:00Z</dcterms:created>
  <dcterms:modified xsi:type="dcterms:W3CDTF">2026-03-15T16:13:00Z</dcterms:modified>
</cp:coreProperties>
</file>