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D98" w14:textId="77777777" w:rsidR="005636D9" w:rsidRPr="005636D9" w:rsidRDefault="005636D9" w:rsidP="009E237E">
      <w:pPr>
        <w:rPr>
          <w:b/>
        </w:rPr>
      </w:pPr>
      <w:r w:rsidRPr="005636D9">
        <w:rPr>
          <w:b/>
        </w:rPr>
        <w:t>MCB 525, Fall 2016</w:t>
      </w:r>
    </w:p>
    <w:p w14:paraId="1F6E4F31" w14:textId="76C4AF43" w:rsidR="005636D9" w:rsidRDefault="00394AC6" w:rsidP="009E237E">
      <w:pPr>
        <w:rPr>
          <w:b/>
        </w:rPr>
      </w:pPr>
      <w:r>
        <w:rPr>
          <w:b/>
        </w:rPr>
        <w:t>1.5</w:t>
      </w:r>
      <w:r w:rsidR="005636D9" w:rsidRPr="005636D9">
        <w:rPr>
          <w:b/>
        </w:rPr>
        <w:t xml:space="preserve">: </w:t>
      </w:r>
      <w:r w:rsidR="00422607">
        <w:rPr>
          <w:b/>
        </w:rPr>
        <w:t>A</w:t>
      </w:r>
      <w:r>
        <w:rPr>
          <w:b/>
        </w:rPr>
        <w:t>daptor Ligation</w:t>
      </w:r>
    </w:p>
    <w:p w14:paraId="65E0BEB9" w14:textId="77777777" w:rsidR="009E237E" w:rsidRPr="005636D9" w:rsidRDefault="009E237E" w:rsidP="009E237E">
      <w:pPr>
        <w:rPr>
          <w:b/>
        </w:rPr>
      </w:pPr>
    </w:p>
    <w:p w14:paraId="2CD6140E" w14:textId="77777777" w:rsidR="00394AC6" w:rsidRDefault="001B1EDD" w:rsidP="00394AC6">
      <w:r w:rsidRPr="001B1EDD">
        <w:rPr>
          <w:b/>
          <w:u w:val="single"/>
        </w:rPr>
        <w:t>Objective:</w:t>
      </w:r>
      <w:r>
        <w:t xml:space="preserve"> </w:t>
      </w:r>
      <w:r w:rsidR="00394AC6">
        <w:t xml:space="preserve">In this section, we will ligate partially double-stranded adaptors to the 36-bp DNA fragment from section 1.4.  Both the T4 ligase enzyme and the ligation products are very fragile and temperature sensitive.  Keep reactions on ice prior to and following ligation, and </w:t>
      </w:r>
      <w:r w:rsidR="00394AC6" w:rsidRPr="00394AC6">
        <w:rPr>
          <w:b/>
          <w:i/>
        </w:rPr>
        <w:t>DO NOT vortex the ligase.</w:t>
      </w:r>
    </w:p>
    <w:p w14:paraId="2F63D8F7" w14:textId="6537E842" w:rsidR="005636D9" w:rsidRDefault="005636D9" w:rsidP="005636D9"/>
    <w:p w14:paraId="24874C48" w14:textId="77777777" w:rsidR="009E237E" w:rsidRPr="009E237E" w:rsidRDefault="009E237E" w:rsidP="005636D9">
      <w:pPr>
        <w:rPr>
          <w:b/>
          <w:u w:val="single"/>
        </w:rPr>
      </w:pPr>
      <w:r>
        <w:rPr>
          <w:b/>
          <w:u w:val="single"/>
        </w:rPr>
        <w:t>Protocol:</w:t>
      </w:r>
    </w:p>
    <w:p w14:paraId="5BCC2F52" w14:textId="77777777" w:rsidR="00394AC6" w:rsidRPr="00B70331" w:rsidRDefault="00394AC6" w:rsidP="00394AC6">
      <w:pPr>
        <w:pStyle w:val="ListParagraph"/>
        <w:numPr>
          <w:ilvl w:val="0"/>
          <w:numId w:val="7"/>
        </w:numPr>
      </w:pPr>
      <w:r>
        <w:t>Prepare an appropriate volume of partially double-stranded 2</w:t>
      </w:r>
      <w:r>
        <w:rPr>
          <w:rFonts w:ascii="Cambria" w:hAnsi="Cambria"/>
        </w:rPr>
        <w:t xml:space="preserve">μM </w:t>
      </w:r>
      <w:r>
        <w:t>Adaptor 1 and 2 (in separate tubes) from 100</w:t>
      </w:r>
      <w:r w:rsidRPr="002B2154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μM</w:t>
      </w:r>
      <w:proofErr w:type="spellEnd"/>
      <w:r>
        <w:rPr>
          <w:rFonts w:ascii="Cambria" w:hAnsi="Cambria"/>
        </w:rPr>
        <w:t xml:space="preserve"> stock solutions of 5ILL-NN, 3ILL-NN, and Anti-ILL primers.  Adaptor 1 will bind to one side of the 36 </w:t>
      </w:r>
      <w:proofErr w:type="spellStart"/>
      <w:r>
        <w:rPr>
          <w:rFonts w:ascii="Cambria" w:hAnsi="Cambria"/>
        </w:rPr>
        <w:t>bp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dsDNA</w:t>
      </w:r>
      <w:proofErr w:type="spellEnd"/>
      <w:r>
        <w:rPr>
          <w:rFonts w:ascii="Cambria" w:hAnsi="Cambria"/>
        </w:rPr>
        <w:t xml:space="preserve"> fragment from Section 1.3.  Adaptor 2 will bind to the other.</w:t>
      </w:r>
    </w:p>
    <w:p w14:paraId="43403F2C" w14:textId="77777777" w:rsidR="00394AC6" w:rsidRDefault="00394AC6" w:rsidP="00394AC6">
      <w:r>
        <w:tab/>
      </w:r>
    </w:p>
    <w:p w14:paraId="12C4416C" w14:textId="77777777" w:rsidR="00394AC6" w:rsidRDefault="00394AC6" w:rsidP="00394AC6">
      <w:r>
        <w:tab/>
      </w:r>
      <w:r>
        <w:tab/>
        <w:t>Adaptor 1:</w:t>
      </w:r>
      <w:r>
        <w:tab/>
        <w:t>5ILL-NN + Anti-ILL</w:t>
      </w:r>
    </w:p>
    <w:p w14:paraId="0E0E75D3" w14:textId="77777777" w:rsidR="00394AC6" w:rsidRDefault="00394AC6" w:rsidP="00394AC6">
      <w:r>
        <w:tab/>
      </w:r>
      <w:r>
        <w:tab/>
        <w:t>Adaptor 2:</w:t>
      </w:r>
      <w:r>
        <w:tab/>
        <w:t>3ILL-NN + Anti-ILL</w:t>
      </w:r>
    </w:p>
    <w:p w14:paraId="5BCACBDC" w14:textId="77777777" w:rsidR="00394AC6" w:rsidRPr="002B2154" w:rsidRDefault="00394AC6" w:rsidP="00394AC6">
      <w:pPr>
        <w:ind w:left="360"/>
      </w:pPr>
    </w:p>
    <w:p w14:paraId="0DFB9735" w14:textId="77777777" w:rsidR="00394AC6" w:rsidRDefault="00394AC6" w:rsidP="00394AC6">
      <w:pPr>
        <w:pStyle w:val="ListParagraph"/>
        <w:numPr>
          <w:ilvl w:val="0"/>
          <w:numId w:val="7"/>
        </w:numPr>
      </w:pPr>
      <w:r>
        <w:t xml:space="preserve"> Anneal the adaptors by holding at room temperature for 10 minutes.</w:t>
      </w:r>
    </w:p>
    <w:p w14:paraId="07E48F65" w14:textId="77777777" w:rsidR="00394AC6" w:rsidRDefault="00394AC6" w:rsidP="00394AC6">
      <w:pPr>
        <w:ind w:left="360"/>
      </w:pPr>
    </w:p>
    <w:p w14:paraId="665DBF93" w14:textId="77777777" w:rsidR="00394AC6" w:rsidRDefault="00394AC6" w:rsidP="00394AC6">
      <w:pPr>
        <w:pStyle w:val="ListParagraph"/>
        <w:numPr>
          <w:ilvl w:val="0"/>
          <w:numId w:val="7"/>
        </w:numPr>
      </w:pPr>
      <w:r>
        <w:t>Prepare a master mix for 2.1 ligation reactions based on the following recipe for a single reaction:</w:t>
      </w:r>
    </w:p>
    <w:p w14:paraId="358B58D9" w14:textId="77777777" w:rsidR="00394AC6" w:rsidRDefault="00394AC6" w:rsidP="00394AC6">
      <w:r>
        <w:tab/>
      </w:r>
      <w:r>
        <w:tab/>
      </w:r>
    </w:p>
    <w:p w14:paraId="3DDC4CA2" w14:textId="77777777" w:rsidR="00394AC6" w:rsidRDefault="00394AC6" w:rsidP="00394AC6">
      <w:r>
        <w:tab/>
      </w:r>
      <w:r>
        <w:tab/>
        <w:t>Nuclease-free H</w:t>
      </w:r>
      <w:r w:rsidRPr="004C4BC0">
        <w:rPr>
          <w:vertAlign w:val="subscript"/>
        </w:rPr>
        <w:t>2</w:t>
      </w:r>
      <w:r>
        <w:t>O</w:t>
      </w:r>
      <w:r>
        <w:tab/>
      </w:r>
      <w:r>
        <w:tab/>
      </w:r>
      <w:r>
        <w:tab/>
        <w:t xml:space="preserve">24.0 </w:t>
      </w:r>
      <w:proofErr w:type="spellStart"/>
      <w:r>
        <w:rPr>
          <w:rFonts w:ascii="Cambria" w:hAnsi="Cambria"/>
        </w:rPr>
        <w:t>μL</w:t>
      </w:r>
      <w:proofErr w:type="spellEnd"/>
    </w:p>
    <w:p w14:paraId="4774A77C" w14:textId="77777777" w:rsidR="00394AC6" w:rsidRDefault="00394AC6" w:rsidP="00394AC6">
      <w:pPr>
        <w:rPr>
          <w:rFonts w:ascii="Cambria" w:hAnsi="Cambria"/>
        </w:rPr>
      </w:pPr>
      <w:r>
        <w:tab/>
      </w:r>
      <w:r>
        <w:tab/>
        <w:t xml:space="preserve">10 </w:t>
      </w:r>
      <w:proofErr w:type="spellStart"/>
      <w:r>
        <w:t>mM</w:t>
      </w:r>
      <w:proofErr w:type="spellEnd"/>
      <w:r>
        <w:t xml:space="preserve"> ATP (not </w:t>
      </w:r>
      <w:proofErr w:type="spellStart"/>
      <w:r>
        <w:t>dATP</w:t>
      </w:r>
      <w:proofErr w:type="spellEnd"/>
      <w:r>
        <w:t>)</w:t>
      </w:r>
      <w:r>
        <w:tab/>
      </w:r>
      <w:r>
        <w:tab/>
        <w:t xml:space="preserve">1.0 </w:t>
      </w:r>
      <w:proofErr w:type="spellStart"/>
      <w:r>
        <w:rPr>
          <w:rFonts w:ascii="Cambria" w:hAnsi="Cambria"/>
        </w:rPr>
        <w:t>μL</w:t>
      </w:r>
      <w:proofErr w:type="spellEnd"/>
    </w:p>
    <w:p w14:paraId="614A2892" w14:textId="77777777" w:rsidR="00394AC6" w:rsidRDefault="00394AC6" w:rsidP="00394A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10X T4 ligase buffer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 xml:space="preserve">4.0  </w:t>
      </w:r>
      <w:proofErr w:type="spellStart"/>
      <w:r>
        <w:rPr>
          <w:rFonts w:ascii="Cambria" w:hAnsi="Cambria"/>
        </w:rPr>
        <w:t>μL</w:t>
      </w:r>
      <w:proofErr w:type="spellEnd"/>
      <w:proofErr w:type="gramEnd"/>
    </w:p>
    <w:p w14:paraId="750351C9" w14:textId="77777777" w:rsidR="00394AC6" w:rsidRDefault="00394AC6" w:rsidP="00394A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 </w:t>
      </w:r>
      <w:proofErr w:type="spellStart"/>
      <w:r>
        <w:rPr>
          <w:rFonts w:ascii="Cambria" w:hAnsi="Cambria"/>
        </w:rPr>
        <w:t>μM</w:t>
      </w:r>
      <w:proofErr w:type="spellEnd"/>
      <w:r>
        <w:rPr>
          <w:rFonts w:ascii="Cambria" w:hAnsi="Cambria"/>
        </w:rPr>
        <w:t xml:space="preserve"> Adaptor 1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5.0 </w:t>
      </w:r>
      <w:proofErr w:type="spellStart"/>
      <w:r>
        <w:rPr>
          <w:rFonts w:ascii="Cambria" w:hAnsi="Cambria"/>
        </w:rPr>
        <w:t>μL</w:t>
      </w:r>
      <w:proofErr w:type="spellEnd"/>
    </w:p>
    <w:p w14:paraId="1B6589AD" w14:textId="77777777" w:rsidR="00394AC6" w:rsidRDefault="00394AC6" w:rsidP="00394A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 </w:t>
      </w:r>
      <w:proofErr w:type="spellStart"/>
      <w:r>
        <w:rPr>
          <w:rFonts w:ascii="Cambria" w:hAnsi="Cambria"/>
        </w:rPr>
        <w:t>μM</w:t>
      </w:r>
      <w:proofErr w:type="spellEnd"/>
      <w:r>
        <w:rPr>
          <w:rFonts w:ascii="Cambria" w:hAnsi="Cambria"/>
        </w:rPr>
        <w:t xml:space="preserve"> Adaptor 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5.0 </w:t>
      </w:r>
      <w:proofErr w:type="spellStart"/>
      <w:r>
        <w:rPr>
          <w:rFonts w:ascii="Cambria" w:hAnsi="Cambria"/>
        </w:rPr>
        <w:t>μL</w:t>
      </w:r>
      <w:proofErr w:type="spellEnd"/>
    </w:p>
    <w:p w14:paraId="215F7CDA" w14:textId="77777777" w:rsidR="00394AC6" w:rsidRDefault="00394AC6" w:rsidP="00394A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T4 DNA ligase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1.0 </w:t>
      </w:r>
      <w:proofErr w:type="spellStart"/>
      <w:r>
        <w:rPr>
          <w:rFonts w:ascii="Cambria" w:hAnsi="Cambria"/>
        </w:rPr>
        <w:t>μL</w:t>
      </w:r>
      <w:proofErr w:type="spellEnd"/>
      <w:r>
        <w:rPr>
          <w:rFonts w:ascii="Cambria" w:hAnsi="Cambria"/>
        </w:rPr>
        <w:tab/>
        <w:t>(NEB #M0202)</w:t>
      </w:r>
    </w:p>
    <w:p w14:paraId="67458A37" w14:textId="77777777" w:rsidR="00394AC6" w:rsidRDefault="00394AC6" w:rsidP="00394AC6">
      <w:pPr>
        <w:rPr>
          <w:rFonts w:ascii="Cambria" w:hAnsi="Cambria"/>
        </w:rPr>
      </w:pPr>
    </w:p>
    <w:p w14:paraId="632FDC09" w14:textId="71E55EE6" w:rsidR="00394AC6" w:rsidRPr="00394AC6" w:rsidRDefault="00394AC6" w:rsidP="00394AC6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t xml:space="preserve">Combine </w:t>
      </w:r>
      <w:proofErr w:type="gramStart"/>
      <w:r>
        <w:t xml:space="preserve">40 </w:t>
      </w:r>
      <w:proofErr w:type="spellStart"/>
      <w:r w:rsidRPr="004C4BC0">
        <w:rPr>
          <w:rFonts w:ascii="Cambria" w:hAnsi="Cambria"/>
        </w:rPr>
        <w:t>μL</w:t>
      </w:r>
      <w:proofErr w:type="spellEnd"/>
      <w:proofErr w:type="gramEnd"/>
      <w:r w:rsidRPr="004C4BC0">
        <w:rPr>
          <w:rFonts w:ascii="Cambria" w:hAnsi="Cambria"/>
        </w:rPr>
        <w:t xml:space="preserve"> master mix with remaining 10 </w:t>
      </w:r>
      <w:proofErr w:type="spellStart"/>
      <w:r w:rsidRPr="004C4BC0">
        <w:rPr>
          <w:rFonts w:ascii="Cambria" w:hAnsi="Cambria"/>
        </w:rPr>
        <w:t>μL</w:t>
      </w:r>
      <w:proofErr w:type="spellEnd"/>
      <w:r w:rsidRPr="004C4BC0">
        <w:rPr>
          <w:rFonts w:ascii="Cambria" w:hAnsi="Cambria"/>
        </w:rPr>
        <w:t xml:space="preserve"> of digested DNA.  Incubate at 16°C</w:t>
      </w:r>
      <w:r>
        <w:rPr>
          <w:rFonts w:ascii="Cambria" w:hAnsi="Cambria"/>
        </w:rPr>
        <w:t xml:space="preserve"> for at least one hour or overnight.  Store on ice after ligation.</w:t>
      </w:r>
    </w:p>
    <w:p w14:paraId="1A451110" w14:textId="77777777" w:rsidR="00394AC6" w:rsidRDefault="00394AC6" w:rsidP="00394AC6">
      <w:pPr>
        <w:jc w:val="center"/>
        <w:rPr>
          <w:rFonts w:ascii="Cambria" w:hAnsi="Cambria"/>
        </w:rPr>
      </w:pPr>
    </w:p>
    <w:p w14:paraId="07769897" w14:textId="66AC56C5" w:rsidR="00394AC6" w:rsidRPr="00394AC6" w:rsidRDefault="00394AC6" w:rsidP="00394AC6">
      <w:pPr>
        <w:jc w:val="center"/>
        <w:rPr>
          <w:rFonts w:ascii="Cambria" w:hAnsi="Cambria"/>
        </w:rPr>
      </w:pPr>
      <w:r>
        <w:rPr>
          <w:rFonts w:ascii="Cambria" w:hAnsi="Cambria"/>
        </w:rPr>
        <w:t>~~~</w:t>
      </w:r>
    </w:p>
    <w:p w14:paraId="7E229678" w14:textId="77777777" w:rsidR="00394AC6" w:rsidRDefault="00394AC6" w:rsidP="00394AC6">
      <w:pPr>
        <w:rPr>
          <w:i/>
        </w:rPr>
      </w:pPr>
      <w:r>
        <w:rPr>
          <w:i/>
        </w:rPr>
        <w:t>The Meyer lab protocol gives the following sequences for the primers used to make the adaptors, where N represents a mix of A</w:t>
      </w:r>
      <w:proofErr w:type="gramStart"/>
      <w:r>
        <w:rPr>
          <w:i/>
        </w:rPr>
        <w:t>,G,C</w:t>
      </w:r>
      <w:proofErr w:type="gramEnd"/>
      <w:r>
        <w:rPr>
          <w:i/>
        </w:rPr>
        <w:t xml:space="preserve">, and T, and </w:t>
      </w:r>
      <w:proofErr w:type="spellStart"/>
      <w:r>
        <w:rPr>
          <w:i/>
        </w:rPr>
        <w:t>InvdT</w:t>
      </w:r>
      <w:proofErr w:type="spellEnd"/>
      <w:r>
        <w:rPr>
          <w:i/>
        </w:rPr>
        <w:t xml:space="preserve"> is an inverted T that prevents extension during PCR by DNA polymerase:</w:t>
      </w:r>
    </w:p>
    <w:p w14:paraId="0FF38749" w14:textId="77777777" w:rsidR="00394AC6" w:rsidRDefault="00394AC6" w:rsidP="00394AC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5ILL-NN: </w:t>
      </w:r>
      <w:r>
        <w:rPr>
          <w:rFonts w:ascii="Courier New" w:hAnsi="Courier New" w:cs="Courier New"/>
          <w:i/>
        </w:rPr>
        <w:t xml:space="preserve">5’- </w:t>
      </w:r>
      <w:r w:rsidRPr="00362420">
        <w:rPr>
          <w:rFonts w:ascii="Courier New" w:hAnsi="Courier New" w:cs="Courier New"/>
        </w:rPr>
        <w:t>CTACACGACG CTCTTCCGAT CTNN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</w:rPr>
        <w:t>-3’</w:t>
      </w:r>
    </w:p>
    <w:p w14:paraId="0C99C195" w14:textId="77777777" w:rsidR="00394AC6" w:rsidRDefault="00394AC6" w:rsidP="00394AC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3ILL-NN: </w:t>
      </w:r>
      <w:r>
        <w:rPr>
          <w:rFonts w:ascii="Courier New" w:hAnsi="Courier New" w:cs="Courier New"/>
          <w:i/>
        </w:rPr>
        <w:t xml:space="preserve">5’- </w:t>
      </w:r>
      <w:r w:rsidRPr="00362420">
        <w:rPr>
          <w:rFonts w:ascii="Courier New" w:hAnsi="Courier New" w:cs="Courier New"/>
        </w:rPr>
        <w:t>CAGACGTGTG CTCTTCCGAT CTNN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</w:rPr>
        <w:t>-3’</w:t>
      </w:r>
    </w:p>
    <w:p w14:paraId="01A41E3D" w14:textId="77777777" w:rsidR="00394AC6" w:rsidRDefault="00394AC6" w:rsidP="00394AC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Anti-ILL: </w:t>
      </w:r>
      <w:r>
        <w:rPr>
          <w:rFonts w:ascii="Courier New" w:hAnsi="Courier New" w:cs="Courier New"/>
          <w:i/>
        </w:rPr>
        <w:t xml:space="preserve">5’- </w:t>
      </w:r>
      <w:r w:rsidRPr="00362420">
        <w:rPr>
          <w:rFonts w:ascii="Courier New" w:hAnsi="Courier New" w:cs="Courier New"/>
        </w:rPr>
        <w:t>AGATCGGAAG</w:t>
      </w:r>
      <w:r>
        <w:rPr>
          <w:rFonts w:ascii="Courier New" w:hAnsi="Courier New" w:cs="Courier New"/>
        </w:rPr>
        <w:t xml:space="preserve"> </w:t>
      </w:r>
      <w:proofErr w:type="gramStart"/>
      <w:r w:rsidRPr="00362420">
        <w:rPr>
          <w:rFonts w:ascii="Courier New" w:hAnsi="Courier New" w:cs="Courier New"/>
        </w:rPr>
        <w:t>AGC(</w:t>
      </w:r>
      <w:proofErr w:type="spellStart"/>
      <w:proofErr w:type="gramEnd"/>
      <w:r w:rsidRPr="00362420">
        <w:rPr>
          <w:rFonts w:ascii="Courier New" w:hAnsi="Courier New" w:cs="Courier New"/>
        </w:rPr>
        <w:t>InvdT</w:t>
      </w:r>
      <w:proofErr w:type="spellEnd"/>
      <w:r w:rsidRPr="00362420">
        <w:rPr>
          <w:rFonts w:ascii="Courier New" w:hAnsi="Courier New" w:cs="Courier New"/>
        </w:rPr>
        <w:t>)-</w:t>
      </w:r>
      <w:r>
        <w:rPr>
          <w:rFonts w:ascii="Courier New" w:hAnsi="Courier New" w:cs="Courier New"/>
          <w:i/>
        </w:rPr>
        <w:t>3’</w:t>
      </w:r>
    </w:p>
    <w:p w14:paraId="1028CAFA" w14:textId="77777777" w:rsidR="00394AC6" w:rsidRDefault="00394AC6" w:rsidP="00394AC6">
      <w:pPr>
        <w:rPr>
          <w:i/>
        </w:rPr>
      </w:pPr>
      <w:r>
        <w:rPr>
          <w:i/>
        </w:rPr>
        <w:t>The protocol also includes the following primers for “reduced tag representation”:</w:t>
      </w:r>
    </w:p>
    <w:p w14:paraId="07FF90DF" w14:textId="77777777" w:rsidR="00394AC6" w:rsidRDefault="00394AC6" w:rsidP="00394AC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5ILL-NC: </w:t>
      </w:r>
      <w:r w:rsidRPr="00362420">
        <w:rPr>
          <w:rFonts w:ascii="Courier New" w:hAnsi="Courier New" w:cs="Courier New"/>
          <w:i/>
        </w:rPr>
        <w:t xml:space="preserve">5’- </w:t>
      </w:r>
      <w:r w:rsidRPr="00362420">
        <w:rPr>
          <w:rFonts w:ascii="Courier New" w:hAnsi="Courier New" w:cs="Courier New"/>
        </w:rPr>
        <w:t>CTACACGACG</w:t>
      </w:r>
      <w:r>
        <w:rPr>
          <w:rFonts w:ascii="Courier New" w:hAnsi="Courier New" w:cs="Courier New"/>
        </w:rPr>
        <w:t xml:space="preserve"> </w:t>
      </w:r>
      <w:r w:rsidRPr="00362420">
        <w:rPr>
          <w:rFonts w:ascii="Courier New" w:hAnsi="Courier New" w:cs="Courier New"/>
        </w:rPr>
        <w:t>CTCTTCCGAT</w:t>
      </w:r>
      <w:r>
        <w:rPr>
          <w:rFonts w:ascii="Courier New" w:hAnsi="Courier New" w:cs="Courier New"/>
        </w:rPr>
        <w:t xml:space="preserve"> </w:t>
      </w:r>
      <w:r w:rsidRPr="00362420">
        <w:rPr>
          <w:rFonts w:ascii="Courier New" w:hAnsi="Courier New" w:cs="Courier New"/>
        </w:rPr>
        <w:t>CTNC</w:t>
      </w:r>
      <w:r>
        <w:rPr>
          <w:rFonts w:ascii="Courier New" w:hAnsi="Courier New" w:cs="Courier New"/>
        </w:rPr>
        <w:t xml:space="preserve"> -</w:t>
      </w:r>
      <w:r w:rsidRPr="00362420">
        <w:rPr>
          <w:rFonts w:ascii="Courier New" w:hAnsi="Courier New" w:cs="Courier New"/>
          <w:i/>
        </w:rPr>
        <w:t>3’</w:t>
      </w:r>
    </w:p>
    <w:p w14:paraId="726574E4" w14:textId="77777777" w:rsidR="00394AC6" w:rsidRDefault="00394AC6" w:rsidP="00394AC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3ILL-NC: </w:t>
      </w:r>
      <w:r>
        <w:rPr>
          <w:rFonts w:ascii="Courier New" w:hAnsi="Courier New" w:cs="Courier New"/>
          <w:i/>
        </w:rPr>
        <w:t xml:space="preserve">5’- </w:t>
      </w:r>
      <w:r w:rsidRPr="00362420">
        <w:rPr>
          <w:rFonts w:ascii="Courier New" w:hAnsi="Courier New" w:cs="Courier New"/>
        </w:rPr>
        <w:t>CAGACGTGTG</w:t>
      </w:r>
      <w:r>
        <w:rPr>
          <w:rFonts w:ascii="Courier New" w:hAnsi="Courier New" w:cs="Courier New"/>
        </w:rPr>
        <w:t xml:space="preserve"> </w:t>
      </w:r>
      <w:r w:rsidRPr="00362420">
        <w:rPr>
          <w:rFonts w:ascii="Courier New" w:hAnsi="Courier New" w:cs="Courier New"/>
        </w:rPr>
        <w:t>CTCTTCCGAT</w:t>
      </w:r>
      <w:r>
        <w:rPr>
          <w:rFonts w:ascii="Courier New" w:hAnsi="Courier New" w:cs="Courier New"/>
        </w:rPr>
        <w:t xml:space="preserve"> </w:t>
      </w:r>
      <w:r w:rsidRPr="00362420">
        <w:rPr>
          <w:rFonts w:ascii="Courier New" w:hAnsi="Courier New" w:cs="Courier New"/>
        </w:rPr>
        <w:t>CTNC</w:t>
      </w:r>
      <w:r>
        <w:rPr>
          <w:rFonts w:ascii="Courier New" w:hAnsi="Courier New" w:cs="Courier New"/>
          <w:i/>
        </w:rPr>
        <w:t xml:space="preserve"> -3’</w:t>
      </w:r>
    </w:p>
    <w:p w14:paraId="39424806" w14:textId="77777777" w:rsidR="00394AC6" w:rsidRDefault="00394AC6" w:rsidP="00394AC6">
      <w:pPr>
        <w:rPr>
          <w:i/>
        </w:rPr>
      </w:pPr>
    </w:p>
    <w:p w14:paraId="3ED1F3B5" w14:textId="1CA1EF80" w:rsidR="00394AC6" w:rsidRPr="00394AC6" w:rsidRDefault="00394AC6" w:rsidP="00394AC6">
      <w:pPr>
        <w:pStyle w:val="ListParagraph"/>
        <w:numPr>
          <w:ilvl w:val="0"/>
          <w:numId w:val="8"/>
        </w:numPr>
        <w:rPr>
          <w:i/>
        </w:rPr>
        <w:sectPr w:rsidR="00394AC6" w:rsidRPr="00394AC6" w:rsidSect="00394AC6">
          <w:headerReference w:type="default" r:id="rId9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394AC6">
        <w:rPr>
          <w:i/>
        </w:rPr>
        <w:t xml:space="preserve">What would be the effect of </w:t>
      </w:r>
      <w:r w:rsidR="005476DB">
        <w:rPr>
          <w:i/>
        </w:rPr>
        <w:t>using the 5ILL-NC/3ILL-NC primers</w:t>
      </w:r>
      <w:r w:rsidRPr="00394AC6">
        <w:rPr>
          <w:i/>
        </w:rPr>
        <w:t xml:space="preserve"> rather than the 5ILL-NN/3ILL-NN primers and why might a r</w:t>
      </w:r>
      <w:bookmarkStart w:id="0" w:name="_GoBack"/>
      <w:bookmarkEnd w:id="0"/>
      <w:r w:rsidRPr="00394AC6">
        <w:rPr>
          <w:i/>
        </w:rPr>
        <w:t>esearcher want to do thi</w:t>
      </w:r>
      <w:r>
        <w:rPr>
          <w:i/>
        </w:rPr>
        <w:t>s?</w:t>
      </w:r>
    </w:p>
    <w:p w14:paraId="4F2D69A4" w14:textId="478BDDE3" w:rsidR="005636D9" w:rsidRPr="00394AC6" w:rsidRDefault="005636D9" w:rsidP="00394AC6">
      <w:pPr>
        <w:ind w:left="360"/>
        <w:rPr>
          <w:rFonts w:ascii="Cambria" w:hAnsi="Cambria"/>
          <w:i/>
        </w:rPr>
      </w:pPr>
    </w:p>
    <w:sectPr w:rsidR="005636D9" w:rsidRPr="00394AC6" w:rsidSect="00176546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8CD9C" w14:textId="77777777" w:rsidR="009E237E" w:rsidRDefault="009E237E" w:rsidP="005636D9">
      <w:r>
        <w:separator/>
      </w:r>
    </w:p>
  </w:endnote>
  <w:endnote w:type="continuationSeparator" w:id="0">
    <w:p w14:paraId="3D9049B6" w14:textId="77777777" w:rsidR="009E237E" w:rsidRDefault="009E237E" w:rsidP="0056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467" w14:textId="77777777" w:rsidR="009E237E" w:rsidRDefault="009E237E" w:rsidP="005636D9">
      <w:r>
        <w:separator/>
      </w:r>
    </w:p>
  </w:footnote>
  <w:footnote w:type="continuationSeparator" w:id="0">
    <w:p w14:paraId="74C2C7A4" w14:textId="77777777" w:rsidR="009E237E" w:rsidRDefault="009E237E" w:rsidP="00563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F4551" w14:textId="77777777" w:rsidR="00394AC6" w:rsidRDefault="00394AC6">
    <w:pPr>
      <w:pStyle w:val="Header"/>
    </w:pPr>
    <w:r>
      <w:tab/>
    </w:r>
    <w:r>
      <w:tab/>
      <w:t xml:space="preserve"> Anemone 1.5: Adaptor ligation</w:t>
    </w:r>
  </w:p>
  <w:p w14:paraId="0892F0BF" w14:textId="77777777" w:rsidR="00394AC6" w:rsidRDefault="00394A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84B4A" w14:textId="77777777" w:rsidR="009E237E" w:rsidRDefault="009E237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757A" w14:textId="77777777" w:rsidR="009E237E" w:rsidRDefault="009E23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1142"/>
    <w:multiLevelType w:val="hybridMultilevel"/>
    <w:tmpl w:val="590A6F5C"/>
    <w:lvl w:ilvl="0" w:tplc="5AF280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95BAF"/>
    <w:multiLevelType w:val="hybridMultilevel"/>
    <w:tmpl w:val="027A4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7622D"/>
    <w:multiLevelType w:val="hybridMultilevel"/>
    <w:tmpl w:val="5E545192"/>
    <w:lvl w:ilvl="0" w:tplc="5AF280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238A5"/>
    <w:multiLevelType w:val="hybridMultilevel"/>
    <w:tmpl w:val="C6BCABDC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>
    <w:nsid w:val="68BA6DB7"/>
    <w:multiLevelType w:val="hybridMultilevel"/>
    <w:tmpl w:val="D166C3EC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70937"/>
    <w:multiLevelType w:val="hybridMultilevel"/>
    <w:tmpl w:val="7D3C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858C7"/>
    <w:multiLevelType w:val="hybridMultilevel"/>
    <w:tmpl w:val="28605126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0099C"/>
    <w:multiLevelType w:val="hybridMultilevel"/>
    <w:tmpl w:val="BF08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9"/>
    <w:rsid w:val="00176546"/>
    <w:rsid w:val="001B1EDD"/>
    <w:rsid w:val="002C178E"/>
    <w:rsid w:val="00394AC6"/>
    <w:rsid w:val="00422607"/>
    <w:rsid w:val="00437B82"/>
    <w:rsid w:val="005476DB"/>
    <w:rsid w:val="005636D9"/>
    <w:rsid w:val="009E237E"/>
    <w:rsid w:val="00B73326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1F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EA7D292-D049-D744-84A5-469052A3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1612</Characters>
  <Application>Microsoft Macintosh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525 </dc:title>
  <dc:subject/>
  <dc:creator>Emily Weiss</dc:creator>
  <cp:keywords/>
  <dc:description/>
  <cp:lastModifiedBy>Emily Weiss</cp:lastModifiedBy>
  <cp:revision>4</cp:revision>
  <dcterms:created xsi:type="dcterms:W3CDTF">2016-08-16T18:55:00Z</dcterms:created>
  <dcterms:modified xsi:type="dcterms:W3CDTF">2016-08-16T18:58:00Z</dcterms:modified>
</cp:coreProperties>
</file>