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E9F18D" w14:textId="7F9B7BCD" w:rsidR="004E1839" w:rsidRDefault="004E1839" w:rsidP="002F6CD0">
      <w:pPr>
        <w:spacing w:line="360" w:lineRule="auto"/>
        <w:rPr>
          <w:rFonts w:ascii="Times New Roman" w:hAnsi="Times New Roman" w:cs="Times New Roman"/>
        </w:rPr>
      </w:pPr>
      <w:r>
        <w:rPr>
          <w:rFonts w:ascii="Times New Roman" w:hAnsi="Times New Roman" w:cs="Times New Roman"/>
        </w:rPr>
        <w:t>For intro:</w:t>
      </w:r>
    </w:p>
    <w:p w14:paraId="352D2130" w14:textId="77777777" w:rsidR="004E1839" w:rsidRDefault="004E1839" w:rsidP="004E1839">
      <w:pPr>
        <w:pStyle w:val="CommentText"/>
      </w:pPr>
      <w:r>
        <w:t>Work in bit of the CND theory; there’s the donor and the recipient and the importance of the CND is contingent on the demands of the recipient</w:t>
      </w:r>
    </w:p>
    <w:p w14:paraId="0AE959F7" w14:textId="77777777" w:rsidR="004E1839" w:rsidRDefault="004E1839" w:rsidP="002F6CD0">
      <w:pPr>
        <w:spacing w:line="360" w:lineRule="auto"/>
        <w:rPr>
          <w:rFonts w:ascii="Times New Roman" w:hAnsi="Times New Roman" w:cs="Times New Roman"/>
        </w:rPr>
      </w:pPr>
      <w:bookmarkStart w:id="0" w:name="_GoBack"/>
      <w:bookmarkEnd w:id="0"/>
    </w:p>
    <w:p w14:paraId="49671DEF" w14:textId="77777777" w:rsidR="004E1839" w:rsidRDefault="004E1839" w:rsidP="002F6CD0">
      <w:pPr>
        <w:spacing w:line="360" w:lineRule="auto"/>
        <w:rPr>
          <w:rFonts w:ascii="Times New Roman" w:hAnsi="Times New Roman" w:cs="Times New Roman"/>
        </w:rPr>
      </w:pPr>
    </w:p>
    <w:p w14:paraId="7AA3BEBB" w14:textId="3BE488F6" w:rsidR="002F6CD0" w:rsidRDefault="002F6CD0" w:rsidP="002F6CD0">
      <w:pPr>
        <w:spacing w:line="360" w:lineRule="auto"/>
        <w:rPr>
          <w:rFonts w:ascii="Times New Roman" w:hAnsi="Times New Roman" w:cs="Times New Roman"/>
        </w:rPr>
      </w:pPr>
      <w:r>
        <w:rPr>
          <w:rFonts w:ascii="Times New Roman" w:hAnsi="Times New Roman" w:cs="Times New Roman"/>
        </w:rPr>
        <w:t>For model outputs, state:</w:t>
      </w:r>
    </w:p>
    <w:p w14:paraId="76D8F6DA" w14:textId="77777777" w:rsidR="002F6CD0" w:rsidRPr="000C25BF" w:rsidRDefault="002F6CD0" w:rsidP="002F6CD0">
      <w:pPr>
        <w:pStyle w:val="ListParagraph"/>
        <w:numPr>
          <w:ilvl w:val="0"/>
          <w:numId w:val="2"/>
        </w:numPr>
        <w:spacing w:line="360" w:lineRule="auto"/>
        <w:rPr>
          <w:rFonts w:ascii="Times New Roman" w:hAnsi="Times New Roman" w:cs="Times New Roman"/>
        </w:rPr>
      </w:pPr>
      <w:r w:rsidRPr="000C25BF">
        <w:rPr>
          <w:rFonts w:ascii="Times New Roman" w:hAnsi="Times New Roman" w:cs="Times New Roman"/>
        </w:rPr>
        <w:t xml:space="preserve">Sigma^2.1 and sigma^2.2 </w:t>
      </w:r>
      <w:r w:rsidRPr="000C25BF">
        <w:sym w:font="Wingdings" w:char="F0E0"/>
      </w:r>
      <w:r w:rsidRPr="000C25BF">
        <w:rPr>
          <w:rFonts w:ascii="Times New Roman" w:hAnsi="Times New Roman" w:cs="Times New Roman"/>
        </w:rPr>
        <w:t xml:space="preserve"> what percentage is within vs between</w:t>
      </w:r>
    </w:p>
    <w:p w14:paraId="7C831130" w14:textId="77777777" w:rsidR="002F6CD0" w:rsidRDefault="002F6CD0" w:rsidP="002F6CD0">
      <w:pPr>
        <w:pStyle w:val="ListParagraph"/>
        <w:numPr>
          <w:ilvl w:val="0"/>
          <w:numId w:val="2"/>
        </w:numPr>
        <w:spacing w:line="360" w:lineRule="auto"/>
        <w:rPr>
          <w:rFonts w:ascii="Times New Roman" w:hAnsi="Times New Roman" w:cs="Times New Roman"/>
        </w:rPr>
      </w:pPr>
      <w:r w:rsidRPr="000C25BF">
        <w:rPr>
          <w:rFonts w:ascii="Times New Roman" w:hAnsi="Times New Roman" w:cs="Times New Roman"/>
        </w:rPr>
        <w:t xml:space="preserve">Test for residual heterogeneity = are there likely other things introducing variance besides my mods? </w:t>
      </w:r>
      <w:r>
        <w:rPr>
          <w:rFonts w:ascii="Times New Roman" w:hAnsi="Times New Roman" w:cs="Times New Roman"/>
        </w:rPr>
        <w:t xml:space="preserve">p &lt; 0.05 means </w:t>
      </w:r>
      <w:r w:rsidRPr="000C25BF">
        <w:rPr>
          <w:rFonts w:ascii="Times New Roman" w:hAnsi="Times New Roman" w:cs="Times New Roman"/>
        </w:rPr>
        <w:t>other moderators not considered in the model are influencing effect of pee on pp</w:t>
      </w:r>
    </w:p>
    <w:p w14:paraId="4B37525A" w14:textId="77777777" w:rsidR="002F6CD0" w:rsidRDefault="002F6CD0" w:rsidP="002F6CD0">
      <w:pPr>
        <w:pStyle w:val="ListParagraph"/>
        <w:numPr>
          <w:ilvl w:val="0"/>
          <w:numId w:val="2"/>
        </w:numPr>
        <w:spacing w:line="360" w:lineRule="auto"/>
        <w:rPr>
          <w:rFonts w:ascii="Times New Roman" w:hAnsi="Times New Roman" w:cs="Times New Roman"/>
        </w:rPr>
      </w:pPr>
      <w:r>
        <w:rPr>
          <w:rFonts w:ascii="Times New Roman" w:hAnsi="Times New Roman" w:cs="Times New Roman"/>
        </w:rPr>
        <w:t>Test of moderators: are the mods included better than a null model? P &lt; 0.05 means my model is better than null</w:t>
      </w:r>
    </w:p>
    <w:p w14:paraId="245F2089" w14:textId="77777777" w:rsidR="002F6CD0" w:rsidRDefault="002F6CD0" w:rsidP="002F6CD0">
      <w:pPr>
        <w:pStyle w:val="ListParagraph"/>
        <w:numPr>
          <w:ilvl w:val="0"/>
          <w:numId w:val="2"/>
        </w:numPr>
        <w:spacing w:line="360" w:lineRule="auto"/>
        <w:rPr>
          <w:rFonts w:ascii="Times New Roman" w:hAnsi="Times New Roman" w:cs="Times New Roman"/>
        </w:rPr>
      </w:pPr>
      <w:r>
        <w:rPr>
          <w:rFonts w:ascii="Times New Roman" w:hAnsi="Times New Roman" w:cs="Times New Roman"/>
        </w:rPr>
        <w:t>Coefficients and p-value for each moderator, refer to the figures here!</w:t>
      </w:r>
    </w:p>
    <w:p w14:paraId="706FF970" w14:textId="77777777" w:rsidR="002F6CD0" w:rsidRDefault="002F6CD0" w:rsidP="002F6CD0">
      <w:pPr>
        <w:spacing w:line="360" w:lineRule="auto"/>
        <w:rPr>
          <w:rFonts w:ascii="Times New Roman" w:hAnsi="Times New Roman" w:cs="Times New Roman"/>
        </w:rPr>
      </w:pPr>
    </w:p>
    <w:p w14:paraId="12C13D71" w14:textId="77777777" w:rsidR="002F6CD0" w:rsidRPr="00C42EAF" w:rsidRDefault="002F6CD0" w:rsidP="002F6CD0">
      <w:pPr>
        <w:spacing w:line="360" w:lineRule="auto"/>
        <w:rPr>
          <w:rFonts w:ascii="Times New Roman" w:hAnsi="Times New Roman" w:cs="Times New Roman"/>
        </w:rPr>
      </w:pPr>
      <w:r>
        <w:rPr>
          <w:rFonts w:ascii="Times New Roman" w:hAnsi="Times New Roman" w:cs="Times New Roman"/>
        </w:rPr>
        <w:t xml:space="preserve">Interesting that we saw a larger effect of pee on algae, when there weren’t any experiments on algae in the tropics??? </w:t>
      </w:r>
    </w:p>
    <w:p w14:paraId="1A5EE65A" w14:textId="77777777" w:rsidR="002F6CD0" w:rsidRDefault="002F6CD0" w:rsidP="002F6CD0">
      <w:pPr>
        <w:spacing w:line="360" w:lineRule="auto"/>
        <w:rPr>
          <w:rFonts w:ascii="Times New Roman" w:hAnsi="Times New Roman" w:cs="Times New Roman"/>
        </w:rPr>
      </w:pPr>
    </w:p>
    <w:p w14:paraId="45B7DD6B" w14:textId="77777777" w:rsidR="002F6CD0" w:rsidRDefault="002F6CD0" w:rsidP="002F6CD0">
      <w:pPr>
        <w:spacing w:line="360" w:lineRule="auto"/>
        <w:rPr>
          <w:rFonts w:ascii="Times New Roman" w:hAnsi="Times New Roman" w:cs="Times New Roman"/>
        </w:rPr>
      </w:pPr>
      <w:r>
        <w:rPr>
          <w:rFonts w:ascii="Times New Roman" w:hAnsi="Times New Roman" w:cs="Times New Roman"/>
        </w:rPr>
        <w:t>FITURE TO DO’s:</w:t>
      </w:r>
    </w:p>
    <w:p w14:paraId="39B619BA" w14:textId="77777777" w:rsidR="002F6CD0" w:rsidRDefault="002F6CD0" w:rsidP="002F6CD0">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Finish reading the influential study part of the </w:t>
      </w:r>
      <w:proofErr w:type="spellStart"/>
      <w:r>
        <w:rPr>
          <w:rFonts w:ascii="Times New Roman" w:hAnsi="Times New Roman" w:cs="Times New Roman"/>
        </w:rPr>
        <w:t>metafor</w:t>
      </w:r>
      <w:proofErr w:type="spellEnd"/>
      <w:r>
        <w:rPr>
          <w:rFonts w:ascii="Times New Roman" w:hAnsi="Times New Roman" w:cs="Times New Roman"/>
        </w:rPr>
        <w:t xml:space="preserve"> paper!</w:t>
      </w:r>
    </w:p>
    <w:p w14:paraId="1A05D5D4" w14:textId="77777777" w:rsidR="002F6CD0" w:rsidRDefault="002F6CD0" w:rsidP="002F6CD0">
      <w:pPr>
        <w:pStyle w:val="ListParagraph"/>
        <w:numPr>
          <w:ilvl w:val="0"/>
          <w:numId w:val="1"/>
        </w:numPr>
        <w:spacing w:line="360" w:lineRule="auto"/>
        <w:rPr>
          <w:rFonts w:ascii="Times New Roman" w:hAnsi="Times New Roman" w:cs="Times New Roman"/>
        </w:rPr>
      </w:pPr>
      <w:r>
        <w:rPr>
          <w:rFonts w:ascii="Times New Roman" w:hAnsi="Times New Roman" w:cs="Times New Roman"/>
        </w:rPr>
        <w:t>Plot background nutrients fig better!</w:t>
      </w:r>
    </w:p>
    <w:p w14:paraId="6CE8F703" w14:textId="77777777" w:rsidR="002F6CD0" w:rsidRPr="00157593" w:rsidRDefault="002F6CD0" w:rsidP="002F6CD0">
      <w:pPr>
        <w:pStyle w:val="ListParagraph"/>
        <w:numPr>
          <w:ilvl w:val="0"/>
          <w:numId w:val="1"/>
        </w:numPr>
        <w:spacing w:line="360" w:lineRule="auto"/>
        <w:rPr>
          <w:rFonts w:ascii="Times New Roman" w:hAnsi="Times New Roman" w:cs="Times New Roman"/>
        </w:rPr>
      </w:pPr>
      <w:r>
        <w:rPr>
          <w:rFonts w:ascii="Times New Roman" w:hAnsi="Times New Roman" w:cs="Times New Roman"/>
        </w:rPr>
        <w:t>Table for growth metrics and how I handled them</w:t>
      </w:r>
    </w:p>
    <w:p w14:paraId="4059157E" w14:textId="52A01A36" w:rsidR="00AB0D98" w:rsidRDefault="004E1839"/>
    <w:p w14:paraId="04D3E349" w14:textId="77777777" w:rsidR="002F6CD0" w:rsidRDefault="002F6CD0" w:rsidP="002F6CD0">
      <w:pPr>
        <w:spacing w:line="360" w:lineRule="auto"/>
        <w:rPr>
          <w:rFonts w:ascii="Times New Roman" w:hAnsi="Times New Roman" w:cs="Times New Roman"/>
        </w:rPr>
      </w:pPr>
      <w:r>
        <w:rPr>
          <w:rFonts w:ascii="Times New Roman" w:hAnsi="Times New Roman" w:cs="Times New Roman"/>
        </w:rPr>
        <w:t>WORD GRAVEYARD:</w:t>
      </w:r>
    </w:p>
    <w:p w14:paraId="4FC31C0B" w14:textId="77777777" w:rsidR="002F6CD0" w:rsidRDefault="002F6CD0" w:rsidP="002F6CD0">
      <w:pPr>
        <w:spacing w:line="360" w:lineRule="auto"/>
        <w:ind w:firstLine="720"/>
        <w:rPr>
          <w:rFonts w:ascii="Times New Roman" w:hAnsi="Times New Roman" w:cs="Times New Roman"/>
        </w:rPr>
      </w:pPr>
      <w:r>
        <w:rPr>
          <w:rFonts w:ascii="Times New Roman" w:hAnsi="Times New Roman" w:cs="Times New Roman"/>
        </w:rPr>
        <w:t>We grouped latitudes into regions: North Polar (&gt;</w:t>
      </w:r>
      <w:r w:rsidRPr="006E1049">
        <w:rPr>
          <w:rFonts w:ascii="Times New Roman" w:hAnsi="Times New Roman" w:cs="Times New Roman"/>
        </w:rPr>
        <w:t>66°3</w:t>
      </w:r>
      <w:r>
        <w:rPr>
          <w:rFonts w:ascii="Times New Roman" w:hAnsi="Times New Roman" w:cs="Times New Roman"/>
        </w:rPr>
        <w:t>’N), North Temperate ( 35</w:t>
      </w:r>
      <w:r w:rsidRPr="006E1049">
        <w:rPr>
          <w:rFonts w:ascii="Times New Roman" w:hAnsi="Times New Roman" w:cs="Times New Roman"/>
        </w:rPr>
        <w:t>°</w:t>
      </w:r>
      <w:r>
        <w:rPr>
          <w:rFonts w:ascii="Times New Roman" w:hAnsi="Times New Roman" w:cs="Times New Roman"/>
        </w:rPr>
        <w:t xml:space="preserve">N – </w:t>
      </w:r>
      <w:r w:rsidRPr="006E1049">
        <w:rPr>
          <w:rFonts w:ascii="Times New Roman" w:hAnsi="Times New Roman" w:cs="Times New Roman"/>
        </w:rPr>
        <w:t>66°3</w:t>
      </w:r>
      <w:r>
        <w:rPr>
          <w:rFonts w:ascii="Times New Roman" w:hAnsi="Times New Roman" w:cs="Times New Roman"/>
        </w:rPr>
        <w:t>’N), North Subtropics (</w:t>
      </w:r>
      <w:r w:rsidRPr="006E1049">
        <w:rPr>
          <w:rFonts w:ascii="Times New Roman" w:hAnsi="Times New Roman" w:cs="Times New Roman"/>
        </w:rPr>
        <w:t>23°27'</w:t>
      </w:r>
      <w:r>
        <w:rPr>
          <w:rFonts w:ascii="Times New Roman" w:hAnsi="Times New Roman" w:cs="Times New Roman"/>
        </w:rPr>
        <w:t>N</w:t>
      </w:r>
      <w:r w:rsidRPr="006E1049">
        <w:rPr>
          <w:rFonts w:ascii="Times New Roman" w:hAnsi="Times New Roman" w:cs="Times New Roman"/>
        </w:rPr>
        <w:t xml:space="preserve"> </w:t>
      </w:r>
      <w:r>
        <w:rPr>
          <w:rFonts w:ascii="Times New Roman" w:hAnsi="Times New Roman" w:cs="Times New Roman"/>
        </w:rPr>
        <w:t>– 35</w:t>
      </w:r>
      <w:r w:rsidRPr="006E1049">
        <w:rPr>
          <w:rFonts w:ascii="Times New Roman" w:hAnsi="Times New Roman" w:cs="Times New Roman"/>
        </w:rPr>
        <w:t>°</w:t>
      </w:r>
      <w:r>
        <w:rPr>
          <w:rFonts w:ascii="Times New Roman" w:hAnsi="Times New Roman" w:cs="Times New Roman"/>
        </w:rPr>
        <w:t>N), Tropics (</w:t>
      </w:r>
      <w:r w:rsidRPr="006E1049">
        <w:rPr>
          <w:rFonts w:ascii="Times New Roman" w:hAnsi="Times New Roman" w:cs="Times New Roman"/>
        </w:rPr>
        <w:t>23°27'</w:t>
      </w:r>
      <w:r>
        <w:rPr>
          <w:rFonts w:ascii="Times New Roman" w:hAnsi="Times New Roman" w:cs="Times New Roman"/>
        </w:rPr>
        <w:t>S</w:t>
      </w:r>
      <w:r w:rsidRPr="006E1049">
        <w:rPr>
          <w:rFonts w:ascii="Times New Roman" w:hAnsi="Times New Roman" w:cs="Times New Roman"/>
        </w:rPr>
        <w:t xml:space="preserve"> </w:t>
      </w:r>
      <w:r>
        <w:rPr>
          <w:rFonts w:ascii="Times New Roman" w:hAnsi="Times New Roman" w:cs="Times New Roman"/>
        </w:rPr>
        <w:t xml:space="preserve">- </w:t>
      </w:r>
      <w:r w:rsidRPr="006E1049">
        <w:rPr>
          <w:rFonts w:ascii="Times New Roman" w:hAnsi="Times New Roman" w:cs="Times New Roman"/>
        </w:rPr>
        <w:t>23°27'</w:t>
      </w:r>
      <w:r>
        <w:rPr>
          <w:rFonts w:ascii="Times New Roman" w:hAnsi="Times New Roman" w:cs="Times New Roman"/>
        </w:rPr>
        <w:t>N), South Subtropics (</w:t>
      </w:r>
      <w:r w:rsidRPr="006E1049">
        <w:rPr>
          <w:rFonts w:ascii="Times New Roman" w:hAnsi="Times New Roman" w:cs="Times New Roman"/>
        </w:rPr>
        <w:t>23°27'</w:t>
      </w:r>
      <w:r>
        <w:rPr>
          <w:rFonts w:ascii="Times New Roman" w:hAnsi="Times New Roman" w:cs="Times New Roman"/>
        </w:rPr>
        <w:t>S</w:t>
      </w:r>
      <w:r w:rsidRPr="006E1049">
        <w:rPr>
          <w:rFonts w:ascii="Times New Roman" w:hAnsi="Times New Roman" w:cs="Times New Roman"/>
        </w:rPr>
        <w:t xml:space="preserve"> </w:t>
      </w:r>
      <w:r>
        <w:rPr>
          <w:rFonts w:ascii="Times New Roman" w:hAnsi="Times New Roman" w:cs="Times New Roman"/>
        </w:rPr>
        <w:t>– 35</w:t>
      </w:r>
      <w:r w:rsidRPr="006E1049">
        <w:rPr>
          <w:rFonts w:ascii="Times New Roman" w:hAnsi="Times New Roman" w:cs="Times New Roman"/>
        </w:rPr>
        <w:t>°</w:t>
      </w:r>
      <w:r>
        <w:rPr>
          <w:rFonts w:ascii="Times New Roman" w:hAnsi="Times New Roman" w:cs="Times New Roman"/>
        </w:rPr>
        <w:t>S), South Temperate ( 35</w:t>
      </w:r>
      <w:r w:rsidRPr="006E1049">
        <w:rPr>
          <w:rFonts w:ascii="Times New Roman" w:hAnsi="Times New Roman" w:cs="Times New Roman"/>
        </w:rPr>
        <w:t>°</w:t>
      </w:r>
      <w:r>
        <w:rPr>
          <w:rFonts w:ascii="Times New Roman" w:hAnsi="Times New Roman" w:cs="Times New Roman"/>
        </w:rPr>
        <w:t xml:space="preserve">S – </w:t>
      </w:r>
      <w:r w:rsidRPr="006E1049">
        <w:rPr>
          <w:rFonts w:ascii="Times New Roman" w:hAnsi="Times New Roman" w:cs="Times New Roman"/>
        </w:rPr>
        <w:t>66°3</w:t>
      </w:r>
      <w:r>
        <w:rPr>
          <w:rFonts w:ascii="Times New Roman" w:hAnsi="Times New Roman" w:cs="Times New Roman"/>
        </w:rPr>
        <w:t>’S), and South Polar (&gt;</w:t>
      </w:r>
      <w:r w:rsidRPr="006E1049">
        <w:rPr>
          <w:rFonts w:ascii="Times New Roman" w:hAnsi="Times New Roman" w:cs="Times New Roman"/>
        </w:rPr>
        <w:t>66°3</w:t>
      </w:r>
      <w:r>
        <w:rPr>
          <w:rFonts w:ascii="Times New Roman" w:hAnsi="Times New Roman" w:cs="Times New Roman"/>
        </w:rPr>
        <w:t>’S). We used satellite data from Earth Data (</w:t>
      </w:r>
      <w:r w:rsidRPr="00F02A2B">
        <w:rPr>
          <w:rFonts w:ascii="Times New Roman" w:hAnsi="Times New Roman" w:cs="Times New Roman"/>
        </w:rPr>
        <w:t>https://earthdata.nasa.gov/</w:t>
      </w:r>
      <w:r>
        <w:rPr>
          <w:rFonts w:ascii="Times New Roman" w:hAnsi="Times New Roman" w:cs="Times New Roman"/>
        </w:rPr>
        <w:t>) to estimate the background chlorophyll a concentration at each study site during the period the experiment was conducted. When studies spanned multiple seasons or years, we took an average over the relevant values. We binned these chlorophyll concentrations into 5 equal categories, divided between the minimum and maximum chlorophyll values observed.</w:t>
      </w:r>
      <w:r w:rsidRPr="00CD60B3">
        <w:rPr>
          <w:rFonts w:ascii="Times New Roman" w:hAnsi="Times New Roman" w:cs="Times New Roman"/>
        </w:rPr>
        <w:t xml:space="preserve"> </w:t>
      </w:r>
      <w:r>
        <w:rPr>
          <w:rFonts w:ascii="Times New Roman" w:hAnsi="Times New Roman" w:cs="Times New Roman"/>
        </w:rPr>
        <w:t xml:space="preserve">Activity level of the consumer was either (1) vertebrate, (2) mobile invertebrate, or (3) sessile invertebrate. </w:t>
      </w:r>
    </w:p>
    <w:p w14:paraId="0B17B880" w14:textId="77777777" w:rsidR="002F6CD0" w:rsidRDefault="002F6CD0" w:rsidP="002F6CD0">
      <w:pPr>
        <w:spacing w:line="360" w:lineRule="auto"/>
        <w:ind w:firstLine="720"/>
        <w:rPr>
          <w:rFonts w:ascii="Times New Roman" w:hAnsi="Times New Roman" w:cs="Times New Roman"/>
        </w:rPr>
      </w:pPr>
    </w:p>
    <w:p w14:paraId="280DCC8F" w14:textId="77777777" w:rsidR="002F6CD0" w:rsidRPr="00B7738A" w:rsidRDefault="002F6CD0" w:rsidP="002F6CD0">
      <w:pPr>
        <w:spacing w:line="360" w:lineRule="auto"/>
        <w:rPr>
          <w:rFonts w:ascii="Times New Roman" w:hAnsi="Times New Roman" w:cs="Times New Roman"/>
          <w:lang w:val="en-CA"/>
        </w:rPr>
      </w:pPr>
      <w:r>
        <w:rPr>
          <w:rFonts w:ascii="Times New Roman" w:hAnsi="Times New Roman" w:cs="Times New Roman"/>
          <w:lang w:val="en-CA"/>
        </w:rPr>
        <w:t>-Both nutrient provisioning and</w:t>
      </w:r>
      <w:r w:rsidRPr="00A55D03">
        <w:rPr>
          <w:rFonts w:ascii="Times New Roman" w:hAnsi="Times New Roman" w:cs="Times New Roman"/>
          <w:lang w:val="en-CA"/>
        </w:rPr>
        <w:t xml:space="preserve"> </w:t>
      </w:r>
      <w:r>
        <w:rPr>
          <w:rFonts w:ascii="Times New Roman" w:hAnsi="Times New Roman" w:cs="Times New Roman"/>
          <w:lang w:val="en-CA"/>
        </w:rPr>
        <w:t xml:space="preserve">herbivore removal have been shown to increase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{"citationID":"arNNRacG","properties":{"formattedCitation":"(Gruner et al., 2008)","plainCitation":"(Gruner et al., 2008)","noteIndex":0},"citationItems":[{"id":1499,"uris":["http://zotero.org/users/local/idKDtb7T/items/UPI64LJR"],"itemData":{"id":1499,"type":"article-journal","abstract":"Nutrient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Letters","DOI":"10.1111/j.1461-0248.2008.01192.x","ISSN":"1461-0248","issue":"7","language":"en","license":"© 2008 Blackwell Publishing Ltd/CNRS","note":"_eprint: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(Gruner et al., 2008)</w:t>
      </w:r>
      <w:r>
        <w:rPr>
          <w:rFonts w:ascii="Times New Roman" w:hAnsi="Times New Roman" w:cs="Times New Roman"/>
          <w:lang w:val="en-CA"/>
        </w:rPr>
        <w:fldChar w:fldCharType="end"/>
      </w:r>
      <w:r>
        <w:rPr>
          <w:rFonts w:ascii="Times New Roman" w:hAnsi="Times New Roman" w:cs="Times New Roman"/>
          <w:lang w:val="en-CA"/>
        </w:rPr>
        <w:t>.</w:t>
      </w:r>
    </w:p>
    <w:p w14:paraId="346D5D6C" w14:textId="77777777" w:rsidR="002F6CD0" w:rsidRDefault="002F6CD0" w:rsidP="002F6CD0">
      <w:pPr>
        <w:spacing w:line="360" w:lineRule="auto"/>
        <w:rPr>
          <w:rFonts w:ascii="Times New Roman" w:hAnsi="Times New Roman" w:cs="Times New Roman"/>
          <w:lang w:val="en-CA"/>
        </w:rPr>
      </w:pPr>
      <w:r>
        <w:rPr>
          <w:rFonts w:ascii="Times New Roman" w:hAnsi="Times New Roman" w:cs="Times New Roman"/>
          <w:lang w:val="en-CA"/>
        </w:rPr>
        <w:t xml:space="preserve">-Another review found that in the tropics herbivore removal was more important than nutrient enrichment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{"citationID":"yGfHlGW8","properties":{"formattedCitation":"(Burkepile and Hay, 2006)","plainCitation":"(Burkepile and Hay, 2006)","noteIndex":0},"citationItems":[{"id":1625,"uris":["http://zotero.org/users/local/idKDtb7T/items/XXHQQQ3W"],"itemData":{"id":1625,"type":"article-journal","abstract":"Pervasive overharvesting of consumers and anthropogenic nutrient loading are changing the strengths of top-down and bottom-up forces in ecosystems worldwide. Thus, identifying the relative and synergistic roles of these forces and how they differ across habitats, ecosystems, or primary-producer types is increasingly important for understanding how communities are structured. We used factorial meta-analysis of 54 field experiments that orthogonally manipulated herbivore pressure and nutrient loading to quantify consumer and nutrient effects on primary producers in benthic marine habitats. Across all experiments and producer types, herbivory and nutrient enrichment both significantly affected primary-producer abundance. They also interacted to create greater nutrient enrichment effects in the absence of herbivores, suggesting that loss of herbivores produces more dramatic effects of nutrient loading. Herbivores consistently had stronger effects than did nutrient enrichment for both tropical macroalgae and seagrasses. The strong effects of herbivory but limited effects of nutrient enrichment on tropical macroalgae suggest that suppression of herbivore populations has played a larger role than eutrophication in driving the phase shift from coral- to macroalgal-dominated reefs in many areas, especially the Caribbean. For temperate macroalgae and benthic microalgae, the effects of top-down and bottom-up forces varied as a function of the inherent productivity of the ecosystem. For these algal groups, nutrient enrichment appeared to have stronger effects in high- vs. low-productivity systems, while herbivores exerted a stronger top-down effect in low-productivity systems. Effects of herbivores vs. nutrients also varied among algal functional groups (crustose algae, upright macroalgae, and filamentous algae), within a functional group between temperate and tropical systems, and according to the metric used to measure producer abundance. These analyses suggest that human alteration of food webs and nutrient availability have significant effects on primary producers but that the effects vary among latitudes and primary producers, and with the inherent productivity of ecosystems.","container-title":"Ecology","DOI":"10.1890/0012-9658(2006)87[3128:HVNCOM]2.0.CO;2","ISSN":"1939-9170","issue":"12","language":"en","license":"© 2006 by the Ecological Society of America","note":"_eprint: https://esajournals.onlinelibrary.wiley.com/doi/pdf/10.1890/0012-9658%282006%2987%5B3128%3AHVNCOM%5D2.0.CO%3B2","page":"3128-3139","source":"Wiley Online Library","title":"Herbivore Vs. Nutrient Control of Marine Primary Producers: Context-Dependent Effects","title-short":"Herbivore Vs. Nutrient Control of Marine Primary Producers","volume":"87","author":[{"family":"Burkepile","given":"Deron E."},{"family":"Hay","given":"Mark E."}],"issued":{"date-parts":[["2006"]]}}}],"schema":"https://github.com/citation-style-language/schema/raw/master/csl-citation.json"}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(Burkepile and Hay, 2006)</w:t>
      </w:r>
      <w:r>
        <w:rPr>
          <w:rFonts w:ascii="Times New Roman" w:hAnsi="Times New Roman" w:cs="Times New Roman"/>
          <w:lang w:val="en-CA"/>
        </w:rPr>
        <w:fldChar w:fldCharType="end"/>
      </w:r>
      <w:r>
        <w:rPr>
          <w:rFonts w:ascii="Times New Roman" w:hAnsi="Times New Roman" w:cs="Times New Roman"/>
          <w:lang w:val="en-CA"/>
        </w:rPr>
        <w:t>.</w:t>
      </w:r>
    </w:p>
    <w:p w14:paraId="62A5B90C" w14:textId="77777777" w:rsidR="002F6CD0" w:rsidRDefault="002F6CD0" w:rsidP="002F6CD0">
      <w:pPr>
        <w:spacing w:line="360" w:lineRule="auto"/>
        <w:rPr>
          <w:rFonts w:ascii="Times New Roman" w:hAnsi="Times New Roman" w:cs="Times New Roman"/>
          <w:lang w:val="en-CA"/>
        </w:rPr>
      </w:pPr>
      <w:r>
        <w:rPr>
          <w:rFonts w:ascii="Times New Roman" w:hAnsi="Times New Roman" w:cs="Times New Roman"/>
          <w:lang w:val="en-CA"/>
        </w:rPr>
        <w:t xml:space="preserve">-Review found no difference in the effect of abiotic nutrient enrichment between temperate rocky reefs and tropical coral reefs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{"citationID":"SJ03SluD","properties":{"formattedCitation":"(Gruner et al., 2008)","plainCitation":"(Gruner et al., 2008)","noteIndex":0},"citationItems":[{"id":1499,"uris":["http://zotero.org/users/local/idKDtb7T/items/UPI64LJR"],"itemData":{"id":1499,"type":"article-journal","abstract":"Nutrient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Letters","DOI":"10.1111/j.1461-0248.2008.01192.x","ISSN":"1461-0248","issue":"7","language":"en","license":"© 2008 Blackwell Publishing Ltd/CNRS","note":"_eprint: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(Gruner et al., 2008)</w:t>
      </w:r>
      <w:r>
        <w:rPr>
          <w:rFonts w:ascii="Times New Roman" w:hAnsi="Times New Roman" w:cs="Times New Roman"/>
          <w:lang w:val="en-CA"/>
        </w:rPr>
        <w:fldChar w:fldCharType="end"/>
      </w:r>
      <w:r>
        <w:rPr>
          <w:rFonts w:ascii="Times New Roman" w:hAnsi="Times New Roman" w:cs="Times New Roman"/>
          <w:lang w:val="en-CA"/>
        </w:rPr>
        <w:t>.</w:t>
      </w:r>
    </w:p>
    <w:p w14:paraId="0AB8DFC6" w14:textId="77777777" w:rsidR="002F6CD0" w:rsidRDefault="002F6CD0" w:rsidP="002F6CD0">
      <w:pPr>
        <w:spacing w:line="360" w:lineRule="auto"/>
        <w:rPr>
          <w:rFonts w:ascii="Times New Roman" w:hAnsi="Times New Roman" w:cs="Times New Roman"/>
          <w:lang w:val="en-CA"/>
        </w:rPr>
      </w:pPr>
      <w:r>
        <w:rPr>
          <w:rFonts w:ascii="Times New Roman" w:hAnsi="Times New Roman" w:cs="Times New Roman"/>
          <w:lang w:val="en-CA"/>
        </w:rPr>
        <w:t>-Therefore, the importance of CND may be much more context dependent and less generalizable on a global scale.</w:t>
      </w:r>
    </w:p>
    <w:p w14:paraId="716D5D4F" w14:textId="77777777" w:rsidR="002F6CD0" w:rsidRDefault="002F6CD0" w:rsidP="002F6CD0">
      <w:pPr>
        <w:spacing w:line="360" w:lineRule="auto"/>
        <w:rPr>
          <w:rFonts w:ascii="Times New Roman" w:hAnsi="Times New Roman" w:cs="Times New Roman"/>
          <w:lang w:val="en-CA"/>
        </w:rPr>
      </w:pPr>
      <w:r>
        <w:rPr>
          <w:rFonts w:ascii="Times New Roman" w:hAnsi="Times New Roman" w:cs="Times New Roman"/>
          <w:lang w:val="en-CA"/>
        </w:rPr>
        <w:t xml:space="preserve">-However, </w:t>
      </w:r>
      <w:r>
        <w:rPr>
          <w:rFonts w:ascii="Times New Roman" w:hAnsi="Times New Roman" w:cs="Times New Roman"/>
          <w:lang w:val="en-CA" w:eastAsia="zh-TW"/>
        </w:rPr>
        <w:t>e</w:t>
      </w:r>
      <w:r w:rsidRPr="004E5128">
        <w:rPr>
          <w:rFonts w:ascii="Times New Roman" w:hAnsi="Times New Roman" w:cs="Times New Roman"/>
          <w:lang w:val="en-CA"/>
        </w:rPr>
        <w:t>mpirical tests for global</w:t>
      </w:r>
      <w:r>
        <w:rPr>
          <w:rFonts w:ascii="Times New Roman" w:hAnsi="Times New Roman" w:cs="Times New Roman"/>
          <w:lang w:val="en-CA"/>
        </w:rPr>
        <w:t>-</w:t>
      </w:r>
      <w:r w:rsidRPr="004E5128">
        <w:rPr>
          <w:rFonts w:ascii="Times New Roman" w:hAnsi="Times New Roman" w:cs="Times New Roman"/>
          <w:lang w:val="en-CA"/>
        </w:rPr>
        <w:t>scale patterns of CN</w:t>
      </w:r>
      <w:r>
        <w:rPr>
          <w:rFonts w:ascii="Times New Roman" w:hAnsi="Times New Roman" w:cs="Times New Roman"/>
          <w:lang w:val="en-CA"/>
        </w:rPr>
        <w:t>C</w:t>
      </w:r>
      <w:r w:rsidRPr="004E5128">
        <w:rPr>
          <w:rFonts w:ascii="Times New Roman" w:hAnsi="Times New Roman" w:cs="Times New Roman"/>
          <w:lang w:val="en-CA"/>
        </w:rPr>
        <w:t xml:space="preserve"> effects on primary producers</w:t>
      </w:r>
      <w:r>
        <w:rPr>
          <w:rFonts w:ascii="Times New Roman" w:hAnsi="Times New Roman" w:cs="Times New Roman"/>
          <w:lang w:val="en-CA"/>
        </w:rPr>
        <w:t xml:space="preserve"> </w:t>
      </w:r>
      <w:r w:rsidRPr="004E5128">
        <w:rPr>
          <w:rFonts w:ascii="Times New Roman" w:hAnsi="Times New Roman" w:cs="Times New Roman"/>
          <w:lang w:val="en-CA"/>
        </w:rPr>
        <w:t xml:space="preserve">are </w:t>
      </w:r>
      <w:r>
        <w:rPr>
          <w:rFonts w:ascii="Times New Roman" w:hAnsi="Times New Roman" w:cs="Times New Roman"/>
          <w:lang w:val="en-CA"/>
        </w:rPr>
        <w:t>currently lacking</w:t>
      </w:r>
      <w:r w:rsidRPr="00F05738">
        <w:rPr>
          <w:rFonts w:ascii="Times New Roman" w:hAnsi="Times New Roman" w:cs="Times New Roman"/>
          <w:color w:val="000000"/>
          <w:lang w:val="en-CA"/>
        </w:rPr>
        <w:t>.</w:t>
      </w:r>
    </w:p>
    <w:p w14:paraId="631A58F7" w14:textId="77777777" w:rsidR="002F6CD0" w:rsidRDefault="002F6CD0"/>
    <w:sectPr w:rsidR="002F6CD0" w:rsidSect="00712A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D0"/>
    <w:rsid w:val="002F6CD0"/>
    <w:rsid w:val="004E1839"/>
    <w:rsid w:val="00712A56"/>
    <w:rsid w:val="008A1B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40505"/>
  <w15:chartTrackingRefBased/>
  <w15:docId w15:val="{A636B8EB-30E5-4A47-8439-214DF6A0C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6CD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CD0"/>
    <w:pPr>
      <w:ind w:left="720"/>
      <w:contextualSpacing/>
    </w:pPr>
  </w:style>
  <w:style w:type="paragraph" w:styleId="CommentText">
    <w:name w:val="annotation text"/>
    <w:basedOn w:val="Normal"/>
    <w:link w:val="CommentTextChar"/>
    <w:uiPriority w:val="99"/>
    <w:semiHidden/>
    <w:unhideWhenUsed/>
    <w:rsid w:val="004E1839"/>
    <w:rPr>
      <w:sz w:val="20"/>
      <w:szCs w:val="20"/>
    </w:rPr>
  </w:style>
  <w:style w:type="character" w:customStyle="1" w:styleId="CommentTextChar">
    <w:name w:val="Comment Text Char"/>
    <w:basedOn w:val="DefaultParagraphFont"/>
    <w:link w:val="CommentText"/>
    <w:uiPriority w:val="99"/>
    <w:semiHidden/>
    <w:rsid w:val="004E1839"/>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2</cp:revision>
  <dcterms:created xsi:type="dcterms:W3CDTF">2023-02-16T01:29:00Z</dcterms:created>
  <dcterms:modified xsi:type="dcterms:W3CDTF">2023-02-16T01:47:00Z</dcterms:modified>
</cp:coreProperties>
</file>