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0D389D" w:rsidRPr="00B748E3" w:rsidRDefault="000D389D" w:rsidP="000D389D">
      <w:pPr>
        <w:spacing w:line="360" w:lineRule="auto"/>
        <w:jc w:val="right"/>
        <w:rPr>
          <w:rFonts w:ascii="Times New Roman" w:hAnsi="Times New Roman" w:cs="Times New Roman"/>
          <w:lang w:val="en-CA"/>
        </w:rPr>
      </w:pPr>
      <w:r w:rsidRPr="00B748E3">
        <w:rPr>
          <w:rFonts w:ascii="Times New Roman" w:hAnsi="Times New Roman" w:cs="Times New Roman"/>
          <w:lang w:val="en-CA"/>
        </w:rPr>
        <w:t>Em Lim</w:t>
      </w:r>
    </w:p>
    <w:p w:rsidR="00E80FB1" w:rsidRPr="00B748E3" w:rsidRDefault="00E80FB1" w:rsidP="00E80FB1">
      <w:pPr>
        <w:spacing w:line="360" w:lineRule="auto"/>
        <w:jc w:val="right"/>
        <w:rPr>
          <w:rFonts w:ascii="Times New Roman" w:hAnsi="Times New Roman" w:cs="Times New Roman"/>
          <w:lang w:val="en-CA"/>
        </w:rPr>
      </w:pPr>
      <w:r w:rsidRPr="00E80FB1">
        <w:rPr>
          <w:rFonts w:ascii="Times New Roman" w:hAnsi="Times New Roman" w:cs="Times New Roman"/>
          <w:lang w:val="en-CA"/>
        </w:rPr>
        <w:t>301434873</w:t>
      </w:r>
    </w:p>
    <w:p w:rsidR="000D389D" w:rsidRPr="00B748E3" w:rsidRDefault="000D389D" w:rsidP="000D389D">
      <w:pPr>
        <w:spacing w:line="360" w:lineRule="auto"/>
        <w:jc w:val="right"/>
        <w:rPr>
          <w:rFonts w:ascii="Times New Roman" w:hAnsi="Times New Roman" w:cs="Times New Roman"/>
          <w:lang w:val="en-CA"/>
        </w:rPr>
      </w:pPr>
      <w:r w:rsidRPr="00B748E3">
        <w:rPr>
          <w:rFonts w:ascii="Times New Roman" w:hAnsi="Times New Roman" w:cs="Times New Roman"/>
          <w:lang w:val="en-CA"/>
        </w:rPr>
        <w:t>Directed Readings</w:t>
      </w:r>
      <w:r w:rsidR="00F340C3" w:rsidRPr="00B748E3">
        <w:rPr>
          <w:rFonts w:ascii="Times New Roman" w:hAnsi="Times New Roman" w:cs="Times New Roman"/>
          <w:lang w:val="en-CA"/>
        </w:rPr>
        <w:t xml:space="preserve"> BISC </w:t>
      </w:r>
      <w:r w:rsidR="00E80FB1" w:rsidRPr="00B748E3">
        <w:rPr>
          <w:rFonts w:ascii="Times New Roman" w:hAnsi="Times New Roman" w:cs="Times New Roman"/>
          <w:lang w:val="en-CA"/>
        </w:rPr>
        <w:t>890</w:t>
      </w:r>
    </w:p>
    <w:p w:rsidR="00E80FB1" w:rsidRPr="00B748E3" w:rsidRDefault="00E80FB1" w:rsidP="00E80FB1">
      <w:pPr>
        <w:spacing w:line="360" w:lineRule="auto"/>
        <w:rPr>
          <w:rFonts w:ascii="Times New Roman" w:hAnsi="Times New Roman" w:cs="Times New Roman"/>
          <w:lang w:val="en-CA"/>
        </w:rPr>
      </w:pPr>
    </w:p>
    <w:p w:rsidR="003062C8" w:rsidRPr="00B748E3" w:rsidRDefault="00696A7B" w:rsidP="000D389D">
      <w:pPr>
        <w:spacing w:line="360" w:lineRule="auto"/>
        <w:jc w:val="center"/>
        <w:rPr>
          <w:rFonts w:ascii="Times New Roman" w:hAnsi="Times New Roman" w:cs="Times New Roman"/>
          <w:u w:val="single"/>
          <w:lang w:val="en-CA"/>
        </w:rPr>
      </w:pPr>
      <w:r w:rsidRPr="00B748E3">
        <w:rPr>
          <w:rFonts w:ascii="Times New Roman" w:hAnsi="Times New Roman" w:cs="Times New Roman"/>
          <w:u w:val="single"/>
          <w:lang w:val="en-CA"/>
        </w:rPr>
        <w:t>A comparison of animal-mediated nutrient cycling in temperate and tropical regions</w:t>
      </w:r>
    </w:p>
    <w:p w:rsidR="006A2C8D" w:rsidRPr="00B748E3" w:rsidRDefault="006A2C8D" w:rsidP="000D389D">
      <w:pPr>
        <w:spacing w:line="360" w:lineRule="auto"/>
        <w:rPr>
          <w:rFonts w:ascii="Times New Roman" w:hAnsi="Times New Roman" w:cs="Times New Roman"/>
          <w:lang w:val="en-CA"/>
        </w:rPr>
      </w:pPr>
    </w:p>
    <w:p w:rsidR="001438DD" w:rsidRPr="00B748E3" w:rsidRDefault="00696A7B" w:rsidP="000D389D">
      <w:pPr>
        <w:spacing w:line="360" w:lineRule="auto"/>
        <w:rPr>
          <w:rFonts w:ascii="Times New Roman" w:hAnsi="Times New Roman" w:cs="Times New Roman"/>
          <w:u w:val="single"/>
          <w:lang w:val="en-CA"/>
        </w:rPr>
      </w:pPr>
      <w:r w:rsidRPr="00B748E3">
        <w:rPr>
          <w:rFonts w:ascii="Times New Roman" w:hAnsi="Times New Roman" w:cs="Times New Roman"/>
          <w:u w:val="single"/>
          <w:lang w:val="en-CA"/>
        </w:rPr>
        <w:t>Introduction</w:t>
      </w:r>
    </w:p>
    <w:p w:rsidR="00EB30F5" w:rsidRPr="00B748E3" w:rsidRDefault="00696A7B" w:rsidP="00922C2B">
      <w:pPr>
        <w:spacing w:line="360" w:lineRule="auto"/>
        <w:rPr>
          <w:rFonts w:ascii="Times New Roman" w:hAnsi="Times New Roman" w:cs="Times New Roman"/>
          <w:lang w:val="en-CA"/>
        </w:rPr>
      </w:pPr>
      <w:r w:rsidRPr="00B748E3">
        <w:rPr>
          <w:rFonts w:ascii="Times New Roman" w:hAnsi="Times New Roman" w:cs="Times New Roman"/>
          <w:lang w:val="en-CA"/>
        </w:rPr>
        <w:tab/>
      </w:r>
      <w:r w:rsidR="008B5AEA" w:rsidRPr="00B748E3">
        <w:rPr>
          <w:rFonts w:ascii="Times New Roman" w:hAnsi="Times New Roman" w:cs="Times New Roman"/>
          <w:lang w:val="en-CA"/>
        </w:rPr>
        <w:t xml:space="preserve">Determining the relative importance </w:t>
      </w:r>
      <w:bookmarkStart w:id="0" w:name="_GoBack"/>
      <w:r w:rsidR="008B5AEA" w:rsidRPr="00B748E3">
        <w:rPr>
          <w:rFonts w:ascii="Times New Roman" w:hAnsi="Times New Roman" w:cs="Times New Roman"/>
          <w:lang w:val="en-CA"/>
        </w:rPr>
        <w:t xml:space="preserve">of </w:t>
      </w:r>
      <w:bookmarkEnd w:id="0"/>
      <w:r w:rsidR="008B5AEA" w:rsidRPr="00B748E3">
        <w:rPr>
          <w:rFonts w:ascii="Times New Roman" w:hAnsi="Times New Roman" w:cs="Times New Roman"/>
          <w:lang w:val="en-CA"/>
        </w:rPr>
        <w:t>consumer mediated “top-down” effects compared to</w:t>
      </w:r>
      <w:r w:rsidR="008B5AEA" w:rsidRPr="00B748E3">
        <w:rPr>
          <w:rFonts w:ascii="Times New Roman" w:hAnsi="Times New Roman" w:cs="Times New Roman"/>
        </w:rPr>
        <w:t xml:space="preserve"> resource controlled </w:t>
      </w:r>
      <w:r w:rsidR="008B5AEA" w:rsidRPr="00B748E3">
        <w:rPr>
          <w:rFonts w:ascii="Times New Roman" w:hAnsi="Times New Roman" w:cs="Times New Roman"/>
          <w:lang w:val="en-CA"/>
        </w:rPr>
        <w:t xml:space="preserve">“bottom-up” processes across systems is a longstanding aim of ecology </w:t>
      </w:r>
      <w:r w:rsidR="008B5AEA" w:rsidRPr="00B748E3">
        <w:rPr>
          <w:rFonts w:ascii="Times New Roman" w:hAnsi="Times New Roman" w:cs="Times New Roman"/>
          <w:lang w:val="en-CA"/>
        </w:rPr>
        <w:fldChar w:fldCharType="begin"/>
      </w:r>
      <w:r w:rsidR="008B5AEA" w:rsidRPr="00B748E3">
        <w:rPr>
          <w:rFonts w:ascii="Times New Roman" w:hAnsi="Times New Roman" w:cs="Times New Roman"/>
          <w:lang w:val="en-CA"/>
        </w:rPr>
        <w:instrText xml:space="preserve"> ADDIN ZOTERO_ITEM CSL_CITATION {"citationID":"V6gwuWB8","properties":{"formattedCitation":"(Gruner et al., 2008; Polis, 1999; Poore et al., 2012)","plainCitation":"(Gruner et al., 2008; Polis, 1999; Poore et al., 2012)","noteIndex":0},"citationItems":[{"id":1499,"uris":["http://zotero.org/users/local/idKDtb7T/items/UPI64LJR"],"uri":["http://zotero.org/users/local/idKDtb7T/items/UPI64LJR"],"itemData":{"id":1499,"type":"article-journal","abstract":"Nutrient availability and herbivory control the biomass of primary producer communities to varying degrees across ecosystems. Ecological theory, individual experiments in many different systems, and system-specific quantitative reviews have suggested that (i) bottom–up control is pervasive but top–down control is more influential in aquatic habitats relative to terrestrial systems and (ii) bottom–up and top–down forces are interdependent, with statistical interactions that synergize or dampen relative influences on producer biomass. We used simple dynamic models to review ecological mechanisms that generate independent vs. interactive responses of community-level biomass. We calibrated these mechanistic predictions with the metrics of factorial meta-analysis and tested their prevalence across freshwater, marine and terrestrial ecosystems with a comprehensive meta-analysis of 191 factorial manipulations of herbivores and nutrients. Our analysis showed that producer community biomass increased with fertilization across all systems, although increases were greatest in freshwater habitats. Herbivore removal generally increased producer biomass in both freshwater and marine systems, but effects were inconsistent on land. With the exception of marine temperate rocky reef systems that showed positive synergism of nutrient enrichment and herbivore removal, experimental studies showed limited support for statistical interactions between nutrient and herbivory treatments on producer biomass. Top–down control of herbivores, compensatory behaviour of multiple herbivore guilds, spatial and temporal heterogeneity of interactions, and herbivore-mediated nutrient recycling may lower the probability of consistent interactive effects on producer biomass. Continuing studies should expand the temporal and spatial scales of experiments, particularly in understudied terrestrial systems; broaden factorial designs to manipulate independently multiple producer resources (e.g. nitrogen, phosphorus, light), multiple herbivore taxa or guilds (e.g. vertebrates and invertebrates) and multiple trophic levels; and – in addition to measuring producer biomass – assess the responses of species diversity, community composition and nutrient status.","container-title":"Ecology Letters","DOI":"10.1111/j.1461-0248.2008.01192.x","ISSN":"1461-0248","issue":"7","language":"en","note":"_eprint: https://onlinelibrary.wiley.com/doi/pdf/10.1111/j.1461-0248.2008.01192.x","page":"740-755","source":"Wiley Online Library","title":"A cross-system synthesis of consumer and nutrient resource control on producer biomass","volume":"11","author":[{"family":"Gruner","given":"Daniel S."},{"family":"Smith","given":"Jennifer E."},{"family":"Seabloom","given":"Eric W."},{"family":"Sandin","given":"Stuart A."},{"family":"Ngai","given":"Jacqueline T."},{"family":"Hillebrand","given":"Helmut"},{"family":"Harpole","given":"W. Stanley"},{"family":"Elser","given":"James J."},{"family":"Cleland","given":"Elsa E."},{"family":"Bracken","given":"Matthew E. S."},{"family":"Borer","given":"Elizabeth T."},{"family":"Bolker","given":"Benjamin M."}],"issued":{"date-parts":[["2008"]]}}},{"id":1596,"uris":["http://zotero.org/users/local/idKDtb7T/items/GGDA56AS"],"uri":["http://zotero.org/users/local/idKDtb7T/items/GGDA56AS"],"itemData":{"id":1596,"type":"article-journal","abstract":"This paper evaluates the multiple factors that determine the production of plant biomass and its distribution among producers and various trophic groups of consumers. In rough order of their importance, water and nutrient availability, factors that deter herbivores (plant defenses, environmental heterogeneity and disturbance, nutrient stoichiometry), and consumption by herbivores appear to be the most universal determinants of the production and distribution of plant biomass. In some times and places, indirect effects from enemies of herbivores (predators, parasites, parasitoids and pathogens) propagate through the food web to influence plant biomass, in a manner somewhat consistent with green world and exploitation ecosystem mechanisms. I discuss why such food web dynamics appear to be much more important in water than on land. The only demonstrated cases of community-level trophic cascades occur in water. Although species-level cascades are moderately frequent on land, community-level cascades rarely or never occur.","archive":"JSTOR","container-title":"Oikos","DOI":"10.2307/3546565","ISSN":"0030-1299","issue":"1","note":"publisher: [Nordic Society Oikos, Wiley]","page":"3-15","source":"JSTOR","title":"Why Are Parts of the World Green? Multiple Factors Control Productivity and the Distribution of Biomass","title-short":"Why Are Parts of the World Green?","volume":"86","author":[{"family":"Polis","given":"Gary A."}],"issued":{"date-parts":[["1999"]]}}},{"id":1597,"uris":["http://zotero.org/users/local/idKDtb7T/items/Q4VRDF38"],"uri":["http://zotero.org/users/local/idKDtb7T/items/Q4VRDF38"],"itemData":{"id":1597,"type":"article-journal","abstract":"Despite the importance of consumers in structuring communities, and the widespread assumption that consumption is strongest at low latitudes, empirical tests for global scale patterns in the magnitude of consumer impacts are limited. In marine systems, the long tradition of experimentally excluding herbivores in their natural environments allows consumer impacts to be quantified on global scales using consistent methodology. We present a quantitative synthesis of 613 marine herbivore exclusion experiments to test the influence of consumer traits, producer traits and the environment on the strength of herbivore impacts on benthic producers. Across the globe, marine herbivores profoundly reduced producer abundance (by 68% on average), with strongest effects in rocky intertidal habitats and the weakest effects on habitats dominated by vascular plants. Unexpectedly, we found little or no influence of latitude or mean annual water temperature. Instead, herbivore impacts differed most consistently among producer taxonomic and morphological groups. Our results show that grazing impacts on plant abundance are better predicted by producer traits than by large-scale variation in habitat or mean temperature, and that there is a previously unrecognised degree of phylogenetic conservatism in producer susceptibility to consumption.","container-title":"Ecology Letters","DOI":"10.1111/j.1461-0248.2012.01804.x","ISSN":"1461-0248","issue":"8","language":"en","note":"_eprint: https://onlinelibrary.wiley.com/doi/pdf/10.1111/j.1461-0248.2012.01804.x","page":"912-922","source":"Wiley Online Library","title":"Global patterns in the impact of marine herbivores on benthic primary producers","volume":"15","author":[{"family":"Poore","given":"Alistair G. B."},{"family":"Campbell","given":"Alexandra H."},{"family":"Coleman","given":"Ross A."},{"family":"Edgar","given":"Graham J."},{"family":"Jormalainen","given":"Veijo"},{"family":"Reynolds","given":"Pamela L."},{"family":"Sotka","given":"Erik E."},{"family":"Stachowicz","given":"John J."},{"family":"Taylor","given":"Richard B."},{"family":"Vanderklift","given":"Mathew A."},{"family":"Duffy","given":"J. Emmett"}],"issued":{"date-parts":[["2012"]]}}}],"schema":"https://github.com/citation-style-language/schema/raw/master/csl-citation.json"} </w:instrText>
      </w:r>
      <w:r w:rsidR="008B5AEA" w:rsidRPr="00B748E3">
        <w:rPr>
          <w:rFonts w:ascii="Times New Roman" w:hAnsi="Times New Roman" w:cs="Times New Roman"/>
          <w:lang w:val="en-CA"/>
        </w:rPr>
        <w:fldChar w:fldCharType="separate"/>
      </w:r>
      <w:r w:rsidR="008B5AEA" w:rsidRPr="00B748E3">
        <w:rPr>
          <w:rFonts w:ascii="Times New Roman" w:hAnsi="Times New Roman" w:cs="Times New Roman"/>
        </w:rPr>
        <w:t>(Gruner et al., 2008; Polis, 1999; Poore et al., 2012)</w:t>
      </w:r>
      <w:r w:rsidR="008B5AEA" w:rsidRPr="00B748E3">
        <w:rPr>
          <w:rFonts w:ascii="Times New Roman" w:hAnsi="Times New Roman" w:cs="Times New Roman"/>
          <w:lang w:val="en-CA"/>
        </w:rPr>
        <w:fldChar w:fldCharType="end"/>
      </w:r>
      <w:r w:rsidR="008B5AEA" w:rsidRPr="00B748E3">
        <w:rPr>
          <w:rFonts w:ascii="Times New Roman" w:hAnsi="Times New Roman" w:cs="Times New Roman"/>
          <w:lang w:val="en-CA"/>
        </w:rPr>
        <w:t xml:space="preserve">. The understanding that consumers also affect communities through their roll in nutrient </w:t>
      </w:r>
      <w:r w:rsidR="009B5BF5" w:rsidRPr="00B748E3">
        <w:rPr>
          <w:rFonts w:ascii="Times New Roman" w:hAnsi="Times New Roman" w:cs="Times New Roman"/>
          <w:lang w:val="en-CA"/>
        </w:rPr>
        <w:t>regeneration</w:t>
      </w:r>
      <w:r w:rsidR="008B5AEA" w:rsidRPr="00B748E3">
        <w:rPr>
          <w:rFonts w:ascii="Times New Roman" w:hAnsi="Times New Roman" w:cs="Times New Roman"/>
          <w:lang w:val="en-CA"/>
        </w:rPr>
        <w:t xml:space="preserve"> is becoming more widespread, which complicates this dichotomy</w:t>
      </w:r>
      <w:r w:rsidR="0084590D" w:rsidRPr="00B748E3">
        <w:rPr>
          <w:rFonts w:ascii="Times New Roman" w:hAnsi="Times New Roman" w:cs="Times New Roman"/>
          <w:lang w:val="en-CA"/>
        </w:rPr>
        <w:t xml:space="preserve"> between top-down and bottom-up control.</w:t>
      </w:r>
      <w:r w:rsidR="008B5AEA" w:rsidRPr="00B748E3">
        <w:rPr>
          <w:rFonts w:ascii="Times New Roman" w:hAnsi="Times New Roman" w:cs="Times New Roman"/>
          <w:lang w:val="en-CA"/>
        </w:rPr>
        <w:t xml:space="preserve"> </w:t>
      </w:r>
      <w:r w:rsidR="001039E0" w:rsidRPr="00B748E3">
        <w:rPr>
          <w:rFonts w:ascii="Times New Roman" w:hAnsi="Times New Roman" w:cs="Times New Roman"/>
          <w:lang w:val="en-CA"/>
        </w:rPr>
        <w:t>Consumer-mediated nutrient cycling (CND) has been shown to affect primary produc</w:t>
      </w:r>
      <w:r w:rsidR="00F340C3" w:rsidRPr="00B748E3">
        <w:rPr>
          <w:rFonts w:ascii="Times New Roman" w:hAnsi="Times New Roman" w:cs="Times New Roman"/>
          <w:lang w:val="en-CA"/>
        </w:rPr>
        <w:t xml:space="preserve">tion </w:t>
      </w:r>
      <w:r w:rsidR="001039E0" w:rsidRPr="00B748E3">
        <w:rPr>
          <w:rFonts w:ascii="Times New Roman" w:hAnsi="Times New Roman" w:cs="Times New Roman"/>
          <w:lang w:val="en-CA"/>
        </w:rPr>
        <w:t xml:space="preserve">and community functioning in aquatic </w:t>
      </w:r>
      <w:r w:rsidR="001039E0" w:rsidRPr="00B748E3">
        <w:rPr>
          <w:rFonts w:ascii="Times New Roman" w:hAnsi="Times New Roman" w:cs="Times New Roman"/>
          <w:lang w:val="en-CA"/>
        </w:rPr>
        <w:fldChar w:fldCharType="begin"/>
      </w:r>
      <w:r w:rsidR="001039E0" w:rsidRPr="00B748E3">
        <w:rPr>
          <w:rFonts w:ascii="Times New Roman" w:hAnsi="Times New Roman" w:cs="Times New Roman"/>
          <w:lang w:val="en-CA"/>
        </w:rPr>
        <w:instrText xml:space="preserve"> ADDIN ZOTERO_ITEM CSL_CITATION {"citationID":"kGvT2G0I","properties":{"formattedCitation":"(Atkinson et al., 2017; Vanni, 2002)","plainCitation":"(Atkinson et al., 2017; Vanni, 2002)","noteIndex":0},"citationItems":[{"id":1368,"uris":["http://zotero.org/users/local/idKDtb7T/items/GT9KCULB"],"uri":["http://zotero.org/users/local/idKDtb7T/items/GT9KCULB"],"itemData":{"id":1368,"type":"article-journal","abstract":"The role of animals in modulating nutrient cycling [hereafter, consumer-driven nutrient dynamics (CND)] has been accepted as an important influence on both community structure and ecosystem function in aquatic systems. Yet there is great variability in the influence of CND across species and ecosystems, and the causes of this variation are not well understood. Here, we review and synthesize the mechanisms behind CND in fresh waters. We reviewed 131 articles on CND published between 1973 and 1 June 2015. The rate of new publications in CND has increased from 1.4 papers per year during 1973–2002 to 7.3 per year during 2003–2015. The majority of investigations are in North America with many concentrating on fish. More recent studies have focused on animal-mediated nutrient excretion rates relative to nutrient demand and indirect impacts (e.g. decomposition). We identified several mechanisms that influence CND across levels of biological organization. Factors affecting the stoichiometric plasticity of consumers, including body size, feeding history and ontogeny, play an important role in determining the impact of individual consumers on nutrient dynamics and underlie the stoichiometry of CND across time and space. The abiotic characteristics of an ecosystem affect the net impact of consumers on ecosystem processes by influencing consumer metabolic processes (e.g. consumption and excretion/egestion rates), non-CND supply of nutrients and ecosystem nutrient demand. Furthermore, the transformation and transport of elements by populations and communities of consumers also influences the flow of energy and nutrients across ecosystem boundaries. This review highlights that shifts in community composition or biomass of consumers and eco-evolutionary underpinnings can have strong effects on the functional role of consumers in ecosystem processes, yet these are relatively unexplored aspects of CND. Future research should evaluate the value of using species traits and abiotic conditions to predict and understand the effects of consumers on ecosystem-level nutrient dynamics across temporal and spatial scales. Moreover, new work in CND should strive to integrate knowledge from disparate fields of ecology and environmental science, such as physiology and ecosystem ecology, to develop a comprehensive and mechanistic understanding of the functional role of consumers. Comparative and experimental studies that develop testable hypotheses to challenge the current assumptions of CND, including consumer stoichiometric homeostasis, are needed to assess the significance of CND among species and across freshwater ecosystems.","container-title":"Biological Reviews","DOI":"10.1111/brv.12318","ISSN":"1469-185X","issue":"4","language":"en","note":"_eprint: https://onlinelibrary.wiley.com/doi/pdf/10.1111/brv.12318","page":"2003-2023","source":"Wiley Online Library","title":"Consumer-driven nutrient dynamics in freshwater ecosystems: from individuals to ecosystems","title-short":"Consumer-driven nutrient dynamics in freshwater ecosystems","volume":"92","author":[{"family":"Atkinson","given":"Carla L."},{"family":"Capps","given":"Krista A."},{"family":"Rugenski","given":"Amanda T."},{"family":"Vanni","given":"Michael J."}],"issued":{"date-parts":[["2017"]]}}},{"id":1600,"uris":["http://zotero.org/users/local/idKDtb7T/items/657HQEDK"],"uri":["http://zotero.org/users/local/idKDtb7T/items/657HQEDK"],"itemData":{"id":1600,"type":"article-journal","abstract":"Animals are important in nutrient cycling in freshwater ecosystems. Via excretory processes, animals can supply nutrients (nitrogen and phosphorus) at rates comparable to major nutrient sources, and nutrient cycling by animals can support a substantial proportion of the nutrient demands of primary producers. In addition, animals may exert strong impacts on the species composition of primary producers via effects on nutrient supply rates and ratios. Animals can either recycle nutrients within a habitat, or translocate nutrients across habitats or ecosystems. Nutrient translocation by relatively large animals may be particularly important for stimulating new primary production and for increasing nutrient standing stocks in recipient habitats. Animals also have numerous indirect effects on nutrient fluxes via effects on their prey or by modification of the physical environment. Future studies must quantify how the importance of animal-mediated nutrient cycling varies among taxa and along environmental gradients such as ecosystem size and productivity.","container-title":"Annual Review of Ecology and Systematics","DOI":"10.1146/annurev.ecolsys.33.010802.150519","issue":"1","note":"_eprint: https://doi.org/10.1146/annurev.ecolsys.33.010802.150519","page":"341-370","source":"Annual Reviews","title":"Nutrient Cycling by Animals in Freshwater Ecosystems","volume":"33","author":[{"family":"Vanni","given":"Michael J."}],"issued":{"date-parts":[["2002"]]}}}],"schema":"https://github.com/citation-style-language/schema/raw/master/csl-citation.json"} </w:instrText>
      </w:r>
      <w:r w:rsidR="001039E0" w:rsidRPr="00B748E3">
        <w:rPr>
          <w:rFonts w:ascii="Times New Roman" w:hAnsi="Times New Roman" w:cs="Times New Roman"/>
          <w:lang w:val="en-CA"/>
        </w:rPr>
        <w:fldChar w:fldCharType="separate"/>
      </w:r>
      <w:r w:rsidR="001039E0" w:rsidRPr="00B748E3">
        <w:rPr>
          <w:rFonts w:ascii="Times New Roman" w:hAnsi="Times New Roman" w:cs="Times New Roman"/>
          <w:noProof/>
          <w:lang w:val="en-CA"/>
        </w:rPr>
        <w:t>(Atkinson et al., 2017; Vanni, 2002)</w:t>
      </w:r>
      <w:r w:rsidR="001039E0" w:rsidRPr="00B748E3">
        <w:rPr>
          <w:rFonts w:ascii="Times New Roman" w:hAnsi="Times New Roman" w:cs="Times New Roman"/>
          <w:lang w:val="en-CA"/>
        </w:rPr>
        <w:fldChar w:fldCharType="end"/>
      </w:r>
      <w:r w:rsidR="001039E0" w:rsidRPr="00B748E3">
        <w:rPr>
          <w:rFonts w:ascii="Times New Roman" w:hAnsi="Times New Roman" w:cs="Times New Roman"/>
          <w:lang w:val="en-CA"/>
        </w:rPr>
        <w:t xml:space="preserve">, terrestrial </w:t>
      </w:r>
      <w:r w:rsidR="001039E0" w:rsidRPr="00B748E3">
        <w:rPr>
          <w:rFonts w:ascii="Times New Roman" w:hAnsi="Times New Roman" w:cs="Times New Roman"/>
          <w:lang w:val="en-CA"/>
        </w:rPr>
        <w:fldChar w:fldCharType="begin"/>
      </w:r>
      <w:r w:rsidR="001039E0" w:rsidRPr="00B748E3">
        <w:rPr>
          <w:rFonts w:ascii="Times New Roman" w:hAnsi="Times New Roman" w:cs="Times New Roman"/>
          <w:lang w:val="en-CA"/>
        </w:rPr>
        <w:instrText xml:space="preserve"> ADDIN ZOTERO_ITEM CSL_CITATION {"citationID":"RCgnACdG","properties":{"formattedCitation":"(McNaughton et al., 1988; Sitters et al., 2017)","plainCitation":"(McNaughton et al., 1988; Sitters et al., 2017)","noteIndex":0},"citationItems":[{"id":1583,"uris":["http://zotero.org/users/local/idKDtb7T/items/2U4WCD4B"],"uri":["http://zotero.org/users/local/idKDtb7T/items/2U4WCD4B"],"itemData":{"id":1583,"type":"article-journal","archive":"JSTOR","container-title":"BioScience","DOI":"10.2307/1310789","ISSN":"0006-3568","issue":"11","note":"publisher: [American Institute of Biological Sciences, Oxford University Press]","page":"794-800","source":"JSTOR","title":"Large Mammals and Process Dynamics in African Ecosystems","volume":"38","author":[{"family":"McNaughton","given":"S. J."},{"family":"Ruess","given":"R. W."},{"family":"Seagle","given":"S. W."}],"issued":{"date-parts":[["1988"]]}}},{"id":1611,"uris":["http://zotero.org/users/local/idKDtb7T/items/49GGZTDW"],"uri":["http://zotero.org/users/local/idKDtb7T/items/49GGZTDW"],"itemData":{"id":1611,"type":"article-journal","abstract":"It is widely recognized that the release of nutrients by herbivores via their waste products strongly impacts nutrient availability for autotrophs. The ratios of nitrogen (N) and phosphorus (P) recycled through herbivore release (i.e., waste N:P) are mainly determined by the stoichiometric composition of the herbivore’s food (food N:P) and its body nutrient content (body N:P). Waste N:P can in turn impact autotroph nutrient limitation and productivity. Herbivore-driven nutrient recycling based on stoichiometric principles is dominated by theoretical and experimental research in freshwater systems, in particular interactions between algae and invertebrate herbivores. In terrestrial ecosystems, the impact of herbivores on nutrient cycling and availability is often limited to studying carbon (C ):N and C:P ratios, while the role of terrestrial herbivores in mediating N:P ratios is also likely to influence herbivore-driven nutrient recycling. In this review, we use rules and predictions on the stoichiometry of nutrient release originating from algal-based aquatic systems to identify the factors that determine the stoichiometry of nutrient release by herbivores. We then explore how these rules can be used to understand the stoichiometry of nutrient release by terrestrial herbivores, ranging from invertebrates to mammals, and its impact on plant nutrient limitation and productivity. Future studies should focus on measuring both N and P when investigating herbivore-driven nutrient recycling in terrestrial ecosystems, while also taking the form of waste product (urine or feces) and other pathways by which herbivores change nutrients into account, to be able to quantify the impact of waste stoichiometry on plant communities.","container-title":"Frontiers in Earth Science","DOI":"10.3389/feart.2017.00032","ISSN":"2296-6463","journalAbbreviation":"Front. Earth Sci.","language":"English","note":"publisher: Frontiers","source":"Frontiers","title":"The Stoichiometry of Nutrient Release by Terrestrial Herbivores and Its Ecosystem Consequences","URL":"https://www.frontiersin.org/articles/10.3389/feart.2017.00032/full","volume":"5","author":[{"family":"Sitters","given":"Judith"},{"family":"Bakker","given":"Elisabeth S."},{"family":"Veldhuis","given":"Michiel P."},{"family":"Veen","given":"G. F."},{"family":"Olde Venterink","given":"Harry"},{"family":"Vanni","given":"Michael J."}],"accessed":{"date-parts":[["2020",8,20]]},"issued":{"date-parts":[["2017"]]}}}],"schema":"https://github.com/citation-style-language/schema/raw/master/csl-citation.json"} </w:instrText>
      </w:r>
      <w:r w:rsidR="001039E0" w:rsidRPr="00B748E3">
        <w:rPr>
          <w:rFonts w:ascii="Times New Roman" w:hAnsi="Times New Roman" w:cs="Times New Roman"/>
          <w:lang w:val="en-CA"/>
        </w:rPr>
        <w:fldChar w:fldCharType="separate"/>
      </w:r>
      <w:r w:rsidR="001039E0" w:rsidRPr="00B748E3">
        <w:rPr>
          <w:rFonts w:ascii="Times New Roman" w:hAnsi="Times New Roman" w:cs="Times New Roman"/>
          <w:noProof/>
          <w:lang w:val="en-CA"/>
        </w:rPr>
        <w:t>(McNaughton et al., 1988; Sitters et al., 2017)</w:t>
      </w:r>
      <w:r w:rsidR="001039E0" w:rsidRPr="00B748E3">
        <w:rPr>
          <w:rFonts w:ascii="Times New Roman" w:hAnsi="Times New Roman" w:cs="Times New Roman"/>
          <w:lang w:val="en-CA"/>
        </w:rPr>
        <w:fldChar w:fldCharType="end"/>
      </w:r>
      <w:r w:rsidR="001039E0" w:rsidRPr="00B748E3">
        <w:rPr>
          <w:rFonts w:ascii="Times New Roman" w:hAnsi="Times New Roman" w:cs="Times New Roman"/>
          <w:lang w:val="en-CA"/>
        </w:rPr>
        <w:t xml:space="preserve">, and marine ecosystems </w:t>
      </w:r>
      <w:r w:rsidR="001039E0" w:rsidRPr="00B748E3">
        <w:rPr>
          <w:rFonts w:ascii="Times New Roman" w:hAnsi="Times New Roman" w:cs="Times New Roman"/>
          <w:lang w:val="en-CA"/>
        </w:rPr>
        <w:fldChar w:fldCharType="begin"/>
      </w:r>
      <w:r w:rsidR="001039E0" w:rsidRPr="00B748E3">
        <w:rPr>
          <w:rFonts w:ascii="Times New Roman" w:hAnsi="Times New Roman" w:cs="Times New Roman"/>
          <w:lang w:val="en-CA"/>
        </w:rPr>
        <w:instrText xml:space="preserve"> ADDIN ZOTERO_ITEM CSL_CITATION {"citationID":"MRRtZVsQ","properties":{"formattedCitation":"(Allgeier et al., 2017; Meyer et al., 1983)","plainCitation":"(Allgeier et al., 2017; Meyer et al., 1983)","noteIndex":0},"citationItems":[{"id":1353,"uris":["http://zotero.org/users/local/idKDtb7T/items/MX8X9VD8"],"uri":["http://zotero.org/users/local/idKDtb7T/items/MX8X9VD8"],"itemData":{"id":1353,"type":"article-journal","abstract":"Humans have drastically altered the abundance of animals in marine ecosystems via exploitation. Reduced abundance can destabilize food webs, leading to cascading indirect effects that dramatically reorganize community structure and shift ecosystem function. However, the additional implications of these top-down changes for biogeochemical cycles via consumer-mediated nutrient dynamics (CND) are often overlooked in marine systems, particularly in coastal areas. Here, we review research that underscores the importance of this bottom-up control at local, regional, and global scales in coastal marine ecosystems, and the potential implications of anthropogenic change to fundamentally alter these processes. We focus attention on the two primary ways consumers affect nutrient dynamics, with emphasis on implications for the nutrient capacity of ecosystems: (1) the storage and retention of nutrients in biomass, and (2) the supply of nutrients via excretion and egestion. Nutrient storage in consumer biomass may be especially important in many marine ecosystems because consumers, as opposed to producers, often dominate organismal biomass. As for nutrient supply, we emphasize how consumers enhance primary production through both press and pulse dynamics. Looking forward, we explore the importance of CDN for improving theory (e.g., ecological stoichiometry, metabolic theory, and biodiversity–ecosystem function relationships), all in the context of global environmental change. Increasing research focus on CND will likely transform our perspectives on how consumers affect the functioning of marine ecosystems.","container-title":"Global Change Biology","DOI":"10.1111/gcb.13625","ISSN":"1365-2486","issue":"6","language":"en","note":"_eprint: https://onlinelibrary.wiley.com/doi/pdf/10.1111/gcb.13625","page":"2166-2178","source":"Wiley Online Library","title":"Animal pee in the sea: consumer-mediated nutrient dynamics in the world's changing oceans","title-short":"Animal pee in the sea","volume":"23","author":[{"family":"Allgeier","given":"Jacob E."},{"family":"Burkepile","given":"Deron E."},{"family":"Layman","given":"Craig A."}],"issued":{"date-parts":[["2017"]]}}},{"id":1608,"uris":["http://zotero.org/users/local/idKDtb7T/items/I64UAYPC"],"uri":["http://zotero.org/users/local/idKDtb7T/items/I64UAYPC"],"itemData":{"id":1608,"type":"article-journal","abstract":"Schools of juvenile haemulid fish feed in sea grass beds at night. By day they rest over coral heads, where they excrete substantial quantities of ammonium and particulate nitrogen and phosphorus into the nutrient-poor waters. The percentages of these nutrients contributed by the fish were comparable to those from other sources. Coral heads with resident fish schools grew faster than those without resident schools, indicating that fish may be more beneficial to the corals than has been assumed.","container-title":"Science","DOI":"10.1126/science.220.4601.1047","ISSN":"0036-8075, 1095-9203","issue":"4601","language":"en","note":"publisher: American Association for the Advancement of Science\nsection: Reports\nPMID: 17754550","page":"1047-1049","source":"science.sciencemag.org","title":"Fish Schools: An Asset to Corals","title-short":"Fish Schools","volume":"220","author":[{"family":"Meyer","given":"Judy L."},{"family":"Schultz","given":"Eric T."},{"family":"Helfman","given":"Gene S."}],"issued":{"date-parts":[["1983",6,3]]}}}],"schema":"https://github.com/citation-style-language/schema/raw/master/csl-citation.json"} </w:instrText>
      </w:r>
      <w:r w:rsidR="001039E0" w:rsidRPr="00B748E3">
        <w:rPr>
          <w:rFonts w:ascii="Times New Roman" w:hAnsi="Times New Roman" w:cs="Times New Roman"/>
          <w:lang w:val="en-CA"/>
        </w:rPr>
        <w:fldChar w:fldCharType="separate"/>
      </w:r>
      <w:r w:rsidR="001039E0" w:rsidRPr="00B748E3">
        <w:rPr>
          <w:rFonts w:ascii="Times New Roman" w:hAnsi="Times New Roman" w:cs="Times New Roman"/>
          <w:noProof/>
          <w:lang w:val="en-CA"/>
        </w:rPr>
        <w:t>(Allgeier et al., 2017; Meyer et al., 1983)</w:t>
      </w:r>
      <w:r w:rsidR="001039E0" w:rsidRPr="00B748E3">
        <w:rPr>
          <w:rFonts w:ascii="Times New Roman" w:hAnsi="Times New Roman" w:cs="Times New Roman"/>
          <w:lang w:val="en-CA"/>
        </w:rPr>
        <w:fldChar w:fldCharType="end"/>
      </w:r>
      <w:r w:rsidR="001039E0" w:rsidRPr="00B748E3">
        <w:rPr>
          <w:rFonts w:ascii="Times New Roman" w:hAnsi="Times New Roman" w:cs="Times New Roman"/>
          <w:lang w:val="en-CA"/>
        </w:rPr>
        <w:t>.</w:t>
      </w:r>
    </w:p>
    <w:p w:rsidR="005F380A" w:rsidRPr="00B748E3" w:rsidRDefault="005F380A" w:rsidP="005F380A">
      <w:pPr>
        <w:spacing w:line="360" w:lineRule="auto"/>
        <w:rPr>
          <w:rFonts w:ascii="Times New Roman" w:hAnsi="Times New Roman" w:cs="Times New Roman"/>
          <w:lang w:val="en-CA"/>
        </w:rPr>
      </w:pPr>
    </w:p>
    <w:p w:rsidR="008B5AEA" w:rsidRPr="00B748E3" w:rsidRDefault="005F380A" w:rsidP="00394894">
      <w:pPr>
        <w:spacing w:line="360" w:lineRule="auto"/>
        <w:ind w:firstLine="720"/>
        <w:rPr>
          <w:rFonts w:ascii="Times New Roman" w:hAnsi="Times New Roman" w:cs="Times New Roman"/>
        </w:rPr>
      </w:pPr>
      <w:r w:rsidRPr="00B748E3">
        <w:rPr>
          <w:rFonts w:ascii="Times New Roman" w:hAnsi="Times New Roman" w:cs="Times New Roman"/>
          <w:lang w:val="en-CA"/>
        </w:rPr>
        <w:t xml:space="preserve">In marine </w:t>
      </w:r>
      <w:r w:rsidR="008B5AEA" w:rsidRPr="00B748E3">
        <w:rPr>
          <w:rFonts w:ascii="Times New Roman" w:hAnsi="Times New Roman" w:cs="Times New Roman"/>
          <w:lang w:val="en-CA"/>
        </w:rPr>
        <w:t>ecosystems</w:t>
      </w:r>
      <w:r w:rsidR="00AE2CF0" w:rsidRPr="00B748E3">
        <w:rPr>
          <w:rFonts w:ascii="Times New Roman" w:hAnsi="Times New Roman" w:cs="Times New Roman"/>
          <w:lang w:val="en-CA"/>
        </w:rPr>
        <w:t>,</w:t>
      </w:r>
      <w:r w:rsidRPr="00B748E3">
        <w:rPr>
          <w:rFonts w:ascii="Times New Roman" w:hAnsi="Times New Roman" w:cs="Times New Roman"/>
          <w:lang w:val="en-CA"/>
        </w:rPr>
        <w:t xml:space="preserve"> nitrogen</w:t>
      </w:r>
      <w:r w:rsidR="00AA0D89" w:rsidRPr="00B748E3">
        <w:rPr>
          <w:rFonts w:ascii="Times New Roman" w:hAnsi="Times New Roman" w:cs="Times New Roman"/>
          <w:lang w:val="en-CA"/>
        </w:rPr>
        <w:t xml:space="preserve"> is an important limiting nutrient </w:t>
      </w:r>
      <w:r w:rsidR="00AA0D89" w:rsidRPr="00B748E3">
        <w:rPr>
          <w:rFonts w:ascii="Times New Roman" w:hAnsi="Times New Roman" w:cs="Times New Roman"/>
          <w:lang w:val="en-CA"/>
        </w:rPr>
        <w:fldChar w:fldCharType="begin"/>
      </w:r>
      <w:r w:rsidR="00F71C05" w:rsidRPr="00B748E3">
        <w:rPr>
          <w:rFonts w:ascii="Times New Roman" w:hAnsi="Times New Roman" w:cs="Times New Roman"/>
          <w:lang w:val="en-CA"/>
        </w:rPr>
        <w:instrText xml:space="preserve"> ADDIN ZOTERO_ITEM CSL_CITATION {"citationID":"XoAxh7g3","properties":{"formattedCitation":"(Ryther and Dunstan, 1971)","plainCitation":"(Ryther and Dunstan, 1971)","noteIndex":0},"citationItems":[{"id":1591,"uris":["http://zotero.org/users/local/idKDtb7T/items/MGX8SE2A"],"uri":["http://zotero.org/users/local/idKDtb7T/items/MGX8SE2A"],"itemData":{"id":1591,"type":"article-journal","abstract":"The distribution of inorganic nitrogen and phosphorus and bioassay experiments both show that nitrogen is the critical limiting factor to algal growth and eutrophication in coastal marine waters. About twice the amount of phosphate as can be used by the algae is normally present. This surplus results from the low nitrogen to phosphorus ratio in terrigenous contributions, including human waste, and from the fact that phosphorus regenerates more quickly than ammonia from decomposing organic matter. Removal of phosphate from detergents is therefore not likely to slow the eutrophication of coastal marine waters, and its replacement with nitrogen-containing nitrilotriacetic acid may worsen the situation.","container-title":"Science","DOI":"10.1126/science.171.3975.1008","ISSN":"0036-8075, 1095-9203","issue":"3975","language":"en","note":"publisher: American Association for the Advancement of Science\nsection: Reports\nPMID: 4993386","page":"1008-1013","source":"science.sciencemag.org","title":"Nitrogen, Phosphorus, and Eutrophication in the Coastal Marine Environment","volume":"171","author":[{"family":"Ryther","given":"John H."},{"family":"Dunstan","given":"William M."}],"issued":{"date-parts":[["1971",3,12]]}}}],"schema":"https://github.com/citation-style-language/schema/raw/master/csl-citation.json"} </w:instrText>
      </w:r>
      <w:r w:rsidR="00AA0D89" w:rsidRPr="00B748E3">
        <w:rPr>
          <w:rFonts w:ascii="Times New Roman" w:hAnsi="Times New Roman" w:cs="Times New Roman"/>
          <w:lang w:val="en-CA"/>
        </w:rPr>
        <w:fldChar w:fldCharType="separate"/>
      </w:r>
      <w:r w:rsidR="00F71C05" w:rsidRPr="00B748E3">
        <w:rPr>
          <w:rFonts w:ascii="Times New Roman" w:hAnsi="Times New Roman" w:cs="Times New Roman"/>
          <w:noProof/>
          <w:lang w:val="en-CA"/>
        </w:rPr>
        <w:t>(Ryther and Dunstan, 1971)</w:t>
      </w:r>
      <w:r w:rsidR="00AA0D89" w:rsidRPr="00B748E3">
        <w:rPr>
          <w:rFonts w:ascii="Times New Roman" w:hAnsi="Times New Roman" w:cs="Times New Roman"/>
          <w:lang w:val="en-CA"/>
        </w:rPr>
        <w:fldChar w:fldCharType="end"/>
      </w:r>
      <w:r w:rsidR="00AA0D89" w:rsidRPr="00B748E3">
        <w:rPr>
          <w:rFonts w:ascii="Times New Roman" w:hAnsi="Times New Roman" w:cs="Times New Roman"/>
          <w:lang w:val="en-CA"/>
        </w:rPr>
        <w:t xml:space="preserve">. </w:t>
      </w:r>
      <w:r w:rsidR="00394894" w:rsidRPr="00B748E3">
        <w:rPr>
          <w:rFonts w:ascii="Times New Roman" w:hAnsi="Times New Roman" w:cs="Times New Roman"/>
          <w:lang w:val="en-CA"/>
        </w:rPr>
        <w:t xml:space="preserve">Kelp growth is limited by the availability of nitrogen </w:t>
      </w:r>
      <w:r w:rsidR="00394894" w:rsidRPr="00B748E3">
        <w:rPr>
          <w:rFonts w:ascii="Times New Roman" w:hAnsi="Times New Roman" w:cs="Times New Roman"/>
          <w:lang w:val="en-CA"/>
        </w:rPr>
        <w:fldChar w:fldCharType="begin"/>
      </w:r>
      <w:r w:rsidR="00394894" w:rsidRPr="00B748E3">
        <w:rPr>
          <w:rFonts w:ascii="Times New Roman" w:hAnsi="Times New Roman" w:cs="Times New Roman"/>
          <w:lang w:val="en-CA"/>
        </w:rPr>
        <w:instrText xml:space="preserve"> ADDIN ZOTERO_ITEM CSL_CITATION {"citationID":"l5HKp89T","properties":{"formattedCitation":"(Jackson, 1977)","plainCitation":"(Jackson, 1977)","noteIndex":0},"citationItems":[{"id":1620,"uris":["http://zotero.org/users/local/idKDtb7T/items/3QLLVAAC"],"uri":["http://zotero.org/users/local/idKDtb7T/items/3QLLVAAC"],"itemData":{"id":1620,"type":"article-journal","abstract":"Concentrations of nutrients in the vicinity of the giant kelp (Macrocystis pyrifera) off San Diego, California, varied seasonally. Surface nitrate concentrations were low for most of the year $(usually &lt;1 \\muM)$, higher during winter. Nitrate concentrations below 4.5-m depth usually exceeded $1 \\muM$ and were highest during spring upwelling, lowest during summer. Nutrients in the kelp bed were not depleted by the kelp nor enhanced by sediment regeneration, implying relatively fast exchange between water in the bed and outside waters. Nutrient concentrations varied at different longshore locations. The condition most limiting to M. pyrifera was probably the low concentration of dissolved nutrients, especially nitrogenous substances, near the sea surface. Translocation of nitrogenous compounds by the kelp plant from depths where concentrations are higher could compensate for this limitation. The summer die-off of the surface canopy may be caused by the inability of plants to translocate nutrients due to low availability of nutrients in the deeper water. The maximum change in dissolved oxygen measured was 0.43 mol O2 m-2 between 0900 and 1130 PST; extrapolated to 1 day this yields a production of 1.0 mol O2 m-2 d-1 (9.5 g C m-2 d-1).","archive":"JSTOR","container-title":"Limnology and Oceanography","ISSN":"0024-3590","issue":"6","page":"979-995","source":"JSTOR","title":"Nutrients and Production of Giant Kelp, Macrocystis pyrifera, Off Southern California","volume":"22","author":[{"family":"Jackson","given":"George A."}],"issued":{"date-parts":[["1977"]]}}}],"schema":"https://github.com/citation-style-language/schema/raw/master/csl-citation.json"} </w:instrText>
      </w:r>
      <w:r w:rsidR="00394894" w:rsidRPr="00B748E3">
        <w:rPr>
          <w:rFonts w:ascii="Times New Roman" w:hAnsi="Times New Roman" w:cs="Times New Roman"/>
          <w:lang w:val="en-CA"/>
        </w:rPr>
        <w:fldChar w:fldCharType="separate"/>
      </w:r>
      <w:r w:rsidR="00394894" w:rsidRPr="00B748E3">
        <w:rPr>
          <w:rFonts w:ascii="Times New Roman" w:hAnsi="Times New Roman" w:cs="Times New Roman"/>
          <w:noProof/>
          <w:lang w:val="en-CA"/>
        </w:rPr>
        <w:t>(Jackson, 1977)</w:t>
      </w:r>
      <w:r w:rsidR="00394894" w:rsidRPr="00B748E3">
        <w:rPr>
          <w:rFonts w:ascii="Times New Roman" w:hAnsi="Times New Roman" w:cs="Times New Roman"/>
          <w:lang w:val="en-CA"/>
        </w:rPr>
        <w:fldChar w:fldCharType="end"/>
      </w:r>
      <w:r w:rsidR="00394894" w:rsidRPr="00B748E3">
        <w:rPr>
          <w:rFonts w:ascii="Times New Roman" w:hAnsi="Times New Roman" w:cs="Times New Roman"/>
          <w:lang w:val="en-CA"/>
        </w:rPr>
        <w:t>, as are other types of algae, as well as seagrasses and phytoplankton. As such, sources of nitrogen in marine ecosystems can have large effects on the productivity and composition of communities. Sources of nitrogen include upwelling (nitrate), animal regeneration (ammonium and urea), nitrogen fixation (), and terrestrial inputs ()</w:t>
      </w:r>
      <w:r w:rsidR="00394894" w:rsidRPr="00B748E3">
        <w:rPr>
          <w:rFonts w:ascii="Times New Roman" w:hAnsi="Times New Roman" w:cs="Times New Roman"/>
        </w:rPr>
        <w:t xml:space="preserve"> </w:t>
      </w:r>
      <w:r w:rsidR="009B5BF5" w:rsidRPr="00B748E3">
        <w:rPr>
          <w:rFonts w:ascii="Times New Roman" w:hAnsi="Times New Roman" w:cs="Times New Roman"/>
          <w:lang w:val="en-CA"/>
        </w:rPr>
        <w:fldChar w:fldCharType="begin"/>
      </w:r>
      <w:r w:rsidR="009B5BF5" w:rsidRPr="00B748E3">
        <w:rPr>
          <w:rFonts w:ascii="Times New Roman" w:hAnsi="Times New Roman" w:cs="Times New Roman"/>
          <w:lang w:val="en-CA"/>
        </w:rPr>
        <w:instrText xml:space="preserve"> ADDIN ZOTERO_ITEM CSL_CITATION {"citationID":"wWx6Jpks","properties":{"formattedCitation":"(Fram et al., 2008)","plainCitation":"(Fram et al., 2008)","noteIndex":0},"citationItems":[{"id":1617,"uris":["http://zotero.org/users/local/idKDtb7T/items/TD4HCY2F"],"uri":["http://zotero.org/users/local/idKDtb7T/items/TD4HCY2F"],"itemData":{"id":1617,"type":"article-journal","abstract":"To determine the relative importance of different sources of nitrate to the annual nitrogen needs of the giant kelp Macrocystis pyrifera, we measured ambient nitrate concentrations at a kelp forest for 13 months and characterized nitrate delivery using water column thermal structure and flow data collected in the forest and at its offshore edge. The forest's monthly nitrate supply varied by a factor of 50, while measured net nitrogen acquisition varied only fivefold. Maximum net nitrogen acquisition rates for fronds in the forest interior were 0.18 mmol N g−1 month−1 during spring upwelling in 2005 and declined fourfold during autumn until upwelling resumed the following year. Modeled gross nitrogen uptake with consideration of Michaelis–Menten kinetics for nitrate and mass transfer limitation was higher than observed net acquisition except during the warm stratified summer and autumn months, when net acquisition exceeded modeled gross uptake. This shortfall indicates that the kelp forest received over half its nitrogen from sources other than nitrate such as ammonium from epibionts. Most of the nitrate in the forest was delivered as a result of upwelling-favorable winds and convection. Internal waves and local streams contributed &lt;9% of the nitrate delivered to the forest on an annual basis and 20% during stratified periods. Kelp used less than 5% of the nitrate supplied to the forest. Nitrate delivery to this modest sized kelp forest was roughly equivalent between alongshore (45%) and cross-shore flows (55%), which distinguishes it from large kelp forests in which cross-shore flows dominate exchange.","container-title":"Limnology and Oceanography","DOI":"10.4319/lo.2008.53.4.1589","ISSN":"1939-5590","issue":"4","language":"en","note":"_eprint: https://aslopubs.onlinelibrary.wiley.com/doi/pdf/10.4319/lo.2008.53.4.1589","page":"1589-1603","source":"Wiley Online Library","title":"Physical pathways and utilization of nitrate supply to the giant kelp, Macrocystis pyrifera","volume":"53","author":[{"family":"Fram","given":"Jonathan P."},{"family":"Stewart","given":"Hannah L."},{"family":"Brzezinski","given":"Mark A."},{"family":"Gaylord","given":"Brian"},{"family":"Reed","given":"Daniel C."},{"family":"Williams","given":"Susan L."},{"family":"MacIntyre","given":"Sally"}],"issued":{"date-parts":[["2008"]]}}}],"schema":"https://github.com/citation-style-language/schema/raw/master/csl-citation.json"} </w:instrText>
      </w:r>
      <w:r w:rsidR="009B5BF5" w:rsidRPr="00B748E3">
        <w:rPr>
          <w:rFonts w:ascii="Times New Roman" w:hAnsi="Times New Roman" w:cs="Times New Roman"/>
          <w:lang w:val="en-CA"/>
        </w:rPr>
        <w:fldChar w:fldCharType="separate"/>
      </w:r>
      <w:r w:rsidR="009B5BF5" w:rsidRPr="00B748E3">
        <w:rPr>
          <w:rFonts w:ascii="Times New Roman" w:hAnsi="Times New Roman" w:cs="Times New Roman"/>
          <w:noProof/>
          <w:lang w:val="en-CA"/>
        </w:rPr>
        <w:t>(Fram et al., 2008)</w:t>
      </w:r>
      <w:r w:rsidR="009B5BF5" w:rsidRPr="00B748E3">
        <w:rPr>
          <w:rFonts w:ascii="Times New Roman" w:hAnsi="Times New Roman" w:cs="Times New Roman"/>
          <w:lang w:val="en-CA"/>
        </w:rPr>
        <w:fldChar w:fldCharType="end"/>
      </w:r>
      <w:r w:rsidR="00CB69EC" w:rsidRPr="00B748E3">
        <w:rPr>
          <w:rFonts w:ascii="Times New Roman" w:hAnsi="Times New Roman" w:cs="Times New Roman"/>
          <w:lang w:val="en-CA"/>
        </w:rPr>
        <w:t xml:space="preserve">. </w:t>
      </w:r>
      <w:r w:rsidR="009B5BF5" w:rsidRPr="00B748E3">
        <w:rPr>
          <w:rFonts w:ascii="Times New Roman" w:hAnsi="Times New Roman" w:cs="Times New Roman"/>
          <w:lang w:val="en-CA"/>
        </w:rPr>
        <w:t>Animals contribute nutrients in the form of ammonium, which is a preferred form of nitrogen for primary producers</w:t>
      </w:r>
      <w:r w:rsidR="00CB69EC" w:rsidRPr="00B748E3">
        <w:rPr>
          <w:rFonts w:ascii="Times New Roman" w:hAnsi="Times New Roman" w:cs="Times New Roman"/>
          <w:lang w:val="en-CA"/>
        </w:rPr>
        <w:t xml:space="preserve"> and is available for direct uptake </w:t>
      </w:r>
      <w:r w:rsidR="00CB69EC" w:rsidRPr="00B748E3">
        <w:rPr>
          <w:rFonts w:ascii="Times New Roman" w:hAnsi="Times New Roman" w:cs="Times New Roman"/>
          <w:lang w:val="en-CA"/>
        </w:rPr>
        <w:fldChar w:fldCharType="begin"/>
      </w:r>
      <w:r w:rsidR="00CB69EC" w:rsidRPr="00B748E3">
        <w:rPr>
          <w:rFonts w:ascii="Times New Roman" w:hAnsi="Times New Roman" w:cs="Times New Roman"/>
          <w:lang w:val="en-CA"/>
        </w:rPr>
        <w:instrText xml:space="preserve"> ADDIN ZOTERO_ITEM CSL_CITATION {"citationID":"D7bTcm6Z","properties":{"formattedCitation":"(Phillips and Hurd, 2004)","plainCitation":"(Phillips and Hurd, 2004)","noteIndex":0},"citationItems":[{"id":1613,"uris":["http://zotero.org/users/local/idKDtb7T/items/VEZZGSKC"],"uri":["http://zotero.org/users/local/idKDtb7T/items/VEZZGSKC"],"itemData":{"id":1613,"type":"article-journal","abstract":"The competitive ability for N uptake by four intertidal seaweeds, Stictosiphonia arbuscula (Harvey) King et Puttock, Apophlaea lyallii Hook. f. et Harvey, Scytothamnus australis Hook. f. et Harvey, and Xiphophora gladiata (Labillardière) Montagne ex Harvey, from New Zealand is described by the uptake kinetics for NO3−, NH4+, and urea. This is the first study to report uptake kinetics for N uptake by a range of southern hemisphere intertidal seaweeds in relation to season and zonation. Species growing at the highest shore positions had higher NO3− and urea uptake at both high and low concentrations and had unsaturable NH4+ uptake in both summer and winter. Although there was evidence of some feedback inhibition of Vmax for NO3− uptake by Stictosiphonia arbuscula growing at the lower vertical limits of its range, rates were high compared with species growing lower on the shore. Our results highlight the superior competitive ability for N uptake of certain high intertidal seaweeds, and consistent with our previous findings we can conclude that intertidal seaweeds in southeast New Zealand are adapted to maximizing N acquisition in a potentially N-limiting environment.","container-title":"Journal of Phycology","DOI":"10.1111/j.1529-8817.2004.03157.x","ISSN":"1529-8817","issue":"3","language":"en","note":"_eprint: https://onlinelibrary.wiley.com/doi/pdf/10.1111/j.1529-8817.2004.03157.x","page":"534-545","source":"Wiley Online Library","title":"Kinetics of Nitrate, Ammonium, and Urea Uptake by Four Intertidal Seaweeds from New Zealand1","volume":"40","author":[{"family":"Phillips","given":"Julia C."},{"family":"Hurd","given":"Catriona L."}],"issued":{"date-parts":[["2004"]]}}}],"schema":"https://github.com/citation-style-language/schema/raw/master/csl-citation.json"} </w:instrText>
      </w:r>
      <w:r w:rsidR="00CB69EC" w:rsidRPr="00B748E3">
        <w:rPr>
          <w:rFonts w:ascii="Times New Roman" w:hAnsi="Times New Roman" w:cs="Times New Roman"/>
          <w:lang w:val="en-CA"/>
        </w:rPr>
        <w:fldChar w:fldCharType="separate"/>
      </w:r>
      <w:r w:rsidR="00CB69EC" w:rsidRPr="00B748E3">
        <w:rPr>
          <w:rFonts w:ascii="Times New Roman" w:hAnsi="Times New Roman" w:cs="Times New Roman"/>
          <w:noProof/>
          <w:lang w:val="en-CA"/>
        </w:rPr>
        <w:t>(Phillips and Hurd, 2004)</w:t>
      </w:r>
      <w:r w:rsidR="00CB69EC" w:rsidRPr="00B748E3">
        <w:rPr>
          <w:rFonts w:ascii="Times New Roman" w:hAnsi="Times New Roman" w:cs="Times New Roman"/>
          <w:lang w:val="en-CA"/>
        </w:rPr>
        <w:fldChar w:fldCharType="end"/>
      </w:r>
      <w:r w:rsidR="00CB69EC" w:rsidRPr="00B748E3">
        <w:rPr>
          <w:rFonts w:ascii="Times New Roman" w:hAnsi="Times New Roman" w:cs="Times New Roman"/>
          <w:lang w:val="en-CA"/>
        </w:rPr>
        <w:t xml:space="preserve">. </w:t>
      </w:r>
      <w:r w:rsidR="008B5AEA" w:rsidRPr="00B748E3">
        <w:rPr>
          <w:rFonts w:ascii="Times New Roman" w:hAnsi="Times New Roman" w:cs="Times New Roman"/>
          <w:lang w:val="en-CA"/>
        </w:rPr>
        <w:t>Despite the widespread assumption is that CND less important in high nutrient temperate waters, empirical tests for global scale patterns of CND effects on primary producers are limited.</w:t>
      </w:r>
      <w:r w:rsidR="00CB69EC" w:rsidRPr="00B748E3">
        <w:rPr>
          <w:rFonts w:ascii="Times New Roman" w:hAnsi="Times New Roman" w:cs="Times New Roman"/>
          <w:lang w:val="en-CA"/>
        </w:rPr>
        <w:t xml:space="preserve"> </w:t>
      </w:r>
      <w:r w:rsidR="00472977" w:rsidRPr="00B748E3">
        <w:rPr>
          <w:rFonts w:ascii="Times New Roman" w:hAnsi="Times New Roman" w:cs="Times New Roman"/>
          <w:lang w:val="en-CA"/>
        </w:rPr>
        <w:t>I</w:t>
      </w:r>
      <w:r w:rsidR="00CB69EC" w:rsidRPr="00B748E3">
        <w:rPr>
          <w:rFonts w:ascii="Times New Roman" w:hAnsi="Times New Roman" w:cs="Times New Roman"/>
          <w:lang w:val="en-CA"/>
        </w:rPr>
        <w:t xml:space="preserve">n a rocky reef system animal derived ammonium contributed more to overall nitrogen budgets than </w:t>
      </w:r>
      <w:r w:rsidR="009B5BF5" w:rsidRPr="00B748E3">
        <w:rPr>
          <w:rFonts w:ascii="Times New Roman" w:hAnsi="Times New Roman" w:cs="Times New Roman"/>
          <w:lang w:val="en-CA"/>
        </w:rPr>
        <w:t>nitrates</w:t>
      </w:r>
      <w:r w:rsidR="00CB69EC" w:rsidRPr="00B748E3">
        <w:rPr>
          <w:rFonts w:ascii="Times New Roman" w:hAnsi="Times New Roman" w:cs="Times New Roman"/>
          <w:lang w:val="en-CA"/>
        </w:rPr>
        <w:t xml:space="preserve"> from upwelling </w:t>
      </w:r>
      <w:r w:rsidR="00CB69EC" w:rsidRPr="00B748E3">
        <w:rPr>
          <w:rFonts w:ascii="Times New Roman" w:hAnsi="Times New Roman" w:cs="Times New Roman"/>
          <w:lang w:val="en-CA"/>
        </w:rPr>
        <w:fldChar w:fldCharType="begin"/>
      </w:r>
      <w:r w:rsidR="00CB69EC" w:rsidRPr="00B748E3">
        <w:rPr>
          <w:rFonts w:ascii="Times New Roman" w:hAnsi="Times New Roman" w:cs="Times New Roman"/>
          <w:lang w:val="en-CA"/>
        </w:rPr>
        <w:instrText xml:space="preserve"> ADDIN ZOTERO_ITEM CSL_CITATION {"citationID":"pizSXWUC","properties":{"formattedCitation":"(Pfister et al., 2014)","plainCitation":"(Pfister et al., 2014)","noteIndex":0},"citationItems":[{"id":1572,"uris":["http://zotero.org/users/local/idKDtb7T/items/Z39FCYT6"],"uri":["http://zotero.org/users/local/idKDtb7T/items/Z39FCYT6"],"itemData":{"id":1572,"type":"article-journal","abstract":"Animal contributions to ecosystem productivity via nutrient regeneration are increasingly recognized as significant for ecosystem productivity. The paradigm in coastal upwelling systems, in contrast, remains centered around the idea that nutrient supply is extrinsic and sourced from deep water. Here we tested for both animal contributions to nitrogen regeneration and microbial retention of nitrogen along a gradient of animal abundance in Washington State, USA. Using inferences from the concentration and isotopic composition of nitrogen forms, as well as the stable nitrogen isotopic composition of particulate organic matter, and plant and animal tissue, we found increased ammonium as well as greater stable nitrogen isotope values in these organisms in areas of increased animal abundance. We further tested the effect of the nearshore biota by comparing it with an immediately adjacent offshore area, and found an enriched δ15N value for nitrate and particulate organic matter. Further, an analysis of the dual isotopes of δ15N and the δ18O of nitrate indicated increasing microbial processing in the nearshore. Isoscapes, or the spatial pattern of stable isotopes, revealed that animal and microbial processing of nitrogen leave a consistent signature and are thus a previously overlooked and essential component of nearshore productivity.","container-title":"Ecology","DOI":"10.1890/13-1825.1","ISSN":"1939-9170","issue":"10","language":"en","note":"_eprint: https://esajournals.onlinelibrary.wiley.com/doi/pdf/10.1890/13-1825.1","page":"2803-2814","source":"Wiley Online Library","title":"Animal regeneration and microbial retention of nitrogen along coastal rocky shores","volume":"95","author":[{"family":"Pfister","given":"Catherine A."},{"family":"Altabet","given":"Mark A."},{"family":"Post","given":"David"}],"issued":{"date-parts":[["2014"]]}}}],"schema":"https://github.com/citation-style-language/schema/raw/master/csl-citation.json"} </w:instrText>
      </w:r>
      <w:r w:rsidR="00CB69EC" w:rsidRPr="00B748E3">
        <w:rPr>
          <w:rFonts w:ascii="Times New Roman" w:hAnsi="Times New Roman" w:cs="Times New Roman"/>
          <w:lang w:val="en-CA"/>
        </w:rPr>
        <w:fldChar w:fldCharType="separate"/>
      </w:r>
      <w:r w:rsidR="00CB69EC" w:rsidRPr="00B748E3">
        <w:rPr>
          <w:rFonts w:ascii="Times New Roman" w:hAnsi="Times New Roman" w:cs="Times New Roman"/>
          <w:noProof/>
          <w:lang w:val="en-CA"/>
        </w:rPr>
        <w:t>(Pfister et al., 2014)</w:t>
      </w:r>
      <w:r w:rsidR="00CB69EC" w:rsidRPr="00B748E3">
        <w:rPr>
          <w:rFonts w:ascii="Times New Roman" w:hAnsi="Times New Roman" w:cs="Times New Roman"/>
          <w:lang w:val="en-CA"/>
        </w:rPr>
        <w:fldChar w:fldCharType="end"/>
      </w:r>
      <w:r w:rsidR="00CB69EC" w:rsidRPr="00B748E3">
        <w:rPr>
          <w:rFonts w:ascii="Times New Roman" w:hAnsi="Times New Roman" w:cs="Times New Roman"/>
          <w:lang w:val="en-CA"/>
        </w:rPr>
        <w:t>. On a temporal scale, animal recycled nitrogen in the form of ammonium was much more important when upwelling was not occurring</w:t>
      </w:r>
      <w:r w:rsidR="00F5124D" w:rsidRPr="00B748E3">
        <w:rPr>
          <w:rFonts w:ascii="Times New Roman" w:hAnsi="Times New Roman" w:cs="Times New Roman"/>
          <w:lang w:val="en-CA"/>
        </w:rPr>
        <w:t xml:space="preserve">, suggesting that CND could still play a significant roll in upwelling regions during relaxation or downwelling periods. This suggests that there may </w:t>
      </w:r>
      <w:r w:rsidR="00F5124D" w:rsidRPr="00B748E3">
        <w:rPr>
          <w:rFonts w:ascii="Times New Roman" w:hAnsi="Times New Roman" w:cs="Times New Roman"/>
          <w:lang w:val="en-CA"/>
        </w:rPr>
        <w:lastRenderedPageBreak/>
        <w:t xml:space="preserve">be a temporal and spatial variation in the importance of CND, but we must be careful not to make assumptions about relative importance of these processes. </w:t>
      </w:r>
    </w:p>
    <w:p w:rsidR="00272EE3" w:rsidRPr="00B748E3" w:rsidRDefault="00272EE3" w:rsidP="00F5124D">
      <w:pPr>
        <w:spacing w:line="360" w:lineRule="auto"/>
        <w:rPr>
          <w:rFonts w:ascii="Times New Roman" w:hAnsi="Times New Roman" w:cs="Times New Roman"/>
          <w:lang w:val="en-CA"/>
        </w:rPr>
      </w:pPr>
    </w:p>
    <w:p w:rsidR="00212B39" w:rsidRPr="00B748E3" w:rsidRDefault="00272EE3" w:rsidP="000D389D">
      <w:pPr>
        <w:spacing w:line="360" w:lineRule="auto"/>
        <w:ind w:firstLine="720"/>
        <w:rPr>
          <w:rFonts w:ascii="Times New Roman" w:hAnsi="Times New Roman" w:cs="Times New Roman"/>
          <w:lang w:val="en-CA"/>
        </w:rPr>
      </w:pPr>
      <w:r w:rsidRPr="00B748E3">
        <w:rPr>
          <w:rFonts w:ascii="Times New Roman" w:hAnsi="Times New Roman" w:cs="Times New Roman"/>
          <w:lang w:val="en-CA"/>
        </w:rPr>
        <w:t>We conduct</w:t>
      </w:r>
      <w:r w:rsidR="00212B39" w:rsidRPr="00B748E3">
        <w:rPr>
          <w:rFonts w:ascii="Times New Roman" w:hAnsi="Times New Roman" w:cs="Times New Roman"/>
          <w:lang w:val="en-CA"/>
        </w:rPr>
        <w:t>ed</w:t>
      </w:r>
      <w:r w:rsidRPr="00B748E3">
        <w:rPr>
          <w:rFonts w:ascii="Times New Roman" w:hAnsi="Times New Roman" w:cs="Times New Roman"/>
          <w:lang w:val="en-CA"/>
        </w:rPr>
        <w:t xml:space="preserve"> a meta</w:t>
      </w:r>
      <w:r w:rsidR="00212B39" w:rsidRPr="00B748E3">
        <w:rPr>
          <w:rFonts w:ascii="Times New Roman" w:hAnsi="Times New Roman" w:cs="Times New Roman"/>
          <w:lang w:val="en-CA"/>
        </w:rPr>
        <w:t>-</w:t>
      </w:r>
      <w:r w:rsidRPr="00B748E3">
        <w:rPr>
          <w:rFonts w:ascii="Times New Roman" w:hAnsi="Times New Roman" w:cs="Times New Roman"/>
          <w:lang w:val="en-CA"/>
        </w:rPr>
        <w:t xml:space="preserve">analysis </w:t>
      </w:r>
      <w:r w:rsidR="00212B39" w:rsidRPr="00B748E3">
        <w:rPr>
          <w:rFonts w:ascii="Times New Roman" w:hAnsi="Times New Roman" w:cs="Times New Roman"/>
          <w:lang w:val="en-CA"/>
        </w:rPr>
        <w:t xml:space="preserve">of studies that measured the effect of animal provisioned nutrients on primary producers. We sought to quantify and compare the effect sizes between temperate and tropical regions to test the hypothesis that animal provisioned nutrients are more important in </w:t>
      </w:r>
      <w:r w:rsidR="00F5124D" w:rsidRPr="00B748E3">
        <w:rPr>
          <w:rFonts w:ascii="Times New Roman" w:hAnsi="Times New Roman" w:cs="Times New Roman"/>
          <w:lang w:val="en-CA"/>
        </w:rPr>
        <w:t>oligotrophic</w:t>
      </w:r>
      <w:r w:rsidR="00212B39" w:rsidRPr="00B748E3">
        <w:rPr>
          <w:rFonts w:ascii="Times New Roman" w:hAnsi="Times New Roman" w:cs="Times New Roman"/>
          <w:lang w:val="en-CA"/>
        </w:rPr>
        <w:t xml:space="preserve"> waters</w:t>
      </w:r>
      <w:r w:rsidR="00394894" w:rsidRPr="00B748E3">
        <w:rPr>
          <w:rFonts w:ascii="Times New Roman" w:hAnsi="Times New Roman" w:cs="Times New Roman"/>
          <w:lang w:val="en-CA"/>
        </w:rPr>
        <w:t>.</w:t>
      </w:r>
      <w:r w:rsidR="005D2978" w:rsidRPr="00B748E3">
        <w:rPr>
          <w:rFonts w:ascii="Times New Roman" w:hAnsi="Times New Roman" w:cs="Times New Roman"/>
          <w:lang w:val="en-CA"/>
        </w:rPr>
        <w:t xml:space="preserve"> </w:t>
      </w:r>
      <w:r w:rsidR="00472977" w:rsidRPr="00B748E3">
        <w:rPr>
          <w:rFonts w:ascii="Times New Roman" w:hAnsi="Times New Roman" w:cs="Times New Roman"/>
          <w:lang w:val="en-CA"/>
        </w:rPr>
        <w:t>Th</w:t>
      </w:r>
      <w:r w:rsidR="00F5124D" w:rsidRPr="00B748E3">
        <w:rPr>
          <w:rFonts w:ascii="Times New Roman" w:hAnsi="Times New Roman" w:cs="Times New Roman"/>
          <w:lang w:val="en-CA"/>
        </w:rPr>
        <w:t>is research will strengthen our understanding of the importance of consumers in mediating not just top down processes, but also bottom up processes</w:t>
      </w:r>
      <w:r w:rsidR="00792DA2" w:rsidRPr="00B748E3">
        <w:rPr>
          <w:rFonts w:ascii="Times New Roman" w:hAnsi="Times New Roman" w:cs="Times New Roman"/>
          <w:lang w:val="en-CA"/>
        </w:rPr>
        <w:t xml:space="preserve"> on a global</w:t>
      </w:r>
      <w:r w:rsidR="00F5124D" w:rsidRPr="00B748E3">
        <w:rPr>
          <w:rFonts w:ascii="Times New Roman" w:hAnsi="Times New Roman" w:cs="Times New Roman"/>
          <w:lang w:val="en-CA"/>
        </w:rPr>
        <w:t>. Further, we hope this work will bolster an appreciation for the importance of species that might otherwise be overlooked in high nutrient temperate areas</w:t>
      </w:r>
      <w:r w:rsidR="00472977" w:rsidRPr="00B748E3">
        <w:rPr>
          <w:rFonts w:ascii="Times New Roman" w:hAnsi="Times New Roman" w:cs="Times New Roman"/>
          <w:lang w:val="en-CA"/>
        </w:rPr>
        <w:t>.</w:t>
      </w:r>
    </w:p>
    <w:p w:rsidR="00472977" w:rsidRPr="00B748E3" w:rsidRDefault="00472977" w:rsidP="000D389D">
      <w:pPr>
        <w:spacing w:line="360" w:lineRule="auto"/>
        <w:ind w:firstLine="720"/>
        <w:rPr>
          <w:rFonts w:ascii="Times New Roman" w:hAnsi="Times New Roman" w:cs="Times New Roman"/>
          <w:lang w:val="en-CA"/>
        </w:rPr>
      </w:pPr>
    </w:p>
    <w:p w:rsidR="00696A7B" w:rsidRPr="00B748E3" w:rsidRDefault="00696A7B" w:rsidP="000D389D">
      <w:pPr>
        <w:spacing w:line="360" w:lineRule="auto"/>
        <w:rPr>
          <w:rFonts w:ascii="Times New Roman" w:hAnsi="Times New Roman" w:cs="Times New Roman"/>
          <w:u w:val="single"/>
          <w:lang w:val="en-CA"/>
        </w:rPr>
      </w:pPr>
      <w:r w:rsidRPr="00B748E3">
        <w:rPr>
          <w:rFonts w:ascii="Times New Roman" w:hAnsi="Times New Roman" w:cs="Times New Roman"/>
          <w:u w:val="single"/>
          <w:lang w:val="en-CA"/>
        </w:rPr>
        <w:t>Methods</w:t>
      </w:r>
    </w:p>
    <w:p w:rsidR="001C546F" w:rsidRPr="00B748E3" w:rsidRDefault="00D622A8" w:rsidP="000D389D">
      <w:pPr>
        <w:spacing w:line="360" w:lineRule="auto"/>
        <w:ind w:firstLine="720"/>
        <w:rPr>
          <w:rFonts w:ascii="Times New Roman" w:hAnsi="Times New Roman" w:cs="Times New Roman"/>
        </w:rPr>
      </w:pPr>
      <w:r w:rsidRPr="00B748E3">
        <w:rPr>
          <w:rFonts w:ascii="Times New Roman" w:hAnsi="Times New Roman" w:cs="Times New Roman"/>
          <w:lang w:val="en-CA"/>
        </w:rPr>
        <w:t>We</w:t>
      </w:r>
      <w:r w:rsidR="00212B39" w:rsidRPr="00B748E3">
        <w:rPr>
          <w:rFonts w:ascii="Times New Roman" w:hAnsi="Times New Roman" w:cs="Times New Roman"/>
          <w:lang w:val="en-CA"/>
        </w:rPr>
        <w:t xml:space="preserve"> conducted a meta-analysis of existing literature investigating the effect of animal provisioned nutrients on primary producers. In Web of Science, we used the search string </w:t>
      </w:r>
      <w:r w:rsidR="00212B39" w:rsidRPr="00B748E3">
        <w:rPr>
          <w:rFonts w:ascii="Times New Roman" w:hAnsi="Times New Roman" w:cs="Times New Roman"/>
        </w:rPr>
        <w:t>TS= ((</w:t>
      </w:r>
      <w:proofErr w:type="spellStart"/>
      <w:r w:rsidR="00212B39" w:rsidRPr="00B748E3">
        <w:rPr>
          <w:rFonts w:ascii="Times New Roman" w:hAnsi="Times New Roman" w:cs="Times New Roman"/>
        </w:rPr>
        <w:t>ammon</w:t>
      </w:r>
      <w:proofErr w:type="spellEnd"/>
      <w:r w:rsidR="00212B39" w:rsidRPr="00B748E3">
        <w:rPr>
          <w:rFonts w:ascii="Times New Roman" w:hAnsi="Times New Roman" w:cs="Times New Roman"/>
        </w:rPr>
        <w:t xml:space="preserve">* OR </w:t>
      </w:r>
      <w:proofErr w:type="spellStart"/>
      <w:r w:rsidR="00212B39" w:rsidRPr="00B748E3">
        <w:rPr>
          <w:rFonts w:ascii="Times New Roman" w:hAnsi="Times New Roman" w:cs="Times New Roman"/>
        </w:rPr>
        <w:t>nitrog</w:t>
      </w:r>
      <w:proofErr w:type="spellEnd"/>
      <w:r w:rsidR="00212B39" w:rsidRPr="00B748E3">
        <w:rPr>
          <w:rFonts w:ascii="Times New Roman" w:hAnsi="Times New Roman" w:cs="Times New Roman"/>
        </w:rPr>
        <w:t xml:space="preserve">* OR </w:t>
      </w:r>
      <w:proofErr w:type="spellStart"/>
      <w:r w:rsidR="00212B39" w:rsidRPr="00B748E3">
        <w:rPr>
          <w:rFonts w:ascii="Times New Roman" w:hAnsi="Times New Roman" w:cs="Times New Roman"/>
        </w:rPr>
        <w:t>phosph</w:t>
      </w:r>
      <w:proofErr w:type="spellEnd"/>
      <w:r w:rsidR="00212B39" w:rsidRPr="00B748E3">
        <w:rPr>
          <w:rFonts w:ascii="Times New Roman" w:hAnsi="Times New Roman" w:cs="Times New Roman"/>
        </w:rPr>
        <w:t>* OR nutrient) AND (</w:t>
      </w:r>
      <w:proofErr w:type="spellStart"/>
      <w:r w:rsidR="00212B39" w:rsidRPr="00B748E3">
        <w:rPr>
          <w:rFonts w:ascii="Times New Roman" w:hAnsi="Times New Roman" w:cs="Times New Roman"/>
        </w:rPr>
        <w:t>excret</w:t>
      </w:r>
      <w:proofErr w:type="spellEnd"/>
      <w:r w:rsidR="00212B39" w:rsidRPr="00B748E3">
        <w:rPr>
          <w:rFonts w:ascii="Times New Roman" w:hAnsi="Times New Roman" w:cs="Times New Roman"/>
        </w:rPr>
        <w:t xml:space="preserve">* OR egest* OR mutual* OR </w:t>
      </w:r>
      <w:proofErr w:type="spellStart"/>
      <w:r w:rsidR="00212B39" w:rsidRPr="00B748E3">
        <w:rPr>
          <w:rFonts w:ascii="Times New Roman" w:hAnsi="Times New Roman" w:cs="Times New Roman"/>
        </w:rPr>
        <w:t>symbio</w:t>
      </w:r>
      <w:proofErr w:type="spellEnd"/>
      <w:r w:rsidR="00212B39" w:rsidRPr="00B748E3">
        <w:rPr>
          <w:rFonts w:ascii="Times New Roman" w:hAnsi="Times New Roman" w:cs="Times New Roman"/>
        </w:rPr>
        <w:t>* OR subsid* OR consumer-</w:t>
      </w:r>
      <w:proofErr w:type="spellStart"/>
      <w:r w:rsidR="00212B39" w:rsidRPr="00B748E3">
        <w:rPr>
          <w:rFonts w:ascii="Times New Roman" w:hAnsi="Times New Roman" w:cs="Times New Roman"/>
        </w:rPr>
        <w:t>mediat</w:t>
      </w:r>
      <w:proofErr w:type="spellEnd"/>
      <w:r w:rsidR="00212B39" w:rsidRPr="00B748E3">
        <w:rPr>
          <w:rFonts w:ascii="Times New Roman" w:hAnsi="Times New Roman" w:cs="Times New Roman"/>
        </w:rPr>
        <w:t xml:space="preserve">*) AND (coral* OR kelp* OR alga* OR macroalgae OR microalgae OR phytoplankton OR </w:t>
      </w:r>
      <w:proofErr w:type="spellStart"/>
      <w:r w:rsidR="00212B39" w:rsidRPr="00B748E3">
        <w:rPr>
          <w:rFonts w:ascii="Times New Roman" w:hAnsi="Times New Roman" w:cs="Times New Roman"/>
        </w:rPr>
        <w:t>zooxanthell</w:t>
      </w:r>
      <w:proofErr w:type="spellEnd"/>
      <w:r w:rsidR="00212B39" w:rsidRPr="00B748E3">
        <w:rPr>
          <w:rFonts w:ascii="Times New Roman" w:hAnsi="Times New Roman" w:cs="Times New Roman"/>
        </w:rPr>
        <w:t xml:space="preserve">* OR primary prod* OR seagrass* OR sea grass* OR seaweed* OR mangrove*) AND (reef OR subtidal OR intertidal OR coast* OR marine OR benthic OR coral OR kelp) AND (grow* OR grew OR biomass OR abundance OR weight)) to find 1,257 publications. We refined this list by only including articles of proceedings papers, which narrowed the results to 1,164 </w:t>
      </w:r>
      <w:r w:rsidRPr="00B748E3">
        <w:rPr>
          <w:rFonts w:ascii="Times New Roman" w:hAnsi="Times New Roman" w:cs="Times New Roman"/>
        </w:rPr>
        <w:t>hits</w:t>
      </w:r>
      <w:r w:rsidR="00212B39" w:rsidRPr="00B748E3">
        <w:rPr>
          <w:rFonts w:ascii="Times New Roman" w:hAnsi="Times New Roman" w:cs="Times New Roman"/>
        </w:rPr>
        <w:t xml:space="preserve">. Then, we </w:t>
      </w:r>
      <w:r w:rsidR="001509B4" w:rsidRPr="00B748E3">
        <w:rPr>
          <w:rFonts w:ascii="Times New Roman" w:hAnsi="Times New Roman" w:cs="Times New Roman"/>
        </w:rPr>
        <w:t>removed</w:t>
      </w:r>
      <w:r w:rsidRPr="00B748E3">
        <w:rPr>
          <w:rFonts w:ascii="Times New Roman" w:hAnsi="Times New Roman" w:cs="Times New Roman"/>
        </w:rPr>
        <w:t xml:space="preserve"> publications that were not included in the Web of Science categories: Marine Freshwater Biology, Environmental Engineering, Ecology, Oceanography, Zoology, Environmental Studies, Limnology, Multidisciplinary Sciences, Biology,  Plant Sciences, Fisheries, or Biodiversity Conservation, resulting in 1,006 titles. We supplemented this list by conducting a search in the database of Aquatic Sciences and Fisheries Abstracts on August 13, 2020, using the same search string. This second search resulted in 1,428 potential publications, which narrowed to 1,169 once we included only scholarly literature and reports. We excluded the subjects: freshwater, bacteria, aquaculture, lakes, rivers, cyanobacteria, biogeochemistry, and nitrogen fixation to further narrow the results to 784 hits. We merged these two searches to result in 1429 publications once duplicates were removed. </w:t>
      </w:r>
    </w:p>
    <w:p w:rsidR="00212B39" w:rsidRPr="00B748E3" w:rsidRDefault="00D622A8" w:rsidP="000D389D">
      <w:pPr>
        <w:spacing w:line="360" w:lineRule="auto"/>
        <w:ind w:firstLine="720"/>
        <w:rPr>
          <w:rFonts w:ascii="Times New Roman" w:hAnsi="Times New Roman" w:cs="Times New Roman"/>
          <w:lang w:val="en-CA"/>
        </w:rPr>
      </w:pPr>
      <w:r w:rsidRPr="00B748E3">
        <w:rPr>
          <w:rFonts w:ascii="Times New Roman" w:hAnsi="Times New Roman" w:cs="Times New Roman"/>
        </w:rPr>
        <w:lastRenderedPageBreak/>
        <w:t xml:space="preserve">We scanned titles for inclusion, based on the following criteria: 1) </w:t>
      </w:r>
      <w:r w:rsidR="00472977" w:rsidRPr="00B748E3">
        <w:rPr>
          <w:rFonts w:ascii="Times New Roman" w:hAnsi="Times New Roman" w:cs="Times New Roman"/>
        </w:rPr>
        <w:t>s</w:t>
      </w:r>
      <w:r w:rsidRPr="00B748E3">
        <w:rPr>
          <w:rFonts w:ascii="Times New Roman" w:hAnsi="Times New Roman" w:cs="Times New Roman"/>
        </w:rPr>
        <w:t xml:space="preserve">tudy conducted in a marine environment, 2) </w:t>
      </w:r>
      <w:r w:rsidR="00472977" w:rsidRPr="00B748E3">
        <w:rPr>
          <w:rFonts w:ascii="Times New Roman" w:hAnsi="Times New Roman" w:cs="Times New Roman"/>
        </w:rPr>
        <w:t>a</w:t>
      </w:r>
      <w:r w:rsidRPr="00B748E3">
        <w:rPr>
          <w:rFonts w:ascii="Times New Roman" w:hAnsi="Times New Roman" w:cs="Times New Roman"/>
        </w:rPr>
        <w:t xml:space="preserve">nimals are the primary source of nutrient provisioning, and 3) primary producers were measured in response to this nutrient provisioning. This resulted in 199 potential publications, which </w:t>
      </w:r>
      <w:r w:rsidR="00472977" w:rsidRPr="00B748E3">
        <w:rPr>
          <w:rFonts w:ascii="Times New Roman" w:hAnsi="Times New Roman" w:cs="Times New Roman"/>
        </w:rPr>
        <w:t>we</w:t>
      </w:r>
      <w:r w:rsidRPr="00B748E3">
        <w:rPr>
          <w:rFonts w:ascii="Times New Roman" w:hAnsi="Times New Roman" w:cs="Times New Roman"/>
        </w:rPr>
        <w:t xml:space="preserve"> will screen for inclusion based on abstracts. </w:t>
      </w:r>
    </w:p>
    <w:p w:rsidR="00212B39" w:rsidRPr="00B748E3" w:rsidRDefault="00212B39" w:rsidP="000D389D">
      <w:pPr>
        <w:spacing w:line="360" w:lineRule="auto"/>
        <w:rPr>
          <w:rFonts w:ascii="Times New Roman" w:hAnsi="Times New Roman" w:cs="Times New Roman"/>
          <w:lang w:val="en-CA"/>
        </w:rPr>
      </w:pPr>
    </w:p>
    <w:p w:rsidR="00696A7B" w:rsidRPr="00B748E3" w:rsidRDefault="00696A7B" w:rsidP="000D389D">
      <w:pPr>
        <w:spacing w:line="360" w:lineRule="auto"/>
        <w:rPr>
          <w:rFonts w:ascii="Times New Roman" w:hAnsi="Times New Roman" w:cs="Times New Roman"/>
          <w:u w:val="single"/>
          <w:lang w:val="en-CA"/>
        </w:rPr>
      </w:pPr>
      <w:r w:rsidRPr="00B748E3">
        <w:rPr>
          <w:rFonts w:ascii="Times New Roman" w:hAnsi="Times New Roman" w:cs="Times New Roman"/>
          <w:u w:val="single"/>
          <w:lang w:val="en-CA"/>
        </w:rPr>
        <w:t>PRISMA flow diagram</w:t>
      </w:r>
    </w:p>
    <w:sectPr w:rsidR="00696A7B" w:rsidRPr="00B748E3" w:rsidSect="00817E6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A7B"/>
    <w:rsid w:val="000035C2"/>
    <w:rsid w:val="000368E0"/>
    <w:rsid w:val="000D389D"/>
    <w:rsid w:val="001039E0"/>
    <w:rsid w:val="001430E3"/>
    <w:rsid w:val="001438DD"/>
    <w:rsid w:val="001509B4"/>
    <w:rsid w:val="0019580B"/>
    <w:rsid w:val="001C0E84"/>
    <w:rsid w:val="001C546F"/>
    <w:rsid w:val="00212B39"/>
    <w:rsid w:val="00244413"/>
    <w:rsid w:val="00272EE3"/>
    <w:rsid w:val="002D3816"/>
    <w:rsid w:val="00364D60"/>
    <w:rsid w:val="00394894"/>
    <w:rsid w:val="00470685"/>
    <w:rsid w:val="00472977"/>
    <w:rsid w:val="005D2978"/>
    <w:rsid w:val="005F380A"/>
    <w:rsid w:val="00647BC6"/>
    <w:rsid w:val="00696A7B"/>
    <w:rsid w:val="006A2C8D"/>
    <w:rsid w:val="00792DA2"/>
    <w:rsid w:val="00817E60"/>
    <w:rsid w:val="0084590D"/>
    <w:rsid w:val="008B5AEA"/>
    <w:rsid w:val="008B6630"/>
    <w:rsid w:val="00922C2B"/>
    <w:rsid w:val="00982C03"/>
    <w:rsid w:val="009B5BF5"/>
    <w:rsid w:val="009C2911"/>
    <w:rsid w:val="009C2971"/>
    <w:rsid w:val="00A10494"/>
    <w:rsid w:val="00AA0D89"/>
    <w:rsid w:val="00AD66D9"/>
    <w:rsid w:val="00AE2CF0"/>
    <w:rsid w:val="00B748E3"/>
    <w:rsid w:val="00CB69EC"/>
    <w:rsid w:val="00D61619"/>
    <w:rsid w:val="00D622A8"/>
    <w:rsid w:val="00DE23FA"/>
    <w:rsid w:val="00DF1A9E"/>
    <w:rsid w:val="00E42532"/>
    <w:rsid w:val="00E80FB1"/>
    <w:rsid w:val="00EB30F5"/>
    <w:rsid w:val="00ED4745"/>
    <w:rsid w:val="00F340C3"/>
    <w:rsid w:val="00F5124D"/>
    <w:rsid w:val="00F71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0BCBF1"/>
  <w14:defaultImageDpi w14:val="32767"/>
  <w15:chartTrackingRefBased/>
  <w15:docId w15:val="{FE3E5766-F182-E944-8C75-3442A5ADD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6065057">
      <w:bodyDiv w:val="1"/>
      <w:marLeft w:val="0"/>
      <w:marRight w:val="0"/>
      <w:marTop w:val="0"/>
      <w:marBottom w:val="0"/>
      <w:divBdr>
        <w:top w:val="none" w:sz="0" w:space="0" w:color="auto"/>
        <w:left w:val="none" w:sz="0" w:space="0" w:color="auto"/>
        <w:bottom w:val="none" w:sz="0" w:space="0" w:color="auto"/>
        <w:right w:val="none" w:sz="0" w:space="0" w:color="auto"/>
      </w:divBdr>
    </w:div>
    <w:div w:id="262035011">
      <w:bodyDiv w:val="1"/>
      <w:marLeft w:val="0"/>
      <w:marRight w:val="0"/>
      <w:marTop w:val="0"/>
      <w:marBottom w:val="0"/>
      <w:divBdr>
        <w:top w:val="none" w:sz="0" w:space="0" w:color="auto"/>
        <w:left w:val="none" w:sz="0" w:space="0" w:color="auto"/>
        <w:bottom w:val="none" w:sz="0" w:space="0" w:color="auto"/>
        <w:right w:val="none" w:sz="0" w:space="0" w:color="auto"/>
      </w:divBdr>
      <w:divsChild>
        <w:div w:id="1631205550">
          <w:marLeft w:val="0"/>
          <w:marRight w:val="0"/>
          <w:marTop w:val="0"/>
          <w:marBottom w:val="0"/>
          <w:divBdr>
            <w:top w:val="none" w:sz="0" w:space="0" w:color="auto"/>
            <w:left w:val="none" w:sz="0" w:space="0" w:color="auto"/>
            <w:bottom w:val="none" w:sz="0" w:space="0" w:color="auto"/>
            <w:right w:val="none" w:sz="0" w:space="0" w:color="auto"/>
          </w:divBdr>
          <w:divsChild>
            <w:div w:id="995915924">
              <w:marLeft w:val="0"/>
              <w:marRight w:val="0"/>
              <w:marTop w:val="0"/>
              <w:marBottom w:val="0"/>
              <w:divBdr>
                <w:top w:val="none" w:sz="0" w:space="0" w:color="auto"/>
                <w:left w:val="none" w:sz="0" w:space="0" w:color="auto"/>
                <w:bottom w:val="none" w:sz="0" w:space="0" w:color="auto"/>
                <w:right w:val="none" w:sz="0" w:space="0" w:color="auto"/>
              </w:divBdr>
              <w:divsChild>
                <w:div w:id="154471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626308">
      <w:bodyDiv w:val="1"/>
      <w:marLeft w:val="0"/>
      <w:marRight w:val="0"/>
      <w:marTop w:val="0"/>
      <w:marBottom w:val="0"/>
      <w:divBdr>
        <w:top w:val="none" w:sz="0" w:space="0" w:color="auto"/>
        <w:left w:val="none" w:sz="0" w:space="0" w:color="auto"/>
        <w:bottom w:val="none" w:sz="0" w:space="0" w:color="auto"/>
        <w:right w:val="none" w:sz="0" w:space="0" w:color="auto"/>
      </w:divBdr>
      <w:divsChild>
        <w:div w:id="398483083">
          <w:marLeft w:val="0"/>
          <w:marRight w:val="0"/>
          <w:marTop w:val="0"/>
          <w:marBottom w:val="0"/>
          <w:divBdr>
            <w:top w:val="none" w:sz="0" w:space="0" w:color="auto"/>
            <w:left w:val="none" w:sz="0" w:space="0" w:color="auto"/>
            <w:bottom w:val="none" w:sz="0" w:space="0" w:color="auto"/>
            <w:right w:val="none" w:sz="0" w:space="0" w:color="auto"/>
          </w:divBdr>
          <w:divsChild>
            <w:div w:id="2092193382">
              <w:marLeft w:val="0"/>
              <w:marRight w:val="0"/>
              <w:marTop w:val="0"/>
              <w:marBottom w:val="0"/>
              <w:divBdr>
                <w:top w:val="none" w:sz="0" w:space="0" w:color="auto"/>
                <w:left w:val="none" w:sz="0" w:space="0" w:color="auto"/>
                <w:bottom w:val="none" w:sz="0" w:space="0" w:color="auto"/>
                <w:right w:val="none" w:sz="0" w:space="0" w:color="auto"/>
              </w:divBdr>
              <w:divsChild>
                <w:div w:id="11157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295646">
      <w:bodyDiv w:val="1"/>
      <w:marLeft w:val="0"/>
      <w:marRight w:val="0"/>
      <w:marTop w:val="0"/>
      <w:marBottom w:val="0"/>
      <w:divBdr>
        <w:top w:val="none" w:sz="0" w:space="0" w:color="auto"/>
        <w:left w:val="none" w:sz="0" w:space="0" w:color="auto"/>
        <w:bottom w:val="none" w:sz="0" w:space="0" w:color="auto"/>
        <w:right w:val="none" w:sz="0" w:space="0" w:color="auto"/>
      </w:divBdr>
    </w:div>
    <w:div w:id="1361394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3</Pages>
  <Words>5521</Words>
  <Characters>31475</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 Lim</dc:creator>
  <cp:keywords/>
  <dc:description/>
  <cp:lastModifiedBy>Em Lim</cp:lastModifiedBy>
  <cp:revision>31</cp:revision>
  <dcterms:created xsi:type="dcterms:W3CDTF">2020-08-17T22:28:00Z</dcterms:created>
  <dcterms:modified xsi:type="dcterms:W3CDTF">2020-08-21T16:13:00Z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zotero-version="5.0.89"&gt;&lt;session id="SbAlvM0m"/&gt;&lt;style id="http://www.zotero.org/styles/journal-of-experimental-marine-biology-and-ecology" hasBibliography="1" bibliographyStyleHasBeenSet="0"/&gt;&lt;prefs&gt;&lt;pref name="fieldType" value="Fi</vt:lpwstr>
  </property>
  <property fmtid="{D5CDD505-2E9C-101B-9397-08002B2CF9AE}" pid="3" name="ZOTERO_PREF_2">
    <vt:lpwstr>eld"/&gt;&lt;/prefs&gt;&lt;/data&gt;</vt:lpwstr>
  </property>
</Properties>
</file>