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626266"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bookmarkStart w:id="3" w:name="_GoBack"/>
      <w:bookmarkEnd w:id="3"/>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21A4578E"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4"/>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4"/>
      <w:r w:rsidR="007508A3">
        <w:rPr>
          <w:rStyle w:val="CommentReference"/>
        </w:rPr>
        <w:commentReference w:id="4"/>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fertilization, but seedlings from nutrient-rich soil which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w:t>
      </w:r>
      <w:r>
        <w:rPr>
          <w:rFonts w:ascii="Times New Roman" w:hAnsi="Times New Roman" w:cs="Times New Roman"/>
          <w:lang w:val="en-CA"/>
        </w:rPr>
        <w:lastRenderedPageBreak/>
        <w:t xml:space="preserve">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5"/>
      <w:r w:rsidR="00917464" w:rsidRPr="00F05738">
        <w:rPr>
          <w:rFonts w:ascii="Times New Roman" w:hAnsi="Times New Roman" w:cs="Times New Roman"/>
          <w:color w:val="000000"/>
          <w:lang w:val="en-CA"/>
        </w:rPr>
        <w:t xml:space="preserve">ome </w:t>
      </w:r>
      <w:commentRangeEnd w:id="5"/>
      <w:r w:rsidR="00B7738A">
        <w:rPr>
          <w:rStyle w:val="CommentReference"/>
        </w:rPr>
        <w:commentReference w:id="5"/>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 xml:space="preserve">(Phillips and Hurd, </w:t>
      </w:r>
      <w:r w:rsidR="001B7617">
        <w:rPr>
          <w:rFonts w:ascii="Times New Roman" w:hAnsi="Times New Roman" w:cs="Times New Roman"/>
        </w:rPr>
        <w:lastRenderedPageBreak/>
        <w:t>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6"/>
      <w:r w:rsidR="00051670" w:rsidRPr="00F51928">
        <w:rPr>
          <w:rFonts w:ascii="Times New Roman" w:hAnsi="Times New Roman" w:cs="Times New Roman"/>
          <w:lang w:val="en-CA"/>
        </w:rPr>
        <w:t>input</w:t>
      </w:r>
      <w:commentRangeEnd w:id="6"/>
      <w:r w:rsidR="000547F8">
        <w:rPr>
          <w:rStyle w:val="CommentReference"/>
        </w:rPr>
        <w:commentReference w:id="6"/>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7591B8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lastRenderedPageBreak/>
        <w:t>Methods</w:t>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41221D83" w:rsidR="006E1049" w:rsidRPr="00955049" w:rsidRDefault="00D622A8" w:rsidP="00AD76D4">
      <w:pPr>
        <w:spacing w:line="360" w:lineRule="auto"/>
        <w:ind w:firstLine="720"/>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AD76D4">
        <w:rPr>
          <w:rFonts w:ascii="Times New Roman" w:hAnsi="Times New Roman" w:cs="Times New Roman"/>
          <w:lang w:val="en-CA"/>
        </w:rPr>
        <w:t xml:space="preserve">We identified five key elements that needed to appear in a paper for consideration: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72578B6E"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7"/>
      <w:r w:rsidR="007D588D" w:rsidRPr="00D47552">
        <w:rPr>
          <w:rFonts w:ascii="Times New Roman" w:hAnsi="Times New Roman" w:cs="Times New Roman"/>
          <w:highlight w:val="yellow"/>
        </w:rPr>
        <w:t>growth, abundance, weight</w:t>
      </w:r>
      <w:r w:rsidR="005E4743">
        <w:rPr>
          <w:rFonts w:ascii="Times New Roman" w:hAnsi="Times New Roman" w:cs="Times New Roman"/>
          <w:highlight w:val="yellow"/>
        </w:rPr>
        <w:t xml:space="preserve">, </w:t>
      </w:r>
      <w:proofErr w:type="spellStart"/>
      <w:r w:rsidR="005E4743">
        <w:rPr>
          <w:rFonts w:ascii="Times New Roman" w:hAnsi="Times New Roman" w:cs="Times New Roman"/>
          <w:highlight w:val="yellow"/>
        </w:rPr>
        <w:t>etc</w:t>
      </w:r>
      <w:proofErr w:type="spellEnd"/>
      <w:r w:rsidR="007D588D" w:rsidRPr="00D47552">
        <w:rPr>
          <w:rFonts w:ascii="Times New Roman" w:hAnsi="Times New Roman" w:cs="Times New Roman"/>
          <w:highlight w:val="yellow"/>
        </w:rPr>
        <w:t xml:space="preserve"> </w:t>
      </w:r>
      <w:commentRangeEnd w:id="7"/>
      <w:r w:rsidR="005E4743">
        <w:rPr>
          <w:rStyle w:val="CommentReference"/>
        </w:rPr>
        <w:commentReference w:id="7"/>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w:t>
      </w:r>
      <w:r w:rsidR="00AD76D4">
        <w:rPr>
          <w:rFonts w:ascii="Times New Roman" w:hAnsi="Times New Roman" w:cs="Times New Roman"/>
        </w:rPr>
        <w:lastRenderedPageBreak/>
        <w:t xml:space="preserve">first scanned all titles and abstracts of publications to determine if the articles met our criteria. 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41280A88" w:rsidR="00AF3F14" w:rsidRDefault="00173B11" w:rsidP="00173B11">
      <w:pPr>
        <w:spacing w:line="360" w:lineRule="auto"/>
        <w:ind w:firstLine="720"/>
        <w:rPr>
          <w:rFonts w:ascii="Times New Roman" w:hAnsi="Times New Roman" w:cs="Times New Roman"/>
        </w:rPr>
      </w:pPr>
      <w:r>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 xml:space="preserve">When instantaneous measurements (e.g. oxygen production) were made at multiple time points we included all time points. When data were only available in graph form, we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t>(https://automeris.io/WebPlotDigitizer/)</w:t>
      </w:r>
      <w:r w:rsidR="002C050C">
        <w:rPr>
          <w:rFonts w:ascii="Times New Roman" w:hAnsi="Times New Roman" w:cs="Times New Roman"/>
        </w:rPr>
        <w:t xml:space="preserve"> to extract the means and standard deviations.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0C51473D"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hen coordinates weren’t 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we used the latitude and longitude of the study site nearest to the center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was 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19</w:t>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the same location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w:t>
      </w:r>
      <w:r>
        <w:rPr>
          <w:rFonts w:ascii="Times New Roman" w:hAnsi="Times New Roman" w:cs="Times New Roman"/>
        </w:rPr>
        <w:lastRenderedPageBreak/>
        <w:t xml:space="preserve">author’s characterization of the nutrient availability at their study site and ensured the proxy sites 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77777777" w:rsidR="00E772EE"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examined latitude, temperature, background nutrient concentration, experimental design, and primary producer taxa as potential moderators of the effect of animal-mediated nutrient provisioning. </w:t>
      </w:r>
      <w:r w:rsidR="00FA6ACC">
        <w:rPr>
          <w:rFonts w:ascii="Times New Roman" w:hAnsi="Times New Roman" w:cs="Times New Roman"/>
        </w:rPr>
        <w:t xml:space="preserve">We considered grouping primary producers into finer taxonomic levels (e.g., splitting fleshy and crustose algae, or seagrass and mangroves) but preliminary models with these finer groupings did not improve model fit, and we did not detect significant differences between finer groups within our chosen broader categories. We also investigated the effect of the consumer’s taxa or activity level but there were no subgroup differences and inclusion of this did not improve the model. We also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158E0456"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 xml:space="preserve">mean. Effect sizes cannot be calculated for mean values less than or equal to zero (n = 9),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145342">
        <w:rPr>
          <w:rFonts w:ascii="Times New Roman" w:hAnsi="Times New Roman" w:cs="Times New Roman"/>
        </w:rPr>
        <w:t>We determined that absolute latitude, temperature, and background nutrients were correlated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with VIF values of </w:t>
      </w:r>
      <w:r w:rsidR="00145342" w:rsidRPr="005317EB">
        <w:rPr>
          <w:rFonts w:ascii="Times New Roman" w:hAnsi="Times New Roman" w:cs="Times New Roman"/>
        </w:rPr>
        <w:t>6.</w:t>
      </w:r>
      <w:r w:rsidR="00DF3C0B">
        <w:rPr>
          <w:rFonts w:ascii="Times New Roman" w:hAnsi="Times New Roman" w:cs="Times New Roman"/>
        </w:rPr>
        <w:t>0</w:t>
      </w:r>
      <w:r w:rsidR="00504E41">
        <w:rPr>
          <w:rFonts w:ascii="Times New Roman" w:hAnsi="Times New Roman" w:cs="Times New Roman"/>
        </w:rPr>
        <w:t>3</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72</w:t>
      </w:r>
      <w:r w:rsidR="00145342">
        <w:rPr>
          <w:rFonts w:ascii="Times New Roman" w:hAnsi="Times New Roman" w:cs="Times New Roman"/>
        </w:rPr>
        <w:t xml:space="preserve"> respectively.</w:t>
      </w:r>
      <w:r w:rsidR="006149A7">
        <w:rPr>
          <w:rFonts w:ascii="Times New Roman" w:hAnsi="Times New Roman" w:cs="Times New Roman"/>
        </w:rPr>
        <w:t xml:space="preserve"> Therefore</w:t>
      </w:r>
      <w:r w:rsidR="00DF3C0B">
        <w:rPr>
          <w:rFonts w:ascii="Times New Roman" w:hAnsi="Times New Roman" w:cs="Times New Roman"/>
        </w:rPr>
        <w:t>,</w:t>
      </w:r>
      <w:r w:rsidR="006149A7">
        <w:rPr>
          <w:rFonts w:ascii="Times New Roman" w:hAnsi="Times New Roman" w:cs="Times New Roman"/>
        </w:rPr>
        <w:t xml:space="preserve"> we were 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03C7E884"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 xml:space="preserve">) and </w:t>
      </w:r>
      <w:r w:rsidR="006149A7">
        <w:rPr>
          <w:rFonts w:ascii="Times New Roman" w:hAnsi="Times New Roman" w:cs="Times New Roman"/>
        </w:rPr>
        <w:lastRenderedPageBreak/>
        <w:t>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5317EB">
        <w:rPr>
          <w:rFonts w:ascii="Times New Roman" w:hAnsi="Times New Roman" w:cs="Times New Roman"/>
        </w:rPr>
        <w:t>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against a null model 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66D548BA" w:rsidR="00B47A3A" w:rsidRDefault="00457F19" w:rsidP="00457F19">
      <w:pPr>
        <w:spacing w:line="360" w:lineRule="auto"/>
        <w:rPr>
          <w:ins w:id="8" w:author="Em Lim" w:date="2023-03-23T11:22:00Z"/>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00626266" w:rsidRPr="00626266">
        <w:rPr>
          <w:rFonts w:ascii="Times New Roman" w:hAnsi="Times New Roman" w:cs="Times New Roman"/>
        </w:rPr>
        <w:t>50,340</w:t>
      </w:r>
      <w:r w:rsidR="00626266" w:rsidRPr="00626266" w:rsidDel="00626266">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r w:rsidR="00E00154">
        <w:rPr>
          <w:rFonts w:ascii="Times New Roman" w:hAnsi="Times New Roman" w:cs="Times New Roman"/>
        </w:rPr>
        <w:t>) and visually inspected them for evidence of biases in the published effect sizes.</w:t>
      </w:r>
    </w:p>
    <w:p w14:paraId="456277C8" w14:textId="77777777" w:rsidR="00750A08" w:rsidRDefault="00750A08" w:rsidP="00750A0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807C9B3" wp14:editId="6DD1B204">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6D9A003B" w14:textId="77777777" w:rsidR="00750A08" w:rsidRDefault="00750A08" w:rsidP="00750A08">
      <w:pPr>
        <w:spacing w:line="360" w:lineRule="auto"/>
        <w:rPr>
          <w:ins w:id="9" w:author="Em Lim" w:date="2023-03-22T22:30:00Z"/>
          <w:rFonts w:ascii="Times New Roman" w:hAnsi="Times New Roman" w:cs="Times New Roman"/>
        </w:rPr>
      </w:pPr>
      <w:r>
        <w:rPr>
          <w:rFonts w:ascii="Times New Roman" w:hAnsi="Times New Roman" w:cs="Times New Roman"/>
        </w:rPr>
        <w:t xml:space="preserve">Fig. S1. Funnel plot for the model including background nutrients. </w:t>
      </w:r>
      <w:ins w:id="10" w:author="Isabelle Cote" w:date="2023-02-23T15:37:00Z">
        <w:r>
          <w:rPr>
            <w:rFonts w:ascii="Times New Roman" w:hAnsi="Times New Roman" w:cs="Times New Roman"/>
          </w:rPr>
          <w:t>What is residual value here? Effect size??</w:t>
        </w:r>
      </w:ins>
      <w:ins w:id="11" w:author="Isabelle Cote" w:date="2023-02-23T15:45:00Z">
        <w:r>
          <w:rPr>
            <w:rFonts w:ascii="Times New Roman" w:hAnsi="Times New Roman" w:cs="Times New Roman"/>
          </w:rPr>
          <w:t xml:space="preserve">  What’s your interpretation of this funnel plot?</w:t>
        </w:r>
      </w:ins>
    </w:p>
    <w:p w14:paraId="1C6D8A71" w14:textId="77777777" w:rsidR="00173B11" w:rsidRDefault="00173B11" w:rsidP="00457F19">
      <w:pPr>
        <w:spacing w:line="360" w:lineRule="auto"/>
        <w:rPr>
          <w:rFonts w:ascii="Times New Roman" w:hAnsi="Times New Roman" w:cs="Times New Roman"/>
        </w:rPr>
      </w:pPr>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30FF633D" w14:textId="5A2B115C"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narrowed 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to 37 studies after screening, which contributed 180 individual effect sizes after screening each article</w:t>
      </w:r>
      <w:r>
        <w:rPr>
          <w:rFonts w:ascii="Times New Roman" w:hAnsi="Times New Roman" w:cs="Times New Roman"/>
        </w:rPr>
        <w:t xml:space="preserve">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These included reports were fairly well spread across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BD3F95" w:rsidRPr="00BD3F95">
        <w:rPr>
          <w:rFonts w:ascii="Times New Roman" w:hAnsi="Times New Roman" w:cs="Times New Roman"/>
          <w:highlight w:val="yellow"/>
        </w:rPr>
        <w:t xml:space="preserve"> 2</w:t>
      </w:r>
      <w:r w:rsidR="00D00FFC">
        <w:rPr>
          <w:rFonts w:ascii="Times New Roman" w:hAnsi="Times New Roman" w:cs="Times New Roman"/>
          <w:highlight w:val="yellow"/>
        </w:rPr>
        <w:t>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coral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which represented corals, endosymbionts, and a single anemone. Phytoplankton (</w:t>
      </w:r>
      <w:r w:rsidR="00D00FFC">
        <w:rPr>
          <w:rFonts w:ascii="Times New Roman" w:hAnsi="Times New Roman" w:cs="Times New Roman"/>
        </w:rPr>
        <w:t>n = 53</w:t>
      </w:r>
      <w:r w:rsidR="002F6DFC">
        <w:rPr>
          <w:rFonts w:ascii="Times New Roman" w:hAnsi="Times New Roman" w:cs="Times New Roman"/>
        </w:rPr>
        <w:t>) were comprised of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in addition to a cordgrass and 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r w:rsidR="004E5CEB">
        <w:rPr>
          <w:rFonts w:ascii="Times New Roman" w:hAnsi="Times New Roman" w:cs="Times New Roman"/>
        </w:rPr>
        <w:t>The</w:t>
      </w:r>
      <w:r w:rsidR="005151E5">
        <w:rPr>
          <w:rFonts w:ascii="Times New Roman" w:hAnsi="Times New Roman" w:cs="Times New Roman"/>
        </w:rPr>
        <w:t xml:space="preserve"> responses of</w:t>
      </w:r>
      <w:r w:rsidR="004E5CEB">
        <w:rPr>
          <w:rFonts w:ascii="Times New Roman" w:hAnsi="Times New Roman" w:cs="Times New Roman"/>
        </w:rPr>
        <w:t xml:space="preserve"> primary producers </w:t>
      </w:r>
      <w:r w:rsidR="005151E5">
        <w:rPr>
          <w:rFonts w:ascii="Times New Roman" w:hAnsi="Times New Roman" w:cs="Times New Roman"/>
        </w:rPr>
        <w:t xml:space="preserve">to provisioning </w:t>
      </w:r>
      <w:r w:rsidR="004E5CEB">
        <w:rPr>
          <w:rFonts w:ascii="Times New Roman" w:hAnsi="Times New Roman" w:cs="Times New Roman"/>
        </w:rPr>
        <w:t>were measured in a number of ways</w:t>
      </w:r>
      <w:r w:rsidR="005B0F18">
        <w:rPr>
          <w:rFonts w:ascii="Times New Roman" w:hAnsi="Times New Roman" w:cs="Times New Roman"/>
        </w:rPr>
        <w:t xml:space="preserve"> including </w:t>
      </w:r>
      <w:r w:rsidR="004E5CEB">
        <w:rPr>
          <w:rFonts w:ascii="Times New Roman" w:hAnsi="Times New Roman" w:cs="Times New Roman"/>
        </w:rPr>
        <w:t>density, percent cover, biomass, photosynthesis (</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xml:space="preserve">, but all categories were well represented </w:t>
      </w:r>
      <w:r w:rsidR="00D504C4">
        <w:rPr>
          <w:rFonts w:ascii="Times New Roman" w:hAnsi="Times New Roman" w:cs="Times New Roman"/>
        </w:rPr>
        <w:t>(</w:t>
      </w:r>
      <w:r w:rsidR="00A4411C">
        <w:rPr>
          <w:rFonts w:ascii="Times New Roman" w:hAnsi="Times New Roman" w:cs="Times New Roman"/>
        </w:rPr>
        <w:t>7</w:t>
      </w:r>
      <w:r w:rsidR="008A0FE8">
        <w:rPr>
          <w:rFonts w:ascii="Times New Roman" w:hAnsi="Times New Roman" w:cs="Times New Roman"/>
        </w:rPr>
        <w:t xml:space="preserve"> </w:t>
      </w:r>
      <w:r w:rsidR="00D504C4">
        <w:rPr>
          <w:rFonts w:ascii="Times New Roman" w:hAnsi="Times New Roman" w:cs="Times New Roman"/>
        </w:rPr>
        <w:t>-</w:t>
      </w:r>
      <w:r w:rsidR="008A0FE8">
        <w:rPr>
          <w:rFonts w:ascii="Times New Roman" w:hAnsi="Times New Roman" w:cs="Times New Roman"/>
        </w:rPr>
        <w:t xml:space="preserve"> </w:t>
      </w:r>
      <w:r w:rsidR="00D504C4">
        <w:rPr>
          <w:rFonts w:ascii="Times New Roman" w:hAnsi="Times New Roman" w:cs="Times New Roman"/>
        </w:rPr>
        <w:t>4</w:t>
      </w:r>
      <w:r w:rsidR="00A4411C">
        <w:rPr>
          <w:rFonts w:ascii="Times New Roman" w:hAnsi="Times New Roman" w:cs="Times New Roman"/>
        </w:rPr>
        <w:t>7</w:t>
      </w:r>
      <w:r w:rsidR="00D504C4">
        <w:rPr>
          <w:rFonts w:ascii="Times New Roman" w:hAnsi="Times New Roman" w:cs="Times New Roman"/>
        </w:rPr>
        <w:t>%</w:t>
      </w:r>
      <w:r w:rsidR="008B3552">
        <w:rPr>
          <w:rFonts w:ascii="Times New Roman" w:hAnsi="Times New Roman" w:cs="Times New Roman"/>
        </w:rPr>
        <w:t xml:space="preserve"> of the total sample</w:t>
      </w:r>
      <w:r w:rsidR="00D504C4">
        <w:rPr>
          <w:rFonts w:ascii="Times New Roman" w:hAnsi="Times New Roman" w:cs="Times New Roman"/>
        </w:rPr>
        <w:t>)</w:t>
      </w:r>
      <w:r w:rsidR="00C249B5">
        <w:rPr>
          <w:rFonts w:ascii="Times New Roman" w:hAnsi="Times New Roman" w:cs="Times New Roman"/>
        </w:rPr>
        <w:t>, with the exception of field experiments</w:t>
      </w:r>
      <w:r w:rsidR="00D504C4">
        <w:rPr>
          <w:rFonts w:ascii="Times New Roman" w:hAnsi="Times New Roman" w:cs="Times New Roman"/>
        </w:rPr>
        <w:t xml:space="preserve"> where both the consumer and producer </w:t>
      </w:r>
      <w:r w:rsidR="00D504C4">
        <w:rPr>
          <w:rFonts w:ascii="Times New Roman" w:hAnsi="Times New Roman" w:cs="Times New Roman"/>
        </w:rPr>
        <w:lastRenderedPageBreak/>
        <w:t>were stoked (5%)</w:t>
      </w:r>
      <w:r w:rsidR="00C249B5">
        <w:rPr>
          <w:rFonts w:ascii="Times New Roman" w:hAnsi="Times New Roman" w:cs="Times New Roman"/>
        </w:rPr>
        <w:t>.</w:t>
      </w:r>
      <w:r w:rsidR="008A0FE8">
        <w:rPr>
          <w:rFonts w:ascii="Times New Roman" w:hAnsi="Times New Roman" w:cs="Times New Roman"/>
        </w:rPr>
        <w:t xml:space="preserve"> Consumers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comprised of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874808">
        <w:rPr>
          <w:rFonts w:ascii="Times New Roman" w:hAnsi="Times New Roman" w:cs="Times New Roman"/>
        </w:rPr>
        <w:t xml:space="preserve"> x </w:t>
      </w:r>
      <w:r w:rsidR="004E5CEB">
        <w:rPr>
          <w:rFonts w:ascii="Times New Roman" w:hAnsi="Times New Roman" w:cs="Times New Roman"/>
        </w:rPr>
        <w:t>mollusks</w:t>
      </w:r>
      <w:r w:rsidR="00D00FFC">
        <w:rPr>
          <w:rFonts w:ascii="Times New Roman" w:hAnsi="Times New Roman" w:cs="Times New Roman"/>
        </w:rPr>
        <w:t xml:space="preserve"> (18% of effect sizes) followed by phytoplankton x </w:t>
      </w:r>
      <w:r w:rsidR="004E5CEB">
        <w:rPr>
          <w:rFonts w:ascii="Times New Roman" w:hAnsi="Times New Roman" w:cs="Times New Roman"/>
        </w:rPr>
        <w:t>mollusks</w:t>
      </w:r>
      <w:r w:rsidR="00D00FFC">
        <w:rPr>
          <w:rFonts w:ascii="Times New Roman" w:hAnsi="Times New Roman" w:cs="Times New Roman"/>
        </w:rPr>
        <w:t xml:space="preserve"> (16%) and coral x fishes (16%)</w:t>
      </w:r>
      <w:r w:rsidR="00874808">
        <w:rPr>
          <w:rFonts w:ascii="Times New Roman" w:hAnsi="Times New Roman" w:cs="Times New Roman"/>
        </w:rPr>
        <w:t xml:space="preserve"> were 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of primary producer and consumer (</w:t>
      </w:r>
      <w:r w:rsidR="00D00FFC" w:rsidRPr="00D00FFC">
        <w:rPr>
          <w:rFonts w:ascii="Times New Roman" w:hAnsi="Times New Roman" w:cs="Times New Roman"/>
          <w:highlight w:val="yellow"/>
        </w:rPr>
        <w:t>Fig. 2B</w:t>
      </w:r>
      <w:r w:rsidR="00D00FFC">
        <w:rPr>
          <w:rFonts w:ascii="Times New Roman" w:hAnsi="Times New Roman" w:cs="Times New Roman"/>
        </w:rPr>
        <w:t>)</w:t>
      </w:r>
      <w:r w:rsidR="00750A08" w:rsidRPr="00750A08">
        <w:rPr>
          <w:rFonts w:ascii="Times New Roman" w:hAnsi="Times New Roman" w:cs="Times New Roman"/>
          <w:noProof/>
        </w:rPr>
        <w:t xml:space="preserve"> </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77777777" w:rsidR="00750A08" w:rsidRDefault="00750A08" w:rsidP="00750A08">
      <w:pPr>
        <w:spacing w:line="360" w:lineRule="auto"/>
        <w:rPr>
          <w:rFonts w:ascii="Times New Roman" w:hAnsi="Times New Roman" w:cs="Times New Roman"/>
        </w:rPr>
      </w:pPr>
      <w:r>
        <w:rPr>
          <w:rFonts w:ascii="Times New Roman" w:hAnsi="Times New Roman" w:cs="Times New Roman"/>
        </w:rPr>
        <w:t>Figure S2: PRISMA diagram</w:t>
      </w:r>
    </w:p>
    <w:p w14:paraId="0682EE0C" w14:textId="763C5807" w:rsidR="00D504C4" w:rsidRDefault="00D504C4" w:rsidP="00457F19">
      <w:pPr>
        <w:spacing w:line="360" w:lineRule="auto"/>
        <w:rPr>
          <w:ins w:id="12" w:author="Em Lim" w:date="2023-03-23T11:02:00Z"/>
          <w:rFonts w:ascii="Times New Roman" w:hAnsi="Times New Roman" w:cs="Times New Roman"/>
        </w:rPr>
      </w:pPr>
    </w:p>
    <w:p w14:paraId="43CBF8EA" w14:textId="77777777" w:rsidR="00D00FFC" w:rsidRDefault="00D00FFC"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0EE17BE" wp14:editId="7911D460">
            <wp:extent cx="6771503" cy="380897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axa_region.png"/>
                    <pic:cNvPicPr/>
                  </pic:nvPicPr>
                  <pic:blipFill>
                    <a:blip r:embed="rId13">
                      <a:extLst>
                        <a:ext uri="{28A0092B-C50C-407E-A947-70E740481C1C}">
                          <a14:useLocalDpi xmlns:a14="http://schemas.microsoft.com/office/drawing/2010/main" val="0"/>
                        </a:ext>
                      </a:extLst>
                    </a:blip>
                    <a:stretch>
                      <a:fillRect/>
                    </a:stretch>
                  </pic:blipFill>
                  <pic:spPr>
                    <a:xfrm>
                      <a:off x="0" y="0"/>
                      <a:ext cx="6777361" cy="3812265"/>
                    </a:xfrm>
                    <a:prstGeom prst="rect">
                      <a:avLst/>
                    </a:prstGeom>
                  </pic:spPr>
                </pic:pic>
              </a:graphicData>
            </a:graphic>
          </wp:inline>
        </w:drawing>
      </w:r>
    </w:p>
    <w:p w14:paraId="0318FEA8" w14:textId="69A5CE99" w:rsidR="00D00FFC" w:rsidRDefault="00D00FFC" w:rsidP="00D00FFC">
      <w:pPr>
        <w:spacing w:line="360" w:lineRule="auto"/>
        <w:rPr>
          <w:rFonts w:ascii="Times New Roman" w:hAnsi="Times New Roman" w:cs="Times New Roman"/>
        </w:rPr>
      </w:pPr>
      <w:commentRangeStart w:id="13"/>
      <w:r>
        <w:rPr>
          <w:rFonts w:ascii="Times New Roman" w:hAnsi="Times New Roman" w:cs="Times New Roman"/>
        </w:rPr>
        <w:t xml:space="preserve">Figure </w:t>
      </w:r>
      <w:commentRangeEnd w:id="13"/>
      <w:r>
        <w:rPr>
          <w:rStyle w:val="CommentReference"/>
        </w:rPr>
        <w:commentReference w:id="13"/>
      </w:r>
      <w:r>
        <w:rPr>
          <w:rFonts w:ascii="Times New Roman" w:hAnsi="Times New Roman" w:cs="Times New Roman"/>
        </w:rPr>
        <w:t>2. Primary producer group vs consumer group vs latitude. Add map panel</w:t>
      </w:r>
    </w:p>
    <w:p w14:paraId="18F3B1E1" w14:textId="57FBC699" w:rsidR="003F633B" w:rsidRDefault="003F633B" w:rsidP="00D00FFC">
      <w:pPr>
        <w:spacing w:line="360" w:lineRule="auto"/>
        <w:rPr>
          <w:rFonts w:ascii="Times New Roman" w:hAnsi="Times New Roman" w:cs="Times New Roman"/>
        </w:rPr>
      </w:pPr>
    </w:p>
    <w:p w14:paraId="7A513610" w14:textId="022DB3F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Pr>
          <w:rFonts w:ascii="Times New Roman" w:hAnsi="Times New Roman" w:cs="Times New Roman"/>
        </w:rPr>
        <w:t xml:space="preserve">: Complete list of primary producers included in this meta-analysis. For rows with NA for family, genus and species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5B0F18">
        <w:trPr>
          <w:trHeight w:val="320"/>
        </w:trPr>
        <w:tc>
          <w:tcPr>
            <w:tcW w:w="1564" w:type="dxa"/>
            <w:shd w:val="clear" w:color="auto" w:fill="auto"/>
            <w:noWrap/>
            <w:vAlign w:val="bottom"/>
            <w:hideMark/>
          </w:tcPr>
          <w:p w14:paraId="1893F3A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2073" w:type="dxa"/>
            <w:shd w:val="clear" w:color="auto" w:fill="auto"/>
            <w:noWrap/>
            <w:vAlign w:val="bottom"/>
            <w:hideMark/>
          </w:tcPr>
          <w:p w14:paraId="7EF83B64"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5B0F18">
        <w:trPr>
          <w:trHeight w:val="320"/>
        </w:trPr>
        <w:tc>
          <w:tcPr>
            <w:tcW w:w="1564" w:type="dxa"/>
            <w:shd w:val="clear" w:color="auto" w:fill="auto"/>
            <w:noWrap/>
            <w:vAlign w:val="bottom"/>
            <w:hideMark/>
          </w:tcPr>
          <w:p w14:paraId="14594DF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5B0F18">
        <w:trPr>
          <w:trHeight w:val="320"/>
        </w:trPr>
        <w:tc>
          <w:tcPr>
            <w:tcW w:w="1564" w:type="dxa"/>
            <w:shd w:val="clear" w:color="auto" w:fill="auto"/>
            <w:noWrap/>
            <w:vAlign w:val="bottom"/>
            <w:hideMark/>
          </w:tcPr>
          <w:p w14:paraId="714D24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5B0F18">
        <w:trPr>
          <w:trHeight w:val="320"/>
        </w:trPr>
        <w:tc>
          <w:tcPr>
            <w:tcW w:w="1564" w:type="dxa"/>
            <w:shd w:val="clear" w:color="auto" w:fill="auto"/>
            <w:noWrap/>
            <w:vAlign w:val="bottom"/>
            <w:hideMark/>
          </w:tcPr>
          <w:p w14:paraId="15DB672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5B0F18">
        <w:trPr>
          <w:trHeight w:val="320"/>
        </w:trPr>
        <w:tc>
          <w:tcPr>
            <w:tcW w:w="1564" w:type="dxa"/>
            <w:shd w:val="clear" w:color="auto" w:fill="auto"/>
            <w:noWrap/>
            <w:vAlign w:val="bottom"/>
            <w:hideMark/>
          </w:tcPr>
          <w:p w14:paraId="1C127B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5B0F18">
        <w:trPr>
          <w:trHeight w:val="320"/>
        </w:trPr>
        <w:tc>
          <w:tcPr>
            <w:tcW w:w="1564" w:type="dxa"/>
            <w:shd w:val="clear" w:color="auto" w:fill="auto"/>
            <w:noWrap/>
            <w:vAlign w:val="bottom"/>
            <w:hideMark/>
          </w:tcPr>
          <w:p w14:paraId="35F69AB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5B0F18">
        <w:trPr>
          <w:trHeight w:val="320"/>
        </w:trPr>
        <w:tc>
          <w:tcPr>
            <w:tcW w:w="1564" w:type="dxa"/>
            <w:shd w:val="clear" w:color="auto" w:fill="auto"/>
            <w:noWrap/>
            <w:vAlign w:val="bottom"/>
            <w:hideMark/>
          </w:tcPr>
          <w:p w14:paraId="26302CC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5B0F18">
        <w:trPr>
          <w:trHeight w:val="320"/>
        </w:trPr>
        <w:tc>
          <w:tcPr>
            <w:tcW w:w="1564" w:type="dxa"/>
            <w:shd w:val="clear" w:color="auto" w:fill="auto"/>
            <w:noWrap/>
            <w:vAlign w:val="bottom"/>
            <w:hideMark/>
          </w:tcPr>
          <w:p w14:paraId="54237DC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5B0F18">
        <w:trPr>
          <w:trHeight w:val="320"/>
        </w:trPr>
        <w:tc>
          <w:tcPr>
            <w:tcW w:w="1564" w:type="dxa"/>
            <w:shd w:val="clear" w:color="auto" w:fill="auto"/>
            <w:noWrap/>
            <w:vAlign w:val="bottom"/>
            <w:hideMark/>
          </w:tcPr>
          <w:p w14:paraId="71ACF8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5B0F18">
        <w:trPr>
          <w:trHeight w:val="320"/>
        </w:trPr>
        <w:tc>
          <w:tcPr>
            <w:tcW w:w="1564" w:type="dxa"/>
            <w:shd w:val="clear" w:color="auto" w:fill="auto"/>
            <w:noWrap/>
            <w:vAlign w:val="bottom"/>
            <w:hideMark/>
          </w:tcPr>
          <w:p w14:paraId="1854955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5B0F18">
        <w:trPr>
          <w:trHeight w:val="320"/>
        </w:trPr>
        <w:tc>
          <w:tcPr>
            <w:tcW w:w="1564" w:type="dxa"/>
            <w:shd w:val="clear" w:color="auto" w:fill="auto"/>
            <w:noWrap/>
            <w:vAlign w:val="bottom"/>
            <w:hideMark/>
          </w:tcPr>
          <w:p w14:paraId="6D56FC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5B0F18">
        <w:trPr>
          <w:trHeight w:val="320"/>
        </w:trPr>
        <w:tc>
          <w:tcPr>
            <w:tcW w:w="1564" w:type="dxa"/>
            <w:shd w:val="clear" w:color="auto" w:fill="auto"/>
            <w:noWrap/>
            <w:vAlign w:val="bottom"/>
            <w:hideMark/>
          </w:tcPr>
          <w:p w14:paraId="06AD7D6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5B0F18">
        <w:trPr>
          <w:trHeight w:val="320"/>
        </w:trPr>
        <w:tc>
          <w:tcPr>
            <w:tcW w:w="1564" w:type="dxa"/>
            <w:shd w:val="clear" w:color="auto" w:fill="auto"/>
            <w:noWrap/>
            <w:vAlign w:val="bottom"/>
            <w:hideMark/>
          </w:tcPr>
          <w:p w14:paraId="59CACDA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5B0F18">
        <w:trPr>
          <w:trHeight w:val="320"/>
        </w:trPr>
        <w:tc>
          <w:tcPr>
            <w:tcW w:w="1564" w:type="dxa"/>
            <w:shd w:val="clear" w:color="auto" w:fill="auto"/>
            <w:noWrap/>
            <w:vAlign w:val="bottom"/>
            <w:hideMark/>
          </w:tcPr>
          <w:p w14:paraId="2D064F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5B0F18">
        <w:trPr>
          <w:trHeight w:val="320"/>
        </w:trPr>
        <w:tc>
          <w:tcPr>
            <w:tcW w:w="1564" w:type="dxa"/>
            <w:shd w:val="clear" w:color="auto" w:fill="auto"/>
            <w:noWrap/>
            <w:vAlign w:val="bottom"/>
            <w:hideMark/>
          </w:tcPr>
          <w:p w14:paraId="408FB2B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Coral</w:t>
            </w:r>
          </w:p>
        </w:tc>
        <w:tc>
          <w:tcPr>
            <w:tcW w:w="2073" w:type="dxa"/>
            <w:shd w:val="clear" w:color="auto" w:fill="auto"/>
            <w:noWrap/>
            <w:vAlign w:val="bottom"/>
            <w:hideMark/>
          </w:tcPr>
          <w:p w14:paraId="63C919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5B0F18">
        <w:trPr>
          <w:trHeight w:val="320"/>
        </w:trPr>
        <w:tc>
          <w:tcPr>
            <w:tcW w:w="1564" w:type="dxa"/>
            <w:shd w:val="clear" w:color="auto" w:fill="auto"/>
            <w:noWrap/>
            <w:vAlign w:val="bottom"/>
            <w:hideMark/>
          </w:tcPr>
          <w:p w14:paraId="3520F8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5B0F18">
        <w:trPr>
          <w:trHeight w:val="320"/>
        </w:trPr>
        <w:tc>
          <w:tcPr>
            <w:tcW w:w="1564" w:type="dxa"/>
            <w:shd w:val="clear" w:color="auto" w:fill="auto"/>
            <w:noWrap/>
            <w:vAlign w:val="bottom"/>
            <w:hideMark/>
          </w:tcPr>
          <w:p w14:paraId="4F5F817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5B0F18">
        <w:trPr>
          <w:trHeight w:val="320"/>
        </w:trPr>
        <w:tc>
          <w:tcPr>
            <w:tcW w:w="1564" w:type="dxa"/>
            <w:shd w:val="clear" w:color="auto" w:fill="auto"/>
            <w:noWrap/>
            <w:vAlign w:val="bottom"/>
            <w:hideMark/>
          </w:tcPr>
          <w:p w14:paraId="74CAA71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5B0F18">
        <w:trPr>
          <w:trHeight w:val="320"/>
        </w:trPr>
        <w:tc>
          <w:tcPr>
            <w:tcW w:w="1564" w:type="dxa"/>
            <w:shd w:val="clear" w:color="auto" w:fill="auto"/>
            <w:noWrap/>
            <w:vAlign w:val="bottom"/>
            <w:hideMark/>
          </w:tcPr>
          <w:p w14:paraId="0DDE030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5B0F18">
        <w:trPr>
          <w:trHeight w:val="320"/>
        </w:trPr>
        <w:tc>
          <w:tcPr>
            <w:tcW w:w="1564" w:type="dxa"/>
            <w:shd w:val="clear" w:color="auto" w:fill="auto"/>
            <w:noWrap/>
            <w:vAlign w:val="bottom"/>
            <w:hideMark/>
          </w:tcPr>
          <w:p w14:paraId="0D85A82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5B0F18">
        <w:trPr>
          <w:trHeight w:val="320"/>
        </w:trPr>
        <w:tc>
          <w:tcPr>
            <w:tcW w:w="1564" w:type="dxa"/>
            <w:shd w:val="clear" w:color="auto" w:fill="auto"/>
            <w:noWrap/>
            <w:vAlign w:val="bottom"/>
            <w:hideMark/>
          </w:tcPr>
          <w:p w14:paraId="09984D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5B0F18">
        <w:trPr>
          <w:trHeight w:val="320"/>
        </w:trPr>
        <w:tc>
          <w:tcPr>
            <w:tcW w:w="1564" w:type="dxa"/>
            <w:shd w:val="clear" w:color="auto" w:fill="auto"/>
            <w:noWrap/>
            <w:vAlign w:val="bottom"/>
            <w:hideMark/>
          </w:tcPr>
          <w:p w14:paraId="6BE3898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5B0F18">
        <w:trPr>
          <w:trHeight w:val="320"/>
        </w:trPr>
        <w:tc>
          <w:tcPr>
            <w:tcW w:w="1564" w:type="dxa"/>
            <w:shd w:val="clear" w:color="auto" w:fill="auto"/>
            <w:noWrap/>
            <w:vAlign w:val="bottom"/>
            <w:hideMark/>
          </w:tcPr>
          <w:p w14:paraId="1E6D89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5B0F18">
        <w:trPr>
          <w:trHeight w:val="320"/>
        </w:trPr>
        <w:tc>
          <w:tcPr>
            <w:tcW w:w="1564" w:type="dxa"/>
            <w:shd w:val="clear" w:color="auto" w:fill="auto"/>
            <w:noWrap/>
            <w:vAlign w:val="bottom"/>
            <w:hideMark/>
          </w:tcPr>
          <w:p w14:paraId="4D2A66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5B0F18">
        <w:trPr>
          <w:trHeight w:val="320"/>
        </w:trPr>
        <w:tc>
          <w:tcPr>
            <w:tcW w:w="1564" w:type="dxa"/>
            <w:shd w:val="clear" w:color="auto" w:fill="auto"/>
            <w:noWrap/>
            <w:vAlign w:val="bottom"/>
            <w:hideMark/>
          </w:tcPr>
          <w:p w14:paraId="38815AF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5B0F18">
        <w:trPr>
          <w:trHeight w:val="320"/>
        </w:trPr>
        <w:tc>
          <w:tcPr>
            <w:tcW w:w="1564" w:type="dxa"/>
            <w:shd w:val="clear" w:color="auto" w:fill="auto"/>
            <w:noWrap/>
            <w:vAlign w:val="bottom"/>
            <w:hideMark/>
          </w:tcPr>
          <w:p w14:paraId="34D036E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5B0F18">
        <w:trPr>
          <w:trHeight w:val="320"/>
        </w:trPr>
        <w:tc>
          <w:tcPr>
            <w:tcW w:w="1564" w:type="dxa"/>
            <w:shd w:val="clear" w:color="auto" w:fill="auto"/>
            <w:noWrap/>
            <w:vAlign w:val="bottom"/>
            <w:hideMark/>
          </w:tcPr>
          <w:p w14:paraId="698DAA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5B0F18">
        <w:trPr>
          <w:trHeight w:val="320"/>
        </w:trPr>
        <w:tc>
          <w:tcPr>
            <w:tcW w:w="1564" w:type="dxa"/>
            <w:shd w:val="clear" w:color="auto" w:fill="auto"/>
            <w:noWrap/>
            <w:vAlign w:val="bottom"/>
            <w:hideMark/>
          </w:tcPr>
          <w:p w14:paraId="647E69F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5B0F18">
        <w:trPr>
          <w:trHeight w:val="320"/>
        </w:trPr>
        <w:tc>
          <w:tcPr>
            <w:tcW w:w="1564" w:type="dxa"/>
            <w:shd w:val="clear" w:color="auto" w:fill="auto"/>
            <w:noWrap/>
            <w:vAlign w:val="bottom"/>
            <w:hideMark/>
          </w:tcPr>
          <w:p w14:paraId="5F803F5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5B0F18">
        <w:trPr>
          <w:trHeight w:val="320"/>
        </w:trPr>
        <w:tc>
          <w:tcPr>
            <w:tcW w:w="1564" w:type="dxa"/>
            <w:shd w:val="clear" w:color="auto" w:fill="auto"/>
            <w:noWrap/>
            <w:vAlign w:val="bottom"/>
            <w:hideMark/>
          </w:tcPr>
          <w:p w14:paraId="02EF31F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5B0F18">
        <w:trPr>
          <w:trHeight w:val="320"/>
        </w:trPr>
        <w:tc>
          <w:tcPr>
            <w:tcW w:w="1564" w:type="dxa"/>
            <w:shd w:val="clear" w:color="auto" w:fill="auto"/>
            <w:noWrap/>
            <w:vAlign w:val="bottom"/>
            <w:hideMark/>
          </w:tcPr>
          <w:p w14:paraId="0BFE1239"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gracilis</w:t>
            </w:r>
            <w:proofErr w:type="spellEnd"/>
          </w:p>
        </w:tc>
        <w:tc>
          <w:tcPr>
            <w:tcW w:w="1300" w:type="dxa"/>
            <w:shd w:val="clear" w:color="auto" w:fill="auto"/>
            <w:noWrap/>
            <w:vAlign w:val="bottom"/>
            <w:hideMark/>
          </w:tcPr>
          <w:p w14:paraId="3E7135A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5B0F18">
        <w:trPr>
          <w:trHeight w:val="320"/>
        </w:trPr>
        <w:tc>
          <w:tcPr>
            <w:tcW w:w="1564" w:type="dxa"/>
            <w:shd w:val="clear" w:color="auto" w:fill="auto"/>
            <w:noWrap/>
            <w:vAlign w:val="bottom"/>
            <w:hideMark/>
          </w:tcPr>
          <w:p w14:paraId="137E00B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5B0F18">
        <w:trPr>
          <w:trHeight w:val="320"/>
        </w:trPr>
        <w:tc>
          <w:tcPr>
            <w:tcW w:w="1564" w:type="dxa"/>
            <w:shd w:val="clear" w:color="auto" w:fill="auto"/>
            <w:noWrap/>
            <w:vAlign w:val="bottom"/>
            <w:hideMark/>
          </w:tcPr>
          <w:p w14:paraId="5AF471C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5B0F18">
        <w:trPr>
          <w:trHeight w:val="320"/>
        </w:trPr>
        <w:tc>
          <w:tcPr>
            <w:tcW w:w="1564" w:type="dxa"/>
            <w:shd w:val="clear" w:color="auto" w:fill="auto"/>
            <w:noWrap/>
            <w:vAlign w:val="bottom"/>
            <w:hideMark/>
          </w:tcPr>
          <w:p w14:paraId="6A1E87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5B0F18">
        <w:trPr>
          <w:trHeight w:val="320"/>
        </w:trPr>
        <w:tc>
          <w:tcPr>
            <w:tcW w:w="1564" w:type="dxa"/>
            <w:shd w:val="clear" w:color="auto" w:fill="auto"/>
            <w:noWrap/>
            <w:vAlign w:val="bottom"/>
            <w:hideMark/>
          </w:tcPr>
          <w:p w14:paraId="3278A76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9BB6AC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5B0F18">
        <w:trPr>
          <w:trHeight w:val="320"/>
        </w:trPr>
        <w:tc>
          <w:tcPr>
            <w:tcW w:w="1564" w:type="dxa"/>
            <w:shd w:val="clear" w:color="auto" w:fill="auto"/>
            <w:noWrap/>
            <w:vAlign w:val="bottom"/>
            <w:hideMark/>
          </w:tcPr>
          <w:p w14:paraId="699E04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5B0F18">
        <w:trPr>
          <w:trHeight w:val="320"/>
        </w:trPr>
        <w:tc>
          <w:tcPr>
            <w:tcW w:w="1564" w:type="dxa"/>
            <w:shd w:val="clear" w:color="auto" w:fill="auto"/>
            <w:noWrap/>
            <w:vAlign w:val="bottom"/>
            <w:hideMark/>
          </w:tcPr>
          <w:p w14:paraId="29D9FB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5B0F18">
        <w:trPr>
          <w:trHeight w:val="320"/>
        </w:trPr>
        <w:tc>
          <w:tcPr>
            <w:tcW w:w="1564" w:type="dxa"/>
            <w:shd w:val="clear" w:color="auto" w:fill="auto"/>
            <w:noWrap/>
            <w:vAlign w:val="bottom"/>
            <w:hideMark/>
          </w:tcPr>
          <w:p w14:paraId="385B65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5B0F18">
        <w:trPr>
          <w:trHeight w:val="320"/>
        </w:trPr>
        <w:tc>
          <w:tcPr>
            <w:tcW w:w="1564" w:type="dxa"/>
            <w:shd w:val="clear" w:color="auto" w:fill="auto"/>
            <w:noWrap/>
            <w:vAlign w:val="bottom"/>
            <w:hideMark/>
          </w:tcPr>
          <w:p w14:paraId="1A473A1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5B0F18">
        <w:trPr>
          <w:trHeight w:val="320"/>
        </w:trPr>
        <w:tc>
          <w:tcPr>
            <w:tcW w:w="1564" w:type="dxa"/>
            <w:shd w:val="clear" w:color="auto" w:fill="auto"/>
            <w:noWrap/>
            <w:vAlign w:val="bottom"/>
            <w:hideMark/>
          </w:tcPr>
          <w:p w14:paraId="49287A0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DD9D5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5B0F18">
        <w:trPr>
          <w:trHeight w:val="320"/>
        </w:trPr>
        <w:tc>
          <w:tcPr>
            <w:tcW w:w="1564" w:type="dxa"/>
            <w:shd w:val="clear" w:color="auto" w:fill="auto"/>
            <w:noWrap/>
            <w:vAlign w:val="bottom"/>
            <w:hideMark/>
          </w:tcPr>
          <w:p w14:paraId="5EA2422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5B0F18">
        <w:trPr>
          <w:trHeight w:val="320"/>
        </w:trPr>
        <w:tc>
          <w:tcPr>
            <w:tcW w:w="1564" w:type="dxa"/>
            <w:shd w:val="clear" w:color="auto" w:fill="auto"/>
            <w:noWrap/>
            <w:vAlign w:val="bottom"/>
            <w:hideMark/>
          </w:tcPr>
          <w:p w14:paraId="2ABE571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5B0F18">
        <w:trPr>
          <w:trHeight w:val="320"/>
        </w:trPr>
        <w:tc>
          <w:tcPr>
            <w:tcW w:w="1564" w:type="dxa"/>
            <w:shd w:val="clear" w:color="auto" w:fill="auto"/>
            <w:noWrap/>
            <w:vAlign w:val="bottom"/>
            <w:hideMark/>
          </w:tcPr>
          <w:p w14:paraId="367106B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5B0F18">
        <w:trPr>
          <w:trHeight w:val="320"/>
        </w:trPr>
        <w:tc>
          <w:tcPr>
            <w:tcW w:w="1564" w:type="dxa"/>
            <w:shd w:val="clear" w:color="auto" w:fill="auto"/>
            <w:noWrap/>
            <w:vAlign w:val="bottom"/>
            <w:hideMark/>
          </w:tcPr>
          <w:p w14:paraId="0541B79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5B0F18">
        <w:trPr>
          <w:trHeight w:val="320"/>
        </w:trPr>
        <w:tc>
          <w:tcPr>
            <w:tcW w:w="1564" w:type="dxa"/>
            <w:shd w:val="clear" w:color="auto" w:fill="auto"/>
            <w:noWrap/>
            <w:vAlign w:val="bottom"/>
            <w:hideMark/>
          </w:tcPr>
          <w:p w14:paraId="2D9C953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4950E2F3" w:rsidR="004E5CEB" w:rsidRDefault="004E5CEB" w:rsidP="004E5CEB">
      <w:pPr>
        <w:spacing w:line="360" w:lineRule="auto"/>
        <w:rPr>
          <w:rFonts w:ascii="Times New Roman" w:hAnsi="Times New Roman" w:cs="Times New Roman"/>
        </w:rPr>
      </w:pPr>
      <w:r>
        <w:rPr>
          <w:rFonts w:ascii="Times New Roman" w:hAnsi="Times New Roman" w:cs="Times New Roman"/>
        </w:rPr>
        <w:t>Table S4: 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5B0F18">
        <w:trPr>
          <w:trHeight w:val="320"/>
        </w:trPr>
        <w:tc>
          <w:tcPr>
            <w:tcW w:w="2547" w:type="dxa"/>
            <w:shd w:val="clear" w:color="auto" w:fill="auto"/>
            <w:noWrap/>
            <w:vAlign w:val="bottom"/>
            <w:hideMark/>
          </w:tcPr>
          <w:p w14:paraId="4D7F1BB4" w14:textId="77777777" w:rsidR="004E5CEB" w:rsidRPr="002D7395" w:rsidRDefault="004E5CEB" w:rsidP="005B0F18">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5B0F18">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5B0F18">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5B0F18">
        <w:trPr>
          <w:trHeight w:val="320"/>
        </w:trPr>
        <w:tc>
          <w:tcPr>
            <w:tcW w:w="2547" w:type="dxa"/>
            <w:shd w:val="clear" w:color="auto" w:fill="auto"/>
            <w:noWrap/>
            <w:vAlign w:val="bottom"/>
            <w:hideMark/>
          </w:tcPr>
          <w:p w14:paraId="357C5F37"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5B0F18">
        <w:trPr>
          <w:trHeight w:val="320"/>
        </w:trPr>
        <w:tc>
          <w:tcPr>
            <w:tcW w:w="2547" w:type="dxa"/>
            <w:shd w:val="clear" w:color="auto" w:fill="auto"/>
            <w:noWrap/>
            <w:vAlign w:val="bottom"/>
            <w:hideMark/>
          </w:tcPr>
          <w:p w14:paraId="614101BD"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5B0F18">
        <w:trPr>
          <w:trHeight w:val="320"/>
        </w:trPr>
        <w:tc>
          <w:tcPr>
            <w:tcW w:w="2547" w:type="dxa"/>
            <w:shd w:val="clear" w:color="auto" w:fill="auto"/>
            <w:noWrap/>
            <w:vAlign w:val="bottom"/>
            <w:hideMark/>
          </w:tcPr>
          <w:p w14:paraId="7A2DE49C"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lastRenderedPageBreak/>
              <w:t>biomass</w:t>
            </w:r>
          </w:p>
        </w:tc>
        <w:tc>
          <w:tcPr>
            <w:tcW w:w="850" w:type="dxa"/>
            <w:shd w:val="clear" w:color="auto" w:fill="auto"/>
            <w:noWrap/>
            <w:vAlign w:val="bottom"/>
            <w:hideMark/>
          </w:tcPr>
          <w:p w14:paraId="4DA8246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5B0F18">
        <w:trPr>
          <w:trHeight w:val="320"/>
        </w:trPr>
        <w:tc>
          <w:tcPr>
            <w:tcW w:w="2547" w:type="dxa"/>
            <w:shd w:val="clear" w:color="auto" w:fill="auto"/>
            <w:noWrap/>
            <w:vAlign w:val="bottom"/>
            <w:hideMark/>
          </w:tcPr>
          <w:p w14:paraId="7116C141"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5B0F18">
        <w:trPr>
          <w:trHeight w:val="320"/>
        </w:trPr>
        <w:tc>
          <w:tcPr>
            <w:tcW w:w="2547" w:type="dxa"/>
            <w:shd w:val="clear" w:color="auto" w:fill="auto"/>
            <w:noWrap/>
            <w:vAlign w:val="bottom"/>
            <w:hideMark/>
          </w:tcPr>
          <w:p w14:paraId="6AA9C8DA"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5B0F18">
        <w:trPr>
          <w:trHeight w:val="320"/>
        </w:trPr>
        <w:tc>
          <w:tcPr>
            <w:tcW w:w="2547" w:type="dxa"/>
            <w:shd w:val="clear" w:color="auto" w:fill="auto"/>
            <w:noWrap/>
            <w:vAlign w:val="bottom"/>
            <w:hideMark/>
          </w:tcPr>
          <w:p w14:paraId="0DF38EF0"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5B0F18">
        <w:trPr>
          <w:trHeight w:val="320"/>
        </w:trPr>
        <w:tc>
          <w:tcPr>
            <w:tcW w:w="2547" w:type="dxa"/>
            <w:shd w:val="clear" w:color="auto" w:fill="auto"/>
            <w:noWrap/>
            <w:vAlign w:val="bottom"/>
            <w:hideMark/>
          </w:tcPr>
          <w:p w14:paraId="46A6C93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5B0F18">
        <w:trPr>
          <w:trHeight w:val="320"/>
        </w:trPr>
        <w:tc>
          <w:tcPr>
            <w:tcW w:w="2547" w:type="dxa"/>
            <w:shd w:val="clear" w:color="auto" w:fill="auto"/>
            <w:noWrap/>
            <w:vAlign w:val="bottom"/>
            <w:hideMark/>
          </w:tcPr>
          <w:p w14:paraId="6D07AA94" w14:textId="77777777" w:rsidR="004E5CEB" w:rsidRPr="002D7395" w:rsidRDefault="004E5CEB" w:rsidP="005B0F18">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5B0F18">
        <w:trPr>
          <w:trHeight w:val="320"/>
        </w:trPr>
        <w:tc>
          <w:tcPr>
            <w:tcW w:w="2547" w:type="dxa"/>
            <w:shd w:val="clear" w:color="auto" w:fill="auto"/>
            <w:noWrap/>
            <w:vAlign w:val="bottom"/>
            <w:hideMark/>
          </w:tcPr>
          <w:p w14:paraId="39796CF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5B0F18">
        <w:trPr>
          <w:trHeight w:val="320"/>
        </w:trPr>
        <w:tc>
          <w:tcPr>
            <w:tcW w:w="2547" w:type="dxa"/>
            <w:shd w:val="clear" w:color="auto" w:fill="auto"/>
            <w:noWrap/>
            <w:vAlign w:val="bottom"/>
            <w:hideMark/>
          </w:tcPr>
          <w:p w14:paraId="4D921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5B0F18">
        <w:trPr>
          <w:trHeight w:val="320"/>
        </w:trPr>
        <w:tc>
          <w:tcPr>
            <w:tcW w:w="2547" w:type="dxa"/>
            <w:shd w:val="clear" w:color="auto" w:fill="auto"/>
            <w:noWrap/>
            <w:vAlign w:val="bottom"/>
            <w:hideMark/>
          </w:tcPr>
          <w:p w14:paraId="3975C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5B0F18">
        <w:trPr>
          <w:trHeight w:val="320"/>
        </w:trPr>
        <w:tc>
          <w:tcPr>
            <w:tcW w:w="2547" w:type="dxa"/>
            <w:shd w:val="clear" w:color="auto" w:fill="auto"/>
            <w:noWrap/>
            <w:vAlign w:val="bottom"/>
            <w:hideMark/>
          </w:tcPr>
          <w:p w14:paraId="72F54C04"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5B0F18">
        <w:trPr>
          <w:trHeight w:val="320"/>
        </w:trPr>
        <w:tc>
          <w:tcPr>
            <w:tcW w:w="2547" w:type="dxa"/>
            <w:shd w:val="clear" w:color="auto" w:fill="auto"/>
            <w:noWrap/>
            <w:vAlign w:val="bottom"/>
            <w:hideMark/>
          </w:tcPr>
          <w:p w14:paraId="596AB77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5B0F18">
        <w:trPr>
          <w:trHeight w:val="320"/>
        </w:trPr>
        <w:tc>
          <w:tcPr>
            <w:tcW w:w="2547" w:type="dxa"/>
            <w:shd w:val="clear" w:color="auto" w:fill="auto"/>
            <w:noWrap/>
            <w:vAlign w:val="bottom"/>
            <w:hideMark/>
          </w:tcPr>
          <w:p w14:paraId="61ABF622"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4AE9A5AD"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xml:space="preserve">: Species of animals used. For rows with NA for family, genus and species the producer was considered at the community level and could not be captured by a single family or genus. </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5B0F18">
        <w:trPr>
          <w:trHeight w:val="320"/>
        </w:trPr>
        <w:tc>
          <w:tcPr>
            <w:tcW w:w="1300" w:type="dxa"/>
            <w:shd w:val="clear" w:color="auto" w:fill="auto"/>
            <w:noWrap/>
            <w:vAlign w:val="bottom"/>
            <w:hideMark/>
          </w:tcPr>
          <w:p w14:paraId="2AD3C5C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5B0F18">
        <w:trPr>
          <w:trHeight w:val="320"/>
        </w:trPr>
        <w:tc>
          <w:tcPr>
            <w:tcW w:w="1300" w:type="dxa"/>
            <w:shd w:val="clear" w:color="auto" w:fill="auto"/>
            <w:noWrap/>
            <w:vAlign w:val="bottom"/>
            <w:hideMark/>
          </w:tcPr>
          <w:p w14:paraId="53CA153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5B0F18">
        <w:trPr>
          <w:trHeight w:val="320"/>
        </w:trPr>
        <w:tc>
          <w:tcPr>
            <w:tcW w:w="1300" w:type="dxa"/>
            <w:shd w:val="clear" w:color="auto" w:fill="auto"/>
            <w:noWrap/>
            <w:vAlign w:val="bottom"/>
            <w:hideMark/>
          </w:tcPr>
          <w:p w14:paraId="7EB805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74C050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5B0F18">
        <w:trPr>
          <w:trHeight w:val="320"/>
        </w:trPr>
        <w:tc>
          <w:tcPr>
            <w:tcW w:w="1300" w:type="dxa"/>
            <w:shd w:val="clear" w:color="auto" w:fill="auto"/>
            <w:noWrap/>
            <w:vAlign w:val="bottom"/>
            <w:hideMark/>
          </w:tcPr>
          <w:p w14:paraId="5BF71DD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323FFF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5B0F18">
        <w:trPr>
          <w:trHeight w:val="320"/>
        </w:trPr>
        <w:tc>
          <w:tcPr>
            <w:tcW w:w="1300" w:type="dxa"/>
            <w:shd w:val="clear" w:color="auto" w:fill="auto"/>
            <w:noWrap/>
            <w:vAlign w:val="bottom"/>
            <w:hideMark/>
          </w:tcPr>
          <w:p w14:paraId="2C901EB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5B0F18">
        <w:trPr>
          <w:trHeight w:val="320"/>
        </w:trPr>
        <w:tc>
          <w:tcPr>
            <w:tcW w:w="1300" w:type="dxa"/>
            <w:shd w:val="clear" w:color="auto" w:fill="auto"/>
            <w:noWrap/>
            <w:vAlign w:val="bottom"/>
            <w:hideMark/>
          </w:tcPr>
          <w:p w14:paraId="455107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5B0F18">
        <w:trPr>
          <w:trHeight w:val="320"/>
        </w:trPr>
        <w:tc>
          <w:tcPr>
            <w:tcW w:w="1300" w:type="dxa"/>
            <w:shd w:val="clear" w:color="auto" w:fill="auto"/>
            <w:noWrap/>
            <w:vAlign w:val="bottom"/>
            <w:hideMark/>
          </w:tcPr>
          <w:p w14:paraId="66125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5B0F18">
        <w:trPr>
          <w:trHeight w:val="320"/>
        </w:trPr>
        <w:tc>
          <w:tcPr>
            <w:tcW w:w="1300" w:type="dxa"/>
            <w:shd w:val="clear" w:color="auto" w:fill="auto"/>
            <w:noWrap/>
            <w:vAlign w:val="bottom"/>
            <w:hideMark/>
          </w:tcPr>
          <w:p w14:paraId="2C629F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5B0F18">
        <w:trPr>
          <w:trHeight w:val="320"/>
        </w:trPr>
        <w:tc>
          <w:tcPr>
            <w:tcW w:w="1300" w:type="dxa"/>
            <w:shd w:val="clear" w:color="auto" w:fill="auto"/>
            <w:noWrap/>
            <w:vAlign w:val="bottom"/>
            <w:hideMark/>
          </w:tcPr>
          <w:p w14:paraId="6448EF9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5B0F18">
        <w:trPr>
          <w:trHeight w:val="320"/>
        </w:trPr>
        <w:tc>
          <w:tcPr>
            <w:tcW w:w="1300" w:type="dxa"/>
            <w:shd w:val="clear" w:color="auto" w:fill="auto"/>
            <w:noWrap/>
            <w:vAlign w:val="bottom"/>
            <w:hideMark/>
          </w:tcPr>
          <w:p w14:paraId="7A8F834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5B0F18">
        <w:trPr>
          <w:trHeight w:val="320"/>
        </w:trPr>
        <w:tc>
          <w:tcPr>
            <w:tcW w:w="1300" w:type="dxa"/>
            <w:shd w:val="clear" w:color="auto" w:fill="auto"/>
            <w:noWrap/>
            <w:vAlign w:val="bottom"/>
            <w:hideMark/>
          </w:tcPr>
          <w:p w14:paraId="4A69B50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5B0F18">
        <w:trPr>
          <w:trHeight w:val="320"/>
        </w:trPr>
        <w:tc>
          <w:tcPr>
            <w:tcW w:w="1300" w:type="dxa"/>
            <w:shd w:val="clear" w:color="auto" w:fill="auto"/>
            <w:noWrap/>
            <w:vAlign w:val="bottom"/>
            <w:hideMark/>
          </w:tcPr>
          <w:p w14:paraId="4BFC90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5B0F18">
        <w:trPr>
          <w:trHeight w:val="320"/>
        </w:trPr>
        <w:tc>
          <w:tcPr>
            <w:tcW w:w="1300" w:type="dxa"/>
            <w:shd w:val="clear" w:color="auto" w:fill="auto"/>
            <w:noWrap/>
            <w:vAlign w:val="bottom"/>
            <w:hideMark/>
          </w:tcPr>
          <w:p w14:paraId="0534A9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5B0F18">
        <w:trPr>
          <w:trHeight w:val="320"/>
        </w:trPr>
        <w:tc>
          <w:tcPr>
            <w:tcW w:w="1300" w:type="dxa"/>
            <w:shd w:val="clear" w:color="auto" w:fill="auto"/>
            <w:noWrap/>
            <w:vAlign w:val="bottom"/>
            <w:hideMark/>
          </w:tcPr>
          <w:p w14:paraId="51C227D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5B0F18">
        <w:trPr>
          <w:trHeight w:val="320"/>
        </w:trPr>
        <w:tc>
          <w:tcPr>
            <w:tcW w:w="1300" w:type="dxa"/>
            <w:shd w:val="clear" w:color="auto" w:fill="auto"/>
            <w:noWrap/>
            <w:vAlign w:val="bottom"/>
            <w:hideMark/>
          </w:tcPr>
          <w:p w14:paraId="29F368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5B0F18">
        <w:trPr>
          <w:trHeight w:val="320"/>
        </w:trPr>
        <w:tc>
          <w:tcPr>
            <w:tcW w:w="1300" w:type="dxa"/>
            <w:shd w:val="clear" w:color="auto" w:fill="auto"/>
            <w:noWrap/>
            <w:vAlign w:val="bottom"/>
            <w:hideMark/>
          </w:tcPr>
          <w:p w14:paraId="5FD55A6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5B0F18">
        <w:trPr>
          <w:trHeight w:val="320"/>
        </w:trPr>
        <w:tc>
          <w:tcPr>
            <w:tcW w:w="1300" w:type="dxa"/>
            <w:shd w:val="clear" w:color="auto" w:fill="auto"/>
            <w:noWrap/>
            <w:vAlign w:val="bottom"/>
            <w:hideMark/>
          </w:tcPr>
          <w:p w14:paraId="0871D6D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5B0F18">
        <w:trPr>
          <w:trHeight w:val="320"/>
        </w:trPr>
        <w:tc>
          <w:tcPr>
            <w:tcW w:w="1300" w:type="dxa"/>
            <w:shd w:val="clear" w:color="auto" w:fill="auto"/>
            <w:noWrap/>
            <w:vAlign w:val="bottom"/>
            <w:hideMark/>
          </w:tcPr>
          <w:p w14:paraId="374D57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5B0F18">
        <w:trPr>
          <w:trHeight w:val="320"/>
        </w:trPr>
        <w:tc>
          <w:tcPr>
            <w:tcW w:w="1300" w:type="dxa"/>
            <w:shd w:val="clear" w:color="auto" w:fill="auto"/>
            <w:noWrap/>
            <w:vAlign w:val="bottom"/>
            <w:hideMark/>
          </w:tcPr>
          <w:p w14:paraId="31568A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5B0F18">
        <w:trPr>
          <w:trHeight w:val="320"/>
        </w:trPr>
        <w:tc>
          <w:tcPr>
            <w:tcW w:w="1300" w:type="dxa"/>
            <w:shd w:val="clear" w:color="auto" w:fill="auto"/>
            <w:noWrap/>
            <w:vAlign w:val="bottom"/>
            <w:hideMark/>
          </w:tcPr>
          <w:p w14:paraId="0D4082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5B0F18">
        <w:trPr>
          <w:trHeight w:val="320"/>
        </w:trPr>
        <w:tc>
          <w:tcPr>
            <w:tcW w:w="1300" w:type="dxa"/>
            <w:shd w:val="clear" w:color="auto" w:fill="auto"/>
            <w:noWrap/>
            <w:vAlign w:val="bottom"/>
            <w:hideMark/>
          </w:tcPr>
          <w:p w14:paraId="718332E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Cnidaria</w:t>
            </w:r>
          </w:p>
        </w:tc>
        <w:tc>
          <w:tcPr>
            <w:tcW w:w="1827" w:type="dxa"/>
            <w:shd w:val="clear" w:color="auto" w:fill="auto"/>
            <w:noWrap/>
            <w:vAlign w:val="bottom"/>
            <w:hideMark/>
          </w:tcPr>
          <w:p w14:paraId="5143C8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5B0F18">
        <w:trPr>
          <w:trHeight w:val="320"/>
        </w:trPr>
        <w:tc>
          <w:tcPr>
            <w:tcW w:w="1300" w:type="dxa"/>
            <w:shd w:val="clear" w:color="auto" w:fill="auto"/>
            <w:noWrap/>
            <w:vAlign w:val="bottom"/>
            <w:hideMark/>
          </w:tcPr>
          <w:p w14:paraId="03F2927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5B0F18">
        <w:trPr>
          <w:trHeight w:val="320"/>
        </w:trPr>
        <w:tc>
          <w:tcPr>
            <w:tcW w:w="1300" w:type="dxa"/>
            <w:shd w:val="clear" w:color="auto" w:fill="auto"/>
            <w:noWrap/>
            <w:vAlign w:val="bottom"/>
            <w:hideMark/>
          </w:tcPr>
          <w:p w14:paraId="05D3815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5B0F18">
        <w:trPr>
          <w:trHeight w:val="320"/>
        </w:trPr>
        <w:tc>
          <w:tcPr>
            <w:tcW w:w="1300" w:type="dxa"/>
            <w:shd w:val="clear" w:color="auto" w:fill="auto"/>
            <w:noWrap/>
            <w:vAlign w:val="bottom"/>
            <w:hideMark/>
          </w:tcPr>
          <w:p w14:paraId="1AF2E50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5B0F18">
        <w:trPr>
          <w:trHeight w:val="320"/>
        </w:trPr>
        <w:tc>
          <w:tcPr>
            <w:tcW w:w="1300" w:type="dxa"/>
            <w:shd w:val="clear" w:color="auto" w:fill="auto"/>
            <w:noWrap/>
            <w:vAlign w:val="bottom"/>
            <w:hideMark/>
          </w:tcPr>
          <w:p w14:paraId="739E437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5B0F18">
        <w:trPr>
          <w:trHeight w:val="320"/>
        </w:trPr>
        <w:tc>
          <w:tcPr>
            <w:tcW w:w="1300" w:type="dxa"/>
            <w:shd w:val="clear" w:color="auto" w:fill="auto"/>
            <w:noWrap/>
            <w:vAlign w:val="bottom"/>
            <w:hideMark/>
          </w:tcPr>
          <w:p w14:paraId="3CDAE0D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5B0F18">
        <w:trPr>
          <w:trHeight w:val="320"/>
        </w:trPr>
        <w:tc>
          <w:tcPr>
            <w:tcW w:w="1300" w:type="dxa"/>
            <w:shd w:val="clear" w:color="auto" w:fill="auto"/>
            <w:noWrap/>
            <w:vAlign w:val="bottom"/>
            <w:hideMark/>
          </w:tcPr>
          <w:p w14:paraId="7C4847F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70FECED2" w14:textId="77777777" w:rsidR="003F633B" w:rsidRDefault="003F633B" w:rsidP="00D00FFC">
      <w:pPr>
        <w:spacing w:line="360" w:lineRule="auto"/>
        <w:rPr>
          <w:rFonts w:ascii="Times New Roman" w:hAnsi="Times New Roman" w:cs="Times New Roman"/>
        </w:rPr>
      </w:pPr>
    </w:p>
    <w:p w14:paraId="36D2FCA5" w14:textId="35C00193" w:rsidR="00C249B5" w:rsidRDefault="00C249B5" w:rsidP="00457F19">
      <w:pPr>
        <w:spacing w:line="360" w:lineRule="auto"/>
        <w:rPr>
          <w:rFonts w:ascii="Times New Roman" w:hAnsi="Times New Roman" w:cs="Times New Roman"/>
        </w:rPr>
      </w:pPr>
    </w:p>
    <w:p w14:paraId="22092FDB" w14:textId="16D24279" w:rsidR="00AD76D4" w:rsidRPr="00D00FFC" w:rsidRDefault="00AD76D4" w:rsidP="00457F19">
      <w:pPr>
        <w:spacing w:line="360" w:lineRule="auto"/>
        <w:rPr>
          <w:rFonts w:ascii="Times New Roman" w:hAnsi="Times New Roman" w:cs="Times New Roman"/>
          <w:i/>
        </w:rPr>
      </w:pPr>
      <w:r w:rsidRPr="00D00FFC">
        <w:rPr>
          <w:rFonts w:ascii="Times New Roman" w:hAnsi="Times New Roman" w:cs="Times New Roman"/>
          <w:i/>
        </w:rPr>
        <w:t>Meta-regression reporting</w:t>
      </w:r>
    </w:p>
    <w:p w14:paraId="35608F07" w14:textId="5EDE92FC"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77777777" w:rsidR="002E611A" w:rsidRDefault="002E611A" w:rsidP="002E611A">
      <w:pPr>
        <w:spacing w:line="360" w:lineRule="auto"/>
        <w:rPr>
          <w:rFonts w:ascii="Times New Roman" w:hAnsi="Times New Roman" w:cs="Times New Roman"/>
        </w:rPr>
      </w:pPr>
      <w:r>
        <w:rPr>
          <w:rFonts w:ascii="Times New Roman" w:hAnsi="Times New Roman" w:cs="Times New Roman"/>
        </w:rPr>
        <w:t xml:space="preserve">Table 1: AIC comparison of models. Moderators included in each model (ED = experimental design, PPG = primary producer group, RE = random effect), K is the number of parameters included in the model, AIC is the Akaike’s Information Criterion for each model, </w:t>
      </w:r>
      <w:r w:rsidRPr="00D504C4">
        <w:rPr>
          <w:rFonts w:ascii="Times New Roman" w:hAnsi="Times New Roman" w:cs="Times New Roman"/>
        </w:rPr>
        <w:t>Δ</w:t>
      </w:r>
      <w:r>
        <w:rPr>
          <w:rFonts w:ascii="Times New Roman" w:hAnsi="Times New Roman" w:cs="Times New Roman"/>
        </w:rPr>
        <w:t>AIC is the AIC for each model minus the AIC from the best model, and AIC weight is the calculated weight of each model</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5B0F18">
        <w:tc>
          <w:tcPr>
            <w:tcW w:w="3948" w:type="dxa"/>
          </w:tcPr>
          <w:p w14:paraId="5387536B" w14:textId="77777777" w:rsidR="002E611A" w:rsidDel="006534E2" w:rsidRDefault="002E611A" w:rsidP="005B0F18">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5B0F18">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5B0F18">
        <w:tc>
          <w:tcPr>
            <w:tcW w:w="3948" w:type="dxa"/>
          </w:tcPr>
          <w:p w14:paraId="3536B7E9"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5B0F18">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5B0F18">
        <w:tc>
          <w:tcPr>
            <w:tcW w:w="3948" w:type="dxa"/>
          </w:tcPr>
          <w:p w14:paraId="2D861BF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1.55</w:t>
            </w:r>
          </w:p>
        </w:tc>
        <w:tc>
          <w:tcPr>
            <w:tcW w:w="1413" w:type="dxa"/>
          </w:tcPr>
          <w:p w14:paraId="662D9B5E"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5B0F18">
        <w:tc>
          <w:tcPr>
            <w:tcW w:w="3948" w:type="dxa"/>
          </w:tcPr>
          <w:p w14:paraId="02424D14"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74.18</w:t>
            </w:r>
          </w:p>
        </w:tc>
        <w:tc>
          <w:tcPr>
            <w:tcW w:w="1272" w:type="dxa"/>
          </w:tcPr>
          <w:p w14:paraId="41232D10"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19</w:t>
            </w:r>
          </w:p>
        </w:tc>
      </w:tr>
      <w:tr w:rsidR="002E611A" w14:paraId="22C0F0B2" w14:textId="77777777" w:rsidTr="005B0F18">
        <w:tc>
          <w:tcPr>
            <w:tcW w:w="3948" w:type="dxa"/>
          </w:tcPr>
          <w:p w14:paraId="068BD858"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5B0F18">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D00FFC" w:rsidRDefault="00D504C4" w:rsidP="00457F19">
      <w:pPr>
        <w:spacing w:line="360" w:lineRule="auto"/>
        <w:rPr>
          <w:rFonts w:ascii="Times New Roman" w:hAnsi="Times New Roman" w:cs="Times New Roman"/>
          <w:i/>
        </w:rPr>
      </w:pPr>
      <w:r w:rsidRPr="00D00FFC">
        <w:rPr>
          <w:rFonts w:ascii="Times New Roman" w:hAnsi="Times New Roman" w:cs="Times New Roman"/>
          <w:i/>
        </w:rPr>
        <w:t>Background nutrients model</w:t>
      </w:r>
    </w:p>
    <w:p w14:paraId="41D1A3B4" w14:textId="3F1F4DDB" w:rsidR="00D504C4" w:rsidRDefault="00D504C4" w:rsidP="00457F19">
      <w:pPr>
        <w:spacing w:line="360" w:lineRule="auto"/>
        <w:rPr>
          <w:rFonts w:ascii="Times New Roman" w:hAnsi="Times New Roman" w:cs="Times New Roman"/>
          <w:lang w:val="en-CA"/>
        </w:rPr>
      </w:pPr>
      <w:commentRangeStart w:id="14"/>
      <w:r>
        <w:rPr>
          <w:rFonts w:ascii="Times New Roman" w:hAnsi="Times New Roman" w:cs="Times New Roman"/>
        </w:rPr>
        <w:t>Overall</w:t>
      </w:r>
      <w:commentRangeEnd w:id="14"/>
      <w:r w:rsidR="00145342">
        <w:rPr>
          <w:rStyle w:val="CommentReference"/>
        </w:rPr>
        <w:commentReference w:id="14"/>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nearly </w:t>
      </w:r>
      <w:r w:rsidR="00A4411C">
        <w:rPr>
          <w:rFonts w:ascii="Times New Roman" w:hAnsi="Times New Roman" w:cs="Times New Roman"/>
        </w:rPr>
        <w:t>3</w:t>
      </w:r>
      <w:r w:rsidR="007D588D">
        <w:rPr>
          <w:rFonts w:ascii="Times New Roman" w:hAnsi="Times New Roman" w:cs="Times New Roman"/>
        </w:rPr>
        <w:t xml:space="preserve"> times more, on average, under provisioned than control conditions</w:t>
      </w:r>
      <w:r>
        <w:rPr>
          <w:rFonts w:ascii="Times New Roman" w:hAnsi="Times New Roman" w:cs="Times New Roman"/>
        </w:rPr>
        <w:t xml:space="preserve">. </w:t>
      </w:r>
      <w:r w:rsidR="006149A7">
        <w:rPr>
          <w:rFonts w:ascii="Times New Roman" w:hAnsi="Times New Roman" w:cs="Times New Roman"/>
        </w:rPr>
        <w:t xml:space="preserve">This estimate represents the intercept of the model, taken as the effect of animal-provisioning at a mean level of background </w:t>
      </w:r>
      <w:r w:rsidR="006149A7">
        <w:rPr>
          <w:rFonts w:ascii="Times New Roman" w:hAnsi="Times New Roman" w:cs="Times New Roman"/>
        </w:rPr>
        <w:lastRenderedPageBreak/>
        <w:t xml:space="preserve">nutrients on algae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 </w:t>
      </w:r>
      <w:r w:rsidR="00B168CE">
        <w:rPr>
          <w:rFonts w:ascii="Times New Roman" w:hAnsi="Times New Roman" w:cs="Times New Roman"/>
        </w:rPr>
        <w:t>There wa</w:t>
      </w:r>
      <w:r w:rsidR="00A4411C">
        <w:rPr>
          <w:rFonts w:ascii="Times New Roman" w:hAnsi="Times New Roman" w:cs="Times New Roman"/>
        </w:rPr>
        <w:t xml:space="preserve">s no statistical </w:t>
      </w:r>
      <w:r w:rsidR="00B168CE">
        <w:rPr>
          <w:rFonts w:ascii="Times New Roman" w:hAnsi="Times New Roman" w:cs="Times New Roman"/>
        </w:rPr>
        <w:t xml:space="preserve">evidence for </w:t>
      </w:r>
      <w:r w:rsidR="00A4411C">
        <w:rPr>
          <w:rFonts w:ascii="Times New Roman" w:hAnsi="Times New Roman" w:cs="Times New Roman"/>
        </w:rPr>
        <w:t>the</w:t>
      </w:r>
      <w:r w:rsidR="00B168CE">
        <w:rPr>
          <w:rFonts w:ascii="Times New Roman" w:hAnsi="Times New Roman" w:cs="Times New Roman"/>
        </w:rPr>
        <w:t xml:space="preserve">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25.32</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Between 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504E41">
        <w:rPr>
          <w:rFonts w:ascii="Times New Roman" w:hAnsi="Times New Roman" w:cs="Times New Roman"/>
          <w:lang w:val="en-CA"/>
        </w:rPr>
        <w:t>4</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However, there was a larger effect of provisioning on primary productivity in field experiments stocked consumers and producers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For primary producer taxa 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504E41">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122</w:t>
      </w:r>
      <w:r w:rsidR="00494153">
        <w:rPr>
          <w:rFonts w:ascii="Times New Roman" w:hAnsi="Times New Roman" w:cs="Times New Roman"/>
          <w:lang w:val="en-CA"/>
        </w:rPr>
        <w:t>%</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w:t>
      </w:r>
      <w:r w:rsidR="00FA2DCA">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 xml:space="preserve">20; </w:t>
      </w:r>
      <w:r w:rsidR="00FA2DCA">
        <w:rPr>
          <w:rFonts w:ascii="Times New Roman" w:hAnsi="Times New Roman" w:cs="Times New Roman"/>
          <w:lang w:val="en-CA"/>
        </w:rPr>
        <w:t>128</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77777777" w:rsidR="002E611A" w:rsidRDefault="002E611A" w:rsidP="002E611A">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063B8A2" wp14:editId="2CAEECC7">
            <wp:extent cx="5943600" cy="3343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33AE2605"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Pr>
          <w:rFonts w:ascii="Times New Roman" w:hAnsi="Times New Roman" w:cs="Times New Roman"/>
          <w:highlight w:val="yellow"/>
        </w:rPr>
        <w:t>3</w:t>
      </w:r>
      <w:r w:rsidRPr="0098152A">
        <w:rPr>
          <w:rFonts w:ascii="Times New Roman" w:hAnsi="Times New Roman" w:cs="Times New Roman"/>
          <w:highlight w:val="yellow"/>
        </w:rPr>
        <w:t>.</w:t>
      </w:r>
      <w:r>
        <w:rPr>
          <w:rFonts w:ascii="Times New Roman" w:hAnsi="Times New Roman" w:cs="Times New Roman"/>
        </w:rPr>
        <w:t xml:space="preserve"> Effect of background nutrients, experimental design, and primary producer group on primary producers. Effect sizes shown in log-transformed ratios of means and as back-transformed ratios of means. An effect size of 0 on the log scale or 1 on the ratio scale means the primary producer grew the same with and without nutrient addition. Effect sizes to the right of the dotted line indicate positive responses to provisioning, and effect sizes to the left indicate negative responses. Field experiments were split based on whether the researchers set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Plants include seagrasses and mangroves, phytoplankton include micro algae, coral includes measurements of both corals and coral endosymbionts, and algae includes fleshy and crustose algae. Effect sizes are </w:t>
      </w:r>
      <w:r>
        <w:rPr>
          <w:rFonts w:ascii="Times New Roman" w:hAnsi="Times New Roman" w:cs="Times New Roman"/>
          <w:lang w:val="en-CA"/>
        </w:rPr>
        <w:t xml:space="preserve">surrounded by 95% confidence intervals derived from the </w:t>
      </w:r>
      <w:r>
        <w:rPr>
          <w:rFonts w:ascii="Times New Roman" w:hAnsi="Times New Roman" w:cs="Times New Roman"/>
        </w:rPr>
        <w:t>three-level mixed effects model including background nutrients, experimental design, and primary producer group as moderators.</w:t>
      </w:r>
      <w:r w:rsidRPr="003F3EDB">
        <w:rPr>
          <w:rFonts w:ascii="Times New Roman" w:hAnsi="Times New Roman" w:cs="Times New Roman"/>
        </w:rPr>
        <w:t xml:space="preserve"> </w:t>
      </w:r>
      <w:r>
        <w:rPr>
          <w:rFonts w:ascii="Times New Roman" w:hAnsi="Times New Roman" w:cs="Times New Roman"/>
        </w:rPr>
        <w:t xml:space="preserve">Sample sizes within each group are shown to the right of the effect sizes.  </w:t>
      </w:r>
    </w:p>
    <w:p w14:paraId="3AF5591F" w14:textId="7168D9CB" w:rsidR="004E5CEB" w:rsidRDefault="004E5CEB" w:rsidP="002E611A">
      <w:pPr>
        <w:spacing w:line="360" w:lineRule="auto"/>
        <w:rPr>
          <w:rFonts w:ascii="Times New Roman" w:hAnsi="Times New Roman" w:cs="Times New Roman"/>
        </w:rPr>
      </w:pPr>
    </w:p>
    <w:p w14:paraId="5E783149" w14:textId="4407B721" w:rsidR="004E5CEB" w:rsidRDefault="004E5CEB" w:rsidP="002E611A">
      <w:pPr>
        <w:spacing w:line="360" w:lineRule="auto"/>
        <w:rPr>
          <w:rFonts w:ascii="Times New Roman" w:hAnsi="Times New Roman" w:cs="Times New Roman"/>
        </w:rPr>
      </w:pPr>
    </w:p>
    <w:p w14:paraId="77093F42" w14:textId="38CCB1C0" w:rsidR="004E5CEB" w:rsidRDefault="004E5CEB" w:rsidP="002E611A">
      <w:pPr>
        <w:spacing w:line="360" w:lineRule="auto"/>
        <w:rPr>
          <w:rFonts w:ascii="Times New Roman" w:hAnsi="Times New Roman" w:cs="Times New Roman"/>
        </w:rPr>
      </w:pPr>
    </w:p>
    <w:p w14:paraId="1FCBE672" w14:textId="6C547921" w:rsidR="004E5CEB" w:rsidRDefault="004E5CEB" w:rsidP="002E611A">
      <w:pPr>
        <w:spacing w:line="360" w:lineRule="auto"/>
        <w:rPr>
          <w:rFonts w:ascii="Times New Roman" w:hAnsi="Times New Roman" w:cs="Times New Roman"/>
        </w:rPr>
      </w:pPr>
    </w:p>
    <w:p w14:paraId="7FB7DF65" w14:textId="4C0221FF" w:rsidR="004E5CEB" w:rsidRDefault="004E5CEB" w:rsidP="002E611A">
      <w:pPr>
        <w:spacing w:line="360" w:lineRule="auto"/>
        <w:rPr>
          <w:rFonts w:ascii="Times New Roman" w:hAnsi="Times New Roman" w:cs="Times New Roman"/>
        </w:rPr>
      </w:pPr>
    </w:p>
    <w:p w14:paraId="08DF1AAB" w14:textId="720EBC3A" w:rsidR="004E5CEB" w:rsidRDefault="004E5CEB" w:rsidP="002E611A">
      <w:pPr>
        <w:spacing w:line="360" w:lineRule="auto"/>
        <w:rPr>
          <w:rFonts w:ascii="Times New Roman" w:hAnsi="Times New Roman" w:cs="Times New Roman"/>
        </w:rPr>
      </w:pP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commentRangeStart w:id="15"/>
      <w:r>
        <w:rPr>
          <w:rFonts w:ascii="Times New Roman" w:hAnsi="Times New Roman" w:cs="Times New Roman"/>
        </w:rPr>
        <w:t xml:space="preserve">Table S6: </w:t>
      </w:r>
      <w:commentRangeEnd w:id="15"/>
      <w:r>
        <w:rPr>
          <w:rStyle w:val="CommentReference"/>
        </w:rPr>
        <w:commentReference w:id="15"/>
      </w:r>
      <w:r>
        <w:rPr>
          <w:rFonts w:ascii="Times New Roman" w:hAnsi="Times New Roman" w:cs="Times New Roman"/>
        </w:rPr>
        <w:t>Model output for background nutrients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5B0F18">
        <w:tc>
          <w:tcPr>
            <w:tcW w:w="2536" w:type="dxa"/>
          </w:tcPr>
          <w:p w14:paraId="5435B3D7" w14:textId="77777777" w:rsidR="004E5CEB" w:rsidRDefault="004E5CEB" w:rsidP="005B0F18">
            <w:pPr>
              <w:spacing w:line="360" w:lineRule="auto"/>
              <w:rPr>
                <w:rFonts w:ascii="Times New Roman" w:hAnsi="Times New Roman" w:cs="Times New Roman"/>
              </w:rPr>
            </w:pPr>
          </w:p>
        </w:tc>
        <w:tc>
          <w:tcPr>
            <w:tcW w:w="1157" w:type="dxa"/>
          </w:tcPr>
          <w:p w14:paraId="2B41349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5B0F18">
        <w:tc>
          <w:tcPr>
            <w:tcW w:w="2536" w:type="dxa"/>
          </w:tcPr>
          <w:p w14:paraId="06AEB15B"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0.4542</w:t>
            </w:r>
          </w:p>
        </w:tc>
        <w:tc>
          <w:tcPr>
            <w:tcW w:w="1150" w:type="dxa"/>
          </w:tcPr>
          <w:p w14:paraId="2623CFB9"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0.1599</w:t>
            </w:r>
          </w:p>
        </w:tc>
        <w:tc>
          <w:tcPr>
            <w:tcW w:w="1150" w:type="dxa"/>
          </w:tcPr>
          <w:p w14:paraId="46E4BED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2.8399</w:t>
            </w:r>
          </w:p>
        </w:tc>
        <w:tc>
          <w:tcPr>
            <w:tcW w:w="1108" w:type="dxa"/>
          </w:tcPr>
          <w:p w14:paraId="507A987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0.0051</w:t>
            </w:r>
          </w:p>
        </w:tc>
      </w:tr>
      <w:tr w:rsidR="004E5CEB" w14:paraId="4848A341" w14:textId="77777777" w:rsidTr="005B0F18">
        <w:tc>
          <w:tcPr>
            <w:tcW w:w="2536" w:type="dxa"/>
          </w:tcPr>
          <w:p w14:paraId="77F80F11"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Nut_stand</w:t>
            </w:r>
            <w:proofErr w:type="spellEnd"/>
          </w:p>
        </w:tc>
        <w:tc>
          <w:tcPr>
            <w:tcW w:w="1157" w:type="dxa"/>
          </w:tcPr>
          <w:p w14:paraId="0267071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0.0983</w:t>
            </w:r>
          </w:p>
        </w:tc>
        <w:tc>
          <w:tcPr>
            <w:tcW w:w="1150" w:type="dxa"/>
          </w:tcPr>
          <w:p w14:paraId="458827AB"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0.0725</w:t>
            </w:r>
          </w:p>
        </w:tc>
        <w:tc>
          <w:tcPr>
            <w:tcW w:w="1150" w:type="dxa"/>
          </w:tcPr>
          <w:p w14:paraId="13669FF2"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1.3553</w:t>
            </w:r>
          </w:p>
        </w:tc>
        <w:tc>
          <w:tcPr>
            <w:tcW w:w="1108" w:type="dxa"/>
          </w:tcPr>
          <w:p w14:paraId="6312C2B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0.1771</w:t>
            </w:r>
          </w:p>
        </w:tc>
      </w:tr>
      <w:tr w:rsidR="004E5CEB" w14:paraId="4A8B4025" w14:textId="77777777" w:rsidTr="005B0F18">
        <w:tc>
          <w:tcPr>
            <w:tcW w:w="2536" w:type="dxa"/>
          </w:tcPr>
          <w:p w14:paraId="25ABC61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49DA184C"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-0.0884</w:t>
            </w:r>
          </w:p>
        </w:tc>
        <w:tc>
          <w:tcPr>
            <w:tcW w:w="1150" w:type="dxa"/>
          </w:tcPr>
          <w:p w14:paraId="4EE2F63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0.22</w:t>
            </w:r>
            <w:r>
              <w:rPr>
                <w:rFonts w:ascii="Times New Roman" w:hAnsi="Times New Roman" w:cs="Times New Roman"/>
              </w:rPr>
              <w:t>66</w:t>
            </w:r>
          </w:p>
        </w:tc>
        <w:tc>
          <w:tcPr>
            <w:tcW w:w="1150" w:type="dxa"/>
          </w:tcPr>
          <w:p w14:paraId="740BCD27"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Pr>
                <w:rFonts w:ascii="Times New Roman" w:hAnsi="Times New Roman" w:cs="Times New Roman"/>
              </w:rPr>
              <w:t>3899</w:t>
            </w:r>
          </w:p>
        </w:tc>
        <w:tc>
          <w:tcPr>
            <w:tcW w:w="1108" w:type="dxa"/>
          </w:tcPr>
          <w:p w14:paraId="03CA4E1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0.6971</w:t>
            </w:r>
          </w:p>
        </w:tc>
      </w:tr>
      <w:tr w:rsidR="004E5CEB" w14:paraId="050BDF1D" w14:textId="77777777" w:rsidTr="005B0F18">
        <w:tc>
          <w:tcPr>
            <w:tcW w:w="2536" w:type="dxa"/>
          </w:tcPr>
          <w:p w14:paraId="5B28AB6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0.3691</w:t>
            </w:r>
          </w:p>
        </w:tc>
        <w:tc>
          <w:tcPr>
            <w:tcW w:w="1150" w:type="dxa"/>
          </w:tcPr>
          <w:p w14:paraId="797CDDBC"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0.21</w:t>
            </w:r>
            <w:r>
              <w:rPr>
                <w:rFonts w:ascii="Times New Roman" w:hAnsi="Times New Roman" w:cs="Times New Roman"/>
              </w:rPr>
              <w:t>92</w:t>
            </w:r>
          </w:p>
        </w:tc>
        <w:tc>
          <w:tcPr>
            <w:tcW w:w="1150" w:type="dxa"/>
          </w:tcPr>
          <w:p w14:paraId="4653631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1.6833</w:t>
            </w:r>
          </w:p>
        </w:tc>
        <w:tc>
          <w:tcPr>
            <w:tcW w:w="1108" w:type="dxa"/>
          </w:tcPr>
          <w:p w14:paraId="080C6111"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0.0941</w:t>
            </w:r>
          </w:p>
        </w:tc>
      </w:tr>
      <w:tr w:rsidR="004E5CEB" w14:paraId="29F1010B" w14:textId="77777777" w:rsidTr="005B0F18">
        <w:tc>
          <w:tcPr>
            <w:tcW w:w="2536" w:type="dxa"/>
          </w:tcPr>
          <w:p w14:paraId="337B17A1"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0.6605</w:t>
            </w:r>
          </w:p>
        </w:tc>
        <w:tc>
          <w:tcPr>
            <w:tcW w:w="1150" w:type="dxa"/>
          </w:tcPr>
          <w:p w14:paraId="67671EA7"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0.311</w:t>
            </w:r>
            <w:r>
              <w:rPr>
                <w:rFonts w:ascii="Times New Roman" w:hAnsi="Times New Roman" w:cs="Times New Roman"/>
              </w:rPr>
              <w:t>1</w:t>
            </w:r>
          </w:p>
        </w:tc>
        <w:tc>
          <w:tcPr>
            <w:tcW w:w="1150" w:type="dxa"/>
          </w:tcPr>
          <w:p w14:paraId="7A0FE5F9"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2.1233</w:t>
            </w:r>
          </w:p>
        </w:tc>
        <w:tc>
          <w:tcPr>
            <w:tcW w:w="1108" w:type="dxa"/>
          </w:tcPr>
          <w:p w14:paraId="4EF68495"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0.0352</w:t>
            </w:r>
          </w:p>
        </w:tc>
      </w:tr>
      <w:tr w:rsidR="004E5CEB" w14:paraId="32B0EE55" w14:textId="77777777" w:rsidTr="005B0F18">
        <w:tc>
          <w:tcPr>
            <w:tcW w:w="2536" w:type="dxa"/>
          </w:tcPr>
          <w:p w14:paraId="1DC1D798"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0.0909</w:t>
            </w:r>
          </w:p>
        </w:tc>
        <w:tc>
          <w:tcPr>
            <w:tcW w:w="1150" w:type="dxa"/>
          </w:tcPr>
          <w:p w14:paraId="1D7DFA8E"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0.2046</w:t>
            </w:r>
          </w:p>
        </w:tc>
        <w:tc>
          <w:tcPr>
            <w:tcW w:w="1150" w:type="dxa"/>
          </w:tcPr>
          <w:p w14:paraId="0501CD97"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0.4440</w:t>
            </w:r>
          </w:p>
        </w:tc>
        <w:tc>
          <w:tcPr>
            <w:tcW w:w="1108" w:type="dxa"/>
          </w:tcPr>
          <w:p w14:paraId="3138CF9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0.6576</w:t>
            </w:r>
          </w:p>
        </w:tc>
      </w:tr>
      <w:tr w:rsidR="004E5CEB" w14:paraId="5F05A577" w14:textId="77777777" w:rsidTr="005B0F18">
        <w:tc>
          <w:tcPr>
            <w:tcW w:w="2536" w:type="dxa"/>
          </w:tcPr>
          <w:p w14:paraId="48B40C6B"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0.1168</w:t>
            </w:r>
          </w:p>
        </w:tc>
        <w:tc>
          <w:tcPr>
            <w:tcW w:w="1150" w:type="dxa"/>
          </w:tcPr>
          <w:p w14:paraId="34C4B9C8"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0.1975</w:t>
            </w:r>
          </w:p>
        </w:tc>
        <w:tc>
          <w:tcPr>
            <w:tcW w:w="1150" w:type="dxa"/>
          </w:tcPr>
          <w:p w14:paraId="7A17FA6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-0.5914</w:t>
            </w:r>
          </w:p>
        </w:tc>
        <w:tc>
          <w:tcPr>
            <w:tcW w:w="1108" w:type="dxa"/>
          </w:tcPr>
          <w:p w14:paraId="04ED5B72"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0.5551</w:t>
            </w:r>
          </w:p>
        </w:tc>
      </w:tr>
      <w:tr w:rsidR="004E5CEB" w14:paraId="4846F8A6" w14:textId="77777777" w:rsidTr="005B0F18">
        <w:tc>
          <w:tcPr>
            <w:tcW w:w="2536" w:type="dxa"/>
          </w:tcPr>
          <w:p w14:paraId="76A9B6B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0.3669</w:t>
            </w:r>
          </w:p>
        </w:tc>
        <w:tc>
          <w:tcPr>
            <w:tcW w:w="1150" w:type="dxa"/>
          </w:tcPr>
          <w:p w14:paraId="1AAF6FFD"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Pr>
                <w:rFonts w:ascii="Times New Roman" w:hAnsi="Times New Roman" w:cs="Times New Roman"/>
              </w:rPr>
              <w:t>265</w:t>
            </w:r>
          </w:p>
        </w:tc>
        <w:tc>
          <w:tcPr>
            <w:tcW w:w="1150" w:type="dxa"/>
          </w:tcPr>
          <w:p w14:paraId="57680930"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1.6195</w:t>
            </w:r>
          </w:p>
        </w:tc>
        <w:tc>
          <w:tcPr>
            <w:tcW w:w="1108" w:type="dxa"/>
          </w:tcPr>
          <w:p w14:paraId="4D354CD4"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0.1072</w:t>
            </w:r>
          </w:p>
        </w:tc>
      </w:tr>
      <w:tr w:rsidR="004E5CEB" w14:paraId="0E9EF17A" w14:textId="77777777" w:rsidTr="005B0F18">
        <w:tc>
          <w:tcPr>
            <w:tcW w:w="2536" w:type="dxa"/>
          </w:tcPr>
          <w:p w14:paraId="65BDDBA8"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-0.3467</w:t>
            </w:r>
          </w:p>
        </w:tc>
        <w:tc>
          <w:tcPr>
            <w:tcW w:w="1150" w:type="dxa"/>
          </w:tcPr>
          <w:p w14:paraId="138D650B"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0.19</w:t>
            </w:r>
            <w:r>
              <w:rPr>
                <w:rFonts w:ascii="Times New Roman" w:hAnsi="Times New Roman" w:cs="Times New Roman"/>
              </w:rPr>
              <w:t>06</w:t>
            </w:r>
          </w:p>
        </w:tc>
        <w:tc>
          <w:tcPr>
            <w:tcW w:w="1150" w:type="dxa"/>
          </w:tcPr>
          <w:p w14:paraId="326A0813"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1.8193</w:t>
            </w:r>
          </w:p>
        </w:tc>
        <w:tc>
          <w:tcPr>
            <w:tcW w:w="1108" w:type="dxa"/>
          </w:tcPr>
          <w:p w14:paraId="28C499C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0.0706</w:t>
            </w:r>
          </w:p>
        </w:tc>
      </w:tr>
    </w:tbl>
    <w:p w14:paraId="6768927D" w14:textId="53E8405B" w:rsidR="00BA7305" w:rsidRDefault="00BA7305" w:rsidP="00457F19">
      <w:pPr>
        <w:spacing w:line="360" w:lineRule="auto"/>
        <w:rPr>
          <w:rFonts w:ascii="Times New Roman" w:hAnsi="Times New Roman" w:cs="Times New Roman"/>
        </w:rPr>
      </w:pPr>
    </w:p>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2E611A" w:rsidRDefault="00082172" w:rsidP="00B168CE">
      <w:pPr>
        <w:spacing w:line="360" w:lineRule="auto"/>
        <w:rPr>
          <w:rFonts w:ascii="Times New Roman" w:hAnsi="Times New Roman" w:cs="Times New Roman"/>
          <w:i/>
        </w:rPr>
      </w:pPr>
      <w:r w:rsidRPr="002E611A">
        <w:rPr>
          <w:rFonts w:ascii="Times New Roman" w:hAnsi="Times New Roman" w:cs="Times New Roman"/>
          <w:i/>
        </w:rPr>
        <w:t>Latitude and temperature</w:t>
      </w:r>
      <w:r w:rsidR="003A397E" w:rsidRPr="002E611A">
        <w:rPr>
          <w:rFonts w:ascii="Times New Roman" w:hAnsi="Times New Roman" w:cs="Times New Roman"/>
          <w:i/>
        </w:rPr>
        <w:t xml:space="preserve"> models</w:t>
      </w:r>
    </w:p>
    <w:p w14:paraId="5FFBC707" w14:textId="335F6D7A"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w:t>
      </w:r>
      <w:r w:rsidR="00504E41">
        <w:rPr>
          <w:rFonts w:ascii="Times New Roman" w:hAnsi="Times New Roman" w:cs="Times New Roman"/>
        </w:rPr>
        <w:t>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evidence of differences between subgroups</w:t>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2EB77DE2"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r w:rsidR="008723FB">
        <w:rPr>
          <w:rFonts w:ascii="Times New Roman" w:hAnsi="Times New Roman" w:cs="Times New Roman"/>
        </w:rPr>
        <w:t>n overall</w:t>
      </w:r>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FA2DCA">
        <w:rPr>
          <w:rFonts w:ascii="Times New Roman" w:hAnsi="Times New Roman" w:cs="Times New Roman"/>
        </w:rPr>
        <w:t>19</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FA2DCA">
        <w:rPr>
          <w:rFonts w:ascii="Times New Roman" w:hAnsi="Times New Roman" w:cs="Times New Roman"/>
        </w:rPr>
        <w:t>31</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24</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3006.</w:t>
      </w:r>
      <w:r w:rsidR="008E2F1F">
        <w:rPr>
          <w:rFonts w:ascii="Times New Roman" w:hAnsi="Times New Roman" w:cs="Times New Roman"/>
        </w:rPr>
        <w:t>87</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2560F0A0"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77777777" w:rsidR="004E5CEB" w:rsidRDefault="004E5CE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40D34BE" wp14:editId="39AD5F8D">
            <wp:extent cx="5943600" cy="3343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S3.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commentRangeStart w:id="16"/>
      <w:r w:rsidRPr="00955049">
        <w:rPr>
          <w:rFonts w:ascii="Times New Roman" w:hAnsi="Times New Roman" w:cs="Times New Roman"/>
          <w:highlight w:val="yellow"/>
        </w:rPr>
        <w:t xml:space="preserve">Table </w:t>
      </w:r>
      <w:r>
        <w:rPr>
          <w:rFonts w:ascii="Times New Roman" w:hAnsi="Times New Roman" w:cs="Times New Roman"/>
          <w:highlight w:val="yellow"/>
        </w:rPr>
        <w:t>S7</w:t>
      </w:r>
      <w:commentRangeEnd w:id="16"/>
      <w:r>
        <w:rPr>
          <w:rStyle w:val="CommentReference"/>
        </w:rPr>
        <w:commentReference w:id="16"/>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5B0F18">
        <w:tc>
          <w:tcPr>
            <w:tcW w:w="2536" w:type="dxa"/>
          </w:tcPr>
          <w:p w14:paraId="524A75D1" w14:textId="77777777" w:rsidR="004E5CEB" w:rsidRDefault="004E5CEB" w:rsidP="005B0F18">
            <w:pPr>
              <w:spacing w:line="360" w:lineRule="auto"/>
              <w:rPr>
                <w:rFonts w:ascii="Times New Roman" w:hAnsi="Times New Roman" w:cs="Times New Roman"/>
              </w:rPr>
            </w:pPr>
          </w:p>
        </w:tc>
        <w:tc>
          <w:tcPr>
            <w:tcW w:w="1157" w:type="dxa"/>
          </w:tcPr>
          <w:p w14:paraId="0D96AF2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5B0F18">
        <w:tc>
          <w:tcPr>
            <w:tcW w:w="2536" w:type="dxa"/>
          </w:tcPr>
          <w:p w14:paraId="40552C54"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0.5126</w:t>
            </w:r>
          </w:p>
        </w:tc>
        <w:tc>
          <w:tcPr>
            <w:tcW w:w="1150" w:type="dxa"/>
          </w:tcPr>
          <w:p w14:paraId="73538538"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0.1547</w:t>
            </w:r>
          </w:p>
        </w:tc>
        <w:tc>
          <w:tcPr>
            <w:tcW w:w="1150" w:type="dxa"/>
          </w:tcPr>
          <w:p w14:paraId="662A9F97"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3.3137</w:t>
            </w:r>
          </w:p>
        </w:tc>
        <w:tc>
          <w:tcPr>
            <w:tcW w:w="1108" w:type="dxa"/>
          </w:tcPr>
          <w:p w14:paraId="0C39539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0.0011</w:t>
            </w:r>
          </w:p>
        </w:tc>
      </w:tr>
      <w:tr w:rsidR="004E5CEB" w14:paraId="0C6D69DC" w14:textId="77777777" w:rsidTr="005B0F18">
        <w:tc>
          <w:tcPr>
            <w:tcW w:w="2536" w:type="dxa"/>
          </w:tcPr>
          <w:p w14:paraId="403FFB4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-0.0156</w:t>
            </w:r>
          </w:p>
        </w:tc>
        <w:tc>
          <w:tcPr>
            <w:tcW w:w="1150" w:type="dxa"/>
          </w:tcPr>
          <w:p w14:paraId="6D491B79"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0.07</w:t>
            </w:r>
            <w:r>
              <w:rPr>
                <w:rFonts w:ascii="Times New Roman" w:hAnsi="Times New Roman" w:cs="Times New Roman"/>
              </w:rPr>
              <w:t>50</w:t>
            </w:r>
          </w:p>
        </w:tc>
        <w:tc>
          <w:tcPr>
            <w:tcW w:w="1150" w:type="dxa"/>
          </w:tcPr>
          <w:p w14:paraId="28AFDBE2"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-0.2074</w:t>
            </w:r>
          </w:p>
        </w:tc>
        <w:tc>
          <w:tcPr>
            <w:tcW w:w="1108" w:type="dxa"/>
          </w:tcPr>
          <w:p w14:paraId="7D93285E"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0.8359</w:t>
            </w:r>
          </w:p>
        </w:tc>
      </w:tr>
      <w:tr w:rsidR="004E5CEB" w14:paraId="4B13883B" w14:textId="77777777" w:rsidTr="005B0F18">
        <w:tc>
          <w:tcPr>
            <w:tcW w:w="2536" w:type="dxa"/>
          </w:tcPr>
          <w:p w14:paraId="5C82D35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0.0751</w:t>
            </w:r>
          </w:p>
        </w:tc>
        <w:tc>
          <w:tcPr>
            <w:tcW w:w="1150" w:type="dxa"/>
          </w:tcPr>
          <w:p w14:paraId="53399CB2"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0.2264</w:t>
            </w:r>
          </w:p>
        </w:tc>
        <w:tc>
          <w:tcPr>
            <w:tcW w:w="1150" w:type="dxa"/>
          </w:tcPr>
          <w:p w14:paraId="643D3580"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0.3318</w:t>
            </w:r>
          </w:p>
        </w:tc>
        <w:tc>
          <w:tcPr>
            <w:tcW w:w="1108" w:type="dxa"/>
          </w:tcPr>
          <w:p w14:paraId="1B3A4B5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0.7405</w:t>
            </w:r>
          </w:p>
        </w:tc>
      </w:tr>
      <w:tr w:rsidR="004E5CEB" w14:paraId="55DE1716" w14:textId="77777777" w:rsidTr="005B0F18">
        <w:tc>
          <w:tcPr>
            <w:tcW w:w="2536" w:type="dxa"/>
          </w:tcPr>
          <w:p w14:paraId="475E17C6"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0.2667</w:t>
            </w:r>
          </w:p>
        </w:tc>
        <w:tc>
          <w:tcPr>
            <w:tcW w:w="1150" w:type="dxa"/>
          </w:tcPr>
          <w:p w14:paraId="7318CD05"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0.2125</w:t>
            </w:r>
          </w:p>
        </w:tc>
        <w:tc>
          <w:tcPr>
            <w:tcW w:w="1150" w:type="dxa"/>
          </w:tcPr>
          <w:p w14:paraId="197E25FD"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1.2552</w:t>
            </w:r>
          </w:p>
        </w:tc>
        <w:tc>
          <w:tcPr>
            <w:tcW w:w="1108" w:type="dxa"/>
          </w:tcPr>
          <w:p w14:paraId="1784276A"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0.2111</w:t>
            </w:r>
          </w:p>
        </w:tc>
      </w:tr>
      <w:tr w:rsidR="004E5CEB" w14:paraId="3CB053B2" w14:textId="77777777" w:rsidTr="005B0F18">
        <w:tc>
          <w:tcPr>
            <w:tcW w:w="2536" w:type="dxa"/>
          </w:tcPr>
          <w:p w14:paraId="44287F4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0.6122</w:t>
            </w:r>
          </w:p>
        </w:tc>
        <w:tc>
          <w:tcPr>
            <w:tcW w:w="1150" w:type="dxa"/>
          </w:tcPr>
          <w:p w14:paraId="7CE3456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3103</w:t>
            </w:r>
          </w:p>
        </w:tc>
        <w:tc>
          <w:tcPr>
            <w:tcW w:w="1150" w:type="dxa"/>
          </w:tcPr>
          <w:p w14:paraId="35EA938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1.9728</w:t>
            </w:r>
          </w:p>
        </w:tc>
        <w:tc>
          <w:tcPr>
            <w:tcW w:w="1108" w:type="dxa"/>
          </w:tcPr>
          <w:p w14:paraId="032984EC"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0.0501</w:t>
            </w:r>
          </w:p>
        </w:tc>
      </w:tr>
      <w:tr w:rsidR="004E5CEB" w14:paraId="6D9AD27E" w14:textId="77777777" w:rsidTr="005B0F18">
        <w:tc>
          <w:tcPr>
            <w:tcW w:w="2536" w:type="dxa"/>
          </w:tcPr>
          <w:p w14:paraId="5387B1B3"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0.1135</w:t>
            </w:r>
          </w:p>
        </w:tc>
        <w:tc>
          <w:tcPr>
            <w:tcW w:w="1150" w:type="dxa"/>
          </w:tcPr>
          <w:p w14:paraId="2E1A2E0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0.1980</w:t>
            </w:r>
          </w:p>
        </w:tc>
        <w:tc>
          <w:tcPr>
            <w:tcW w:w="1150" w:type="dxa"/>
          </w:tcPr>
          <w:p w14:paraId="3D64F27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0.5733</w:t>
            </w:r>
          </w:p>
        </w:tc>
        <w:tc>
          <w:tcPr>
            <w:tcW w:w="1108" w:type="dxa"/>
          </w:tcPr>
          <w:p w14:paraId="64B6F8A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0.5672</w:t>
            </w:r>
          </w:p>
        </w:tc>
      </w:tr>
      <w:tr w:rsidR="004E5CEB" w14:paraId="64FEF117" w14:textId="77777777" w:rsidTr="005B0F18">
        <w:tc>
          <w:tcPr>
            <w:tcW w:w="2536" w:type="dxa"/>
          </w:tcPr>
          <w:p w14:paraId="678A0BAE"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-0.2395</w:t>
            </w:r>
          </w:p>
        </w:tc>
        <w:tc>
          <w:tcPr>
            <w:tcW w:w="1150" w:type="dxa"/>
          </w:tcPr>
          <w:p w14:paraId="2CC25F4A"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0.1971</w:t>
            </w:r>
          </w:p>
        </w:tc>
        <w:tc>
          <w:tcPr>
            <w:tcW w:w="1150" w:type="dxa"/>
          </w:tcPr>
          <w:p w14:paraId="37CE6017"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1.2151</w:t>
            </w:r>
          </w:p>
        </w:tc>
        <w:tc>
          <w:tcPr>
            <w:tcW w:w="1108" w:type="dxa"/>
          </w:tcPr>
          <w:p w14:paraId="034933C4"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7777777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0.2260</w:t>
            </w:r>
          </w:p>
        </w:tc>
      </w:tr>
      <w:tr w:rsidR="004E5CEB" w14:paraId="2856B487" w14:textId="77777777" w:rsidTr="005B0F18">
        <w:tc>
          <w:tcPr>
            <w:tcW w:w="2536" w:type="dxa"/>
          </w:tcPr>
          <w:p w14:paraId="2373E410"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0.3803</w:t>
            </w:r>
          </w:p>
        </w:tc>
        <w:tc>
          <w:tcPr>
            <w:tcW w:w="1150" w:type="dxa"/>
          </w:tcPr>
          <w:p w14:paraId="2F53F947"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0.2254</w:t>
            </w:r>
          </w:p>
        </w:tc>
        <w:tc>
          <w:tcPr>
            <w:tcW w:w="1150" w:type="dxa"/>
          </w:tcPr>
          <w:p w14:paraId="438EF6F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1.6867</w:t>
            </w:r>
          </w:p>
        </w:tc>
        <w:tc>
          <w:tcPr>
            <w:tcW w:w="1108" w:type="dxa"/>
          </w:tcPr>
          <w:p w14:paraId="5EA5BB05"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0.0935</w:t>
            </w:r>
          </w:p>
        </w:tc>
      </w:tr>
      <w:tr w:rsidR="004E5CEB" w14:paraId="5EF3936B" w14:textId="77777777" w:rsidTr="005B0F18">
        <w:tc>
          <w:tcPr>
            <w:tcW w:w="2536" w:type="dxa"/>
          </w:tcPr>
          <w:p w14:paraId="21585E5C"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0.3673</w:t>
            </w:r>
          </w:p>
        </w:tc>
        <w:tc>
          <w:tcPr>
            <w:tcW w:w="1150" w:type="dxa"/>
          </w:tcPr>
          <w:p w14:paraId="72C9E306"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1897</w:t>
            </w:r>
          </w:p>
        </w:tc>
        <w:tc>
          <w:tcPr>
            <w:tcW w:w="1150" w:type="dxa"/>
          </w:tcPr>
          <w:p w14:paraId="4617403C"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1.9363</w:t>
            </w:r>
          </w:p>
        </w:tc>
        <w:tc>
          <w:tcPr>
            <w:tcW w:w="1108" w:type="dxa"/>
          </w:tcPr>
          <w:p w14:paraId="05081C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0.0545</w:t>
            </w:r>
          </w:p>
        </w:tc>
      </w:tr>
    </w:tbl>
    <w:p w14:paraId="416B5792" w14:textId="1807926D" w:rsidR="004E5CEB" w:rsidRDefault="004E5CEB" w:rsidP="004E5CEB">
      <w:pPr>
        <w:spacing w:line="360" w:lineRule="auto"/>
        <w:rPr>
          <w:rFonts w:ascii="Times New Roman" w:hAnsi="Times New Roman" w:cs="Times New Roman"/>
        </w:rPr>
      </w:pPr>
    </w:p>
    <w:p w14:paraId="28375FDC" w14:textId="77777777" w:rsidR="004E5CEB" w:rsidRDefault="004E5CEB" w:rsidP="004E5CEB">
      <w:pPr>
        <w:spacing w:line="360" w:lineRule="auto"/>
        <w:rPr>
          <w:rFonts w:ascii="Times New Roman" w:hAnsi="Times New Roman" w:cs="Times New Roman"/>
        </w:rPr>
      </w:pPr>
      <w:r>
        <w:rPr>
          <w:rFonts w:ascii="AppleSystemUIFont" w:hAnsi="AppleSystemUIFont" w:cs="AppleSystemUIFont"/>
          <w:noProof/>
          <w:color w:val="353535"/>
        </w:rPr>
        <w:lastRenderedPageBreak/>
        <w:drawing>
          <wp:inline distT="0" distB="0" distL="0" distR="0" wp14:anchorId="19443EA0" wp14:editId="6A2331CD">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S4: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commentRangeStart w:id="17"/>
      <w:r w:rsidRPr="000C383E">
        <w:rPr>
          <w:rFonts w:ascii="Times New Roman" w:hAnsi="Times New Roman" w:cs="Times New Roman"/>
          <w:highlight w:val="yellow"/>
        </w:rPr>
        <w:t xml:space="preserve">Table </w:t>
      </w:r>
      <w:r>
        <w:rPr>
          <w:rFonts w:ascii="Times New Roman" w:hAnsi="Times New Roman" w:cs="Times New Roman"/>
          <w:highlight w:val="yellow"/>
        </w:rPr>
        <w:t>S8</w:t>
      </w:r>
      <w:r>
        <w:rPr>
          <w:rFonts w:ascii="Times New Roman" w:hAnsi="Times New Roman" w:cs="Times New Roman"/>
        </w:rPr>
        <w:t xml:space="preserve">. </w:t>
      </w:r>
      <w:commentRangeEnd w:id="17"/>
      <w:r>
        <w:rPr>
          <w:rStyle w:val="CommentReference"/>
        </w:rPr>
        <w:commentReference w:id="17"/>
      </w:r>
      <w:r>
        <w:rPr>
          <w:rFonts w:ascii="Times New Roman" w:hAnsi="Times New Roman" w:cs="Times New Roman"/>
        </w:rPr>
        <w:t>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5B0F18">
        <w:tc>
          <w:tcPr>
            <w:tcW w:w="2536" w:type="dxa"/>
          </w:tcPr>
          <w:p w14:paraId="2629508C" w14:textId="77777777" w:rsidR="004E5CEB" w:rsidRDefault="004E5CEB" w:rsidP="005B0F18">
            <w:pPr>
              <w:spacing w:line="360" w:lineRule="auto"/>
              <w:rPr>
                <w:rFonts w:ascii="Times New Roman" w:hAnsi="Times New Roman" w:cs="Times New Roman"/>
              </w:rPr>
            </w:pPr>
          </w:p>
        </w:tc>
        <w:tc>
          <w:tcPr>
            <w:tcW w:w="1157" w:type="dxa"/>
          </w:tcPr>
          <w:p w14:paraId="1A03D1AB" w14:textId="77777777" w:rsidR="004E5CEB" w:rsidRDefault="004E5CEB" w:rsidP="005B0F18">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5B0F18">
        <w:tc>
          <w:tcPr>
            <w:tcW w:w="2536" w:type="dxa"/>
          </w:tcPr>
          <w:p w14:paraId="366E31F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0.4898</w:t>
            </w:r>
          </w:p>
        </w:tc>
        <w:tc>
          <w:tcPr>
            <w:tcW w:w="1150" w:type="dxa"/>
          </w:tcPr>
          <w:p w14:paraId="35BD8E81"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0.1551</w:t>
            </w:r>
          </w:p>
        </w:tc>
        <w:tc>
          <w:tcPr>
            <w:tcW w:w="1150" w:type="dxa"/>
          </w:tcPr>
          <w:p w14:paraId="4410B365"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3.1577</w:t>
            </w:r>
          </w:p>
        </w:tc>
        <w:tc>
          <w:tcPr>
            <w:tcW w:w="1108" w:type="dxa"/>
          </w:tcPr>
          <w:p w14:paraId="4FBEFCF0"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0.0019</w:t>
            </w:r>
          </w:p>
        </w:tc>
      </w:tr>
      <w:tr w:rsidR="004E5CEB" w14:paraId="2167182F" w14:textId="77777777" w:rsidTr="005B0F18">
        <w:tc>
          <w:tcPr>
            <w:tcW w:w="2536" w:type="dxa"/>
          </w:tcPr>
          <w:p w14:paraId="4686FB7D"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0.0493</w:t>
            </w:r>
          </w:p>
        </w:tc>
        <w:tc>
          <w:tcPr>
            <w:tcW w:w="1150" w:type="dxa"/>
          </w:tcPr>
          <w:p w14:paraId="71598408"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0.0697</w:t>
            </w:r>
          </w:p>
        </w:tc>
        <w:tc>
          <w:tcPr>
            <w:tcW w:w="1150" w:type="dxa"/>
          </w:tcPr>
          <w:p w14:paraId="122B2324"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0.7072</w:t>
            </w:r>
          </w:p>
        </w:tc>
        <w:tc>
          <w:tcPr>
            <w:tcW w:w="1108" w:type="dxa"/>
          </w:tcPr>
          <w:p w14:paraId="1BEFD5DA"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0.4804</w:t>
            </w:r>
          </w:p>
        </w:tc>
      </w:tr>
      <w:tr w:rsidR="004E5CEB" w14:paraId="2D2C14F3" w14:textId="77777777" w:rsidTr="005B0F18">
        <w:tc>
          <w:tcPr>
            <w:tcW w:w="2536" w:type="dxa"/>
          </w:tcPr>
          <w:p w14:paraId="0B178A6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0.0673</w:t>
            </w:r>
          </w:p>
        </w:tc>
        <w:tc>
          <w:tcPr>
            <w:tcW w:w="1150" w:type="dxa"/>
          </w:tcPr>
          <w:p w14:paraId="38DD579B"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0.2259</w:t>
            </w:r>
          </w:p>
        </w:tc>
        <w:tc>
          <w:tcPr>
            <w:tcW w:w="1150" w:type="dxa"/>
          </w:tcPr>
          <w:p w14:paraId="1E76BA17"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0.2979</w:t>
            </w:r>
          </w:p>
        </w:tc>
        <w:tc>
          <w:tcPr>
            <w:tcW w:w="1108" w:type="dxa"/>
          </w:tcPr>
          <w:p w14:paraId="4BCDC39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0.7661</w:t>
            </w:r>
          </w:p>
        </w:tc>
      </w:tr>
      <w:tr w:rsidR="004E5CEB" w14:paraId="076DD632" w14:textId="77777777" w:rsidTr="005B0F18">
        <w:tc>
          <w:tcPr>
            <w:tcW w:w="2536" w:type="dxa"/>
          </w:tcPr>
          <w:p w14:paraId="0F2C6A9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0.3069</w:t>
            </w:r>
          </w:p>
        </w:tc>
        <w:tc>
          <w:tcPr>
            <w:tcW w:w="1150" w:type="dxa"/>
          </w:tcPr>
          <w:p w14:paraId="0C4C9983"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0.2088</w:t>
            </w:r>
          </w:p>
        </w:tc>
        <w:tc>
          <w:tcPr>
            <w:tcW w:w="1150" w:type="dxa"/>
          </w:tcPr>
          <w:p w14:paraId="71A9E44B"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1.4701</w:t>
            </w:r>
          </w:p>
        </w:tc>
        <w:tc>
          <w:tcPr>
            <w:tcW w:w="1108" w:type="dxa"/>
          </w:tcPr>
          <w:p w14:paraId="1DA809CF"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0.1434</w:t>
            </w:r>
          </w:p>
        </w:tc>
      </w:tr>
      <w:tr w:rsidR="004E5CEB" w14:paraId="33858F23" w14:textId="77777777" w:rsidTr="005B0F18">
        <w:tc>
          <w:tcPr>
            <w:tcW w:w="2536" w:type="dxa"/>
          </w:tcPr>
          <w:p w14:paraId="1BBEE00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0.6428</w:t>
            </w:r>
          </w:p>
        </w:tc>
        <w:tc>
          <w:tcPr>
            <w:tcW w:w="1150" w:type="dxa"/>
          </w:tcPr>
          <w:p w14:paraId="7BD0BF61"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0.3101</w:t>
            </w:r>
          </w:p>
        </w:tc>
        <w:tc>
          <w:tcPr>
            <w:tcW w:w="1150" w:type="dxa"/>
          </w:tcPr>
          <w:p w14:paraId="124ADFA2"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2.0731</w:t>
            </w:r>
          </w:p>
        </w:tc>
        <w:tc>
          <w:tcPr>
            <w:tcW w:w="1108" w:type="dxa"/>
          </w:tcPr>
          <w:p w14:paraId="5D71F2D6"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0.0397</w:t>
            </w:r>
          </w:p>
        </w:tc>
      </w:tr>
      <w:tr w:rsidR="004E5CEB" w14:paraId="4E3AA812" w14:textId="77777777" w:rsidTr="005B0F18">
        <w:tc>
          <w:tcPr>
            <w:tcW w:w="2536" w:type="dxa"/>
          </w:tcPr>
          <w:p w14:paraId="25D0F1EE"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0.1082</w:t>
            </w:r>
          </w:p>
        </w:tc>
        <w:tc>
          <w:tcPr>
            <w:tcW w:w="1150" w:type="dxa"/>
          </w:tcPr>
          <w:p w14:paraId="6F5EFEC2"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0.1968</w:t>
            </w:r>
          </w:p>
        </w:tc>
        <w:tc>
          <w:tcPr>
            <w:tcW w:w="1150" w:type="dxa"/>
          </w:tcPr>
          <w:p w14:paraId="2A604007"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0.5497</w:t>
            </w:r>
          </w:p>
        </w:tc>
        <w:tc>
          <w:tcPr>
            <w:tcW w:w="1108" w:type="dxa"/>
          </w:tcPr>
          <w:p w14:paraId="49852795"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0.5833</w:t>
            </w:r>
          </w:p>
        </w:tc>
      </w:tr>
      <w:tr w:rsidR="004E5CEB" w14:paraId="225F0A23" w14:textId="77777777" w:rsidTr="005B0F18">
        <w:tc>
          <w:tcPr>
            <w:tcW w:w="2536" w:type="dxa"/>
          </w:tcPr>
          <w:p w14:paraId="3B4E8EC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0.1725</w:t>
            </w:r>
          </w:p>
        </w:tc>
        <w:tc>
          <w:tcPr>
            <w:tcW w:w="1150" w:type="dxa"/>
          </w:tcPr>
          <w:p w14:paraId="34D0A43C"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0.1937</w:t>
            </w:r>
          </w:p>
        </w:tc>
        <w:tc>
          <w:tcPr>
            <w:tcW w:w="1150" w:type="dxa"/>
          </w:tcPr>
          <w:p w14:paraId="43396A4A"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-0.8907</w:t>
            </w:r>
          </w:p>
        </w:tc>
        <w:tc>
          <w:tcPr>
            <w:tcW w:w="1108" w:type="dxa"/>
          </w:tcPr>
          <w:p w14:paraId="0CAF603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0.3743</w:t>
            </w:r>
          </w:p>
        </w:tc>
      </w:tr>
      <w:tr w:rsidR="004E5CEB" w14:paraId="1C87E795" w14:textId="77777777" w:rsidTr="005B0F18">
        <w:tc>
          <w:tcPr>
            <w:tcW w:w="2536" w:type="dxa"/>
          </w:tcPr>
          <w:p w14:paraId="33149F2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0.3836</w:t>
            </w:r>
          </w:p>
        </w:tc>
        <w:tc>
          <w:tcPr>
            <w:tcW w:w="1150" w:type="dxa"/>
          </w:tcPr>
          <w:p w14:paraId="0C1C7863"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0.2228</w:t>
            </w:r>
          </w:p>
        </w:tc>
        <w:tc>
          <w:tcPr>
            <w:tcW w:w="1150" w:type="dxa"/>
          </w:tcPr>
          <w:p w14:paraId="3B432629"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-1.7212</w:t>
            </w:r>
          </w:p>
        </w:tc>
        <w:tc>
          <w:tcPr>
            <w:tcW w:w="1108" w:type="dxa"/>
          </w:tcPr>
          <w:p w14:paraId="1A1BD594"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0.0870</w:t>
            </w:r>
          </w:p>
        </w:tc>
      </w:tr>
      <w:tr w:rsidR="004E5CEB" w14:paraId="2BA52C93" w14:textId="77777777" w:rsidTr="005B0F18">
        <w:tc>
          <w:tcPr>
            <w:tcW w:w="2536" w:type="dxa"/>
          </w:tcPr>
          <w:p w14:paraId="24CC1333"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77777777"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0.3699</w:t>
            </w:r>
          </w:p>
        </w:tc>
        <w:tc>
          <w:tcPr>
            <w:tcW w:w="1150" w:type="dxa"/>
          </w:tcPr>
          <w:p w14:paraId="365D6603"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0.1884</w:t>
            </w:r>
          </w:p>
        </w:tc>
        <w:tc>
          <w:tcPr>
            <w:tcW w:w="1150" w:type="dxa"/>
          </w:tcPr>
          <w:p w14:paraId="381F58D5"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-1.9630</w:t>
            </w:r>
          </w:p>
        </w:tc>
        <w:tc>
          <w:tcPr>
            <w:tcW w:w="1108" w:type="dxa"/>
          </w:tcPr>
          <w:p w14:paraId="259FB1C1"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7777777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0.0513</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ins w:id="18" w:author="Em Lim" w:date="2023-03-22T21:39:00Z"/>
          <w:rFonts w:ascii="Times New Roman" w:hAnsi="Times New Roman" w:cs="Times New Roman"/>
        </w:rPr>
      </w:pPr>
    </w:p>
    <w:p w14:paraId="65233FFB" w14:textId="55119DC2" w:rsidR="008A22DE" w:rsidRDefault="00410282" w:rsidP="00955049">
      <w:pPr>
        <w:spacing w:line="360" w:lineRule="auto"/>
        <w:rPr>
          <w:rFonts w:ascii="Times New Roman" w:hAnsi="Times New Roman" w:cs="Times New Roman"/>
        </w:rPr>
      </w:pPr>
      <w:r>
        <w:rPr>
          <w:rFonts w:ascii="Times New Roman" w:hAnsi="Times New Roman" w:cs="Times New Roman"/>
        </w:rPr>
        <w:lastRenderedPageBreak/>
        <w:t>Overview for d</w:t>
      </w:r>
      <w:r w:rsidR="008A22DE">
        <w:rPr>
          <w:rFonts w:ascii="Times New Roman" w:hAnsi="Times New Roman" w:cs="Times New Roman"/>
        </w:rPr>
        <w:t>iscussion:</w:t>
      </w:r>
    </w:p>
    <w:p w14:paraId="3A0AF043" w14:textId="50B00B30" w:rsidR="008A22DE" w:rsidRDefault="008A22DE" w:rsidP="00955049">
      <w:pPr>
        <w:spacing w:line="360" w:lineRule="auto"/>
        <w:rPr>
          <w:rFonts w:ascii="Times New Roman" w:hAnsi="Times New Roman" w:cs="Times New Roman"/>
        </w:rPr>
      </w:pPr>
    </w:p>
    <w:p w14:paraId="0CAA09E8" w14:textId="1FDDF8EA" w:rsidR="008A22DE"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Main findings</w:t>
      </w:r>
    </w:p>
    <w:p w14:paraId="21A2EFE4" w14:textId="07CA9212" w:rsidR="00410282" w:rsidRDefault="00410282"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Effect of animal pee doesn’t vary by latitude, temperature, or background nutrients!</w:t>
      </w:r>
    </w:p>
    <w:p w14:paraId="015267DA" w14:textId="61E79CAE" w:rsidR="00410282" w:rsidRDefault="00410282"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We don’t see a larger effect in tropics vs temperate areas</w:t>
      </w:r>
    </w:p>
    <w:p w14:paraId="0D72A6B1" w14:textId="32A026AA" w:rsidR="00410282" w:rsidRDefault="00410282"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Suggests finer scale levels of variation!</w:t>
      </w:r>
    </w:p>
    <w:p w14:paraId="32B91287" w14:textId="44F82425" w:rsidR="008A22DE"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Limitations in our study</w:t>
      </w:r>
    </w:p>
    <w:p w14:paraId="7E8F77DA" w14:textId="7B4AE879" w:rsidR="00410282" w:rsidRDefault="00410282"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Couldn’t quantify amount of nutrient provisioning</w:t>
      </w:r>
    </w:p>
    <w:p w14:paraId="03C56A03" w14:textId="38D3410D" w:rsidR="00C65166" w:rsidRDefault="00C65166"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Suggestions: quantify nutrient provisioning and background nutrient levels!</w:t>
      </w:r>
    </w:p>
    <w:p w14:paraId="7E002F17" w14:textId="793561F1" w:rsidR="008A22DE"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Why we found what we did</w:t>
      </w:r>
    </w:p>
    <w:p w14:paraId="0FFB4840" w14:textId="39DB0905" w:rsidR="008A22DE" w:rsidRDefault="008A22DE" w:rsidP="008A22DE">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Species from nutrient rich places might be better able to </w:t>
      </w:r>
      <w:r>
        <w:rPr>
          <w:rFonts w:ascii="Times New Roman" w:hAnsi="Times New Roman" w:cs="Times New Roman"/>
        </w:rPr>
        <w:t>uptake and utilize nutrient additions (</w:t>
      </w:r>
      <w:proofErr w:type="spellStart"/>
      <w:r>
        <w:rPr>
          <w:rFonts w:ascii="Times New Roman" w:hAnsi="Times New Roman" w:cs="Times New Roman"/>
        </w:rPr>
        <w:t>Zalamea</w:t>
      </w:r>
      <w:proofErr w:type="spellEnd"/>
      <w:r>
        <w:rPr>
          <w:rFonts w:ascii="Times New Roman" w:hAnsi="Times New Roman" w:cs="Times New Roman"/>
        </w:rPr>
        <w:t xml:space="preserve"> et al 2016)</w:t>
      </w:r>
    </w:p>
    <w:p w14:paraId="22F5E7E0" w14:textId="4FBE1B89" w:rsidR="008A22DE" w:rsidRDefault="008A22DE" w:rsidP="008A22DE">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Finer scale </w:t>
      </w:r>
      <w:r>
        <w:rPr>
          <w:rFonts w:ascii="Times New Roman" w:hAnsi="Times New Roman" w:cs="Times New Roman"/>
        </w:rPr>
        <w:t>variation than conventional wisdom thought</w:t>
      </w:r>
    </w:p>
    <w:p w14:paraId="4B3328D1" w14:textId="4145D728" w:rsidR="008A22DE" w:rsidRDefault="008A22DE">
      <w:pPr>
        <w:pStyle w:val="ListParagraph"/>
        <w:numPr>
          <w:ilvl w:val="2"/>
          <w:numId w:val="5"/>
        </w:numPr>
        <w:spacing w:line="360" w:lineRule="auto"/>
        <w:rPr>
          <w:rFonts w:ascii="Times New Roman" w:hAnsi="Times New Roman" w:cs="Times New Roman"/>
        </w:rPr>
      </w:pPr>
      <w:r>
        <w:rPr>
          <w:rFonts w:ascii="Times New Roman" w:hAnsi="Times New Roman" w:cs="Times New Roman"/>
        </w:rPr>
        <w:t>Tidepools, temporal variation causes prov</w:t>
      </w:r>
      <w:r>
        <w:rPr>
          <w:rFonts w:ascii="Times New Roman" w:hAnsi="Times New Roman" w:cs="Times New Roman"/>
        </w:rPr>
        <w:t>isioning vs need mismatches</w:t>
      </w:r>
      <w:r>
        <w:rPr>
          <w:rFonts w:ascii="Times New Roman" w:hAnsi="Times New Roman" w:cs="Times New Roman"/>
        </w:rPr>
        <w:t xml:space="preserve">, </w:t>
      </w:r>
      <w:proofErr w:type="spellStart"/>
      <w:r>
        <w:rPr>
          <w:rFonts w:ascii="Times New Roman" w:hAnsi="Times New Roman" w:cs="Times New Roman"/>
        </w:rPr>
        <w:t>etc</w:t>
      </w:r>
      <w:proofErr w:type="spellEnd"/>
    </w:p>
    <w:p w14:paraId="2F5BE01D" w14:textId="334A326B" w:rsidR="005151E5" w:rsidRDefault="005151E5"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Maybe nutrients are important in temperate regions!</w:t>
      </w:r>
    </w:p>
    <w:p w14:paraId="6EB91B7E" w14:textId="77777777" w:rsidR="00410282"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Why conventional wisdom might be</w:t>
      </w:r>
      <w:r>
        <w:rPr>
          <w:rFonts w:ascii="Times New Roman" w:hAnsi="Times New Roman" w:cs="Times New Roman"/>
        </w:rPr>
        <w:t xml:space="preserve"> right-</w:t>
      </w:r>
      <w:proofErr w:type="spellStart"/>
      <w:r>
        <w:rPr>
          <w:rFonts w:ascii="Times New Roman" w:hAnsi="Times New Roman" w:cs="Times New Roman"/>
        </w:rPr>
        <w:t>ish</w:t>
      </w:r>
      <w:proofErr w:type="spellEnd"/>
    </w:p>
    <w:p w14:paraId="3AB92CB6" w14:textId="73A72811" w:rsidR="008A22DE" w:rsidRDefault="008A22DE"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cite </w:t>
      </w:r>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who distinguished between limiting nutrients (adding = growth) and ultimate </w:t>
      </w:r>
      <w:proofErr w:type="spellStart"/>
      <w:r>
        <w:rPr>
          <w:rFonts w:ascii="Times New Roman" w:hAnsi="Times New Roman" w:cs="Times New Roman"/>
        </w:rPr>
        <w:t>nutients</w:t>
      </w:r>
      <w:proofErr w:type="spellEnd"/>
      <w:r>
        <w:rPr>
          <w:rFonts w:ascii="Times New Roman" w:hAnsi="Times New Roman" w:cs="Times New Roman"/>
        </w:rPr>
        <w:t xml:space="preserve"> (adding transforms environments)</w:t>
      </w:r>
    </w:p>
    <w:p w14:paraId="2918A7C9" w14:textId="4DE08AE9" w:rsidR="00410282" w:rsidRDefault="00410282"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Maybe we don’t see lar</w:t>
      </w:r>
      <w:r>
        <w:rPr>
          <w:rFonts w:ascii="Times New Roman" w:hAnsi="Times New Roman" w:cs="Times New Roman"/>
        </w:rPr>
        <w:t>ger effect sizes in tropical places, but without animal pee in tropics there would be no ecosystems. In temperate areas they’d probably still survive on nitrates? But maybe not…</w:t>
      </w:r>
    </w:p>
    <w:p w14:paraId="793077CE" w14:textId="1A6F12A1" w:rsidR="008A22DE" w:rsidRDefault="00410282"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Conclusions</w:t>
      </w:r>
    </w:p>
    <w:p w14:paraId="322A6C94" w14:textId="77777777" w:rsidR="00410282" w:rsidRPr="005151E5" w:rsidRDefault="00410282" w:rsidP="00410282">
      <w:pPr>
        <w:spacing w:line="360" w:lineRule="auto"/>
        <w:rPr>
          <w:rFonts w:ascii="Times New Roman" w:hAnsi="Times New Roman" w:cs="Times New Roman"/>
        </w:rPr>
      </w:pPr>
    </w:p>
    <w:p w14:paraId="7E1CC965" w14:textId="624828E2" w:rsidR="00955049" w:rsidRPr="005151E5" w:rsidRDefault="00955049" w:rsidP="00955049">
      <w:pPr>
        <w:spacing w:line="360" w:lineRule="auto"/>
        <w:rPr>
          <w:rFonts w:ascii="Times New Roman" w:hAnsi="Times New Roman" w:cs="Times New Roman"/>
          <w:b/>
        </w:rPr>
      </w:pPr>
      <w:r w:rsidRPr="005151E5">
        <w:rPr>
          <w:rFonts w:ascii="Times New Roman" w:hAnsi="Times New Roman" w:cs="Times New Roman"/>
          <w:b/>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7A1FD994" w14:textId="2DB2ACC3" w:rsidR="007540E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xml:space="preserve">* OR primary prod* OR seagrass* OR sea grass* OR seaweed* OR mangrove*) AND (reef OR subtidal OR intertidal OR coast* OR </w:t>
      </w:r>
      <w:r w:rsidRPr="00B748E3">
        <w:rPr>
          <w:rFonts w:ascii="Times New Roman" w:hAnsi="Times New Roman" w:cs="Times New Roman"/>
        </w:rPr>
        <w:lastRenderedPageBreak/>
        <w:t>marine OR benthic OR coral OR kelp) AND (grow* OR grew OR biomass OR abundance OR weight)</w:t>
      </w:r>
      <w:r>
        <w:rPr>
          <w:rFonts w:ascii="Times New Roman" w:hAnsi="Times New Roman" w:cs="Times New Roman"/>
        </w:rPr>
        <w:t>.</w:t>
      </w:r>
    </w:p>
    <w:p w14:paraId="6C9AAC33" w14:textId="77777777" w:rsidR="007540E9" w:rsidRDefault="007540E9" w:rsidP="00955049">
      <w:pPr>
        <w:spacing w:line="360" w:lineRule="auto"/>
        <w:rPr>
          <w:rFonts w:ascii="Times New Roman" w:hAnsi="Times New Roman" w:cs="Times New Roman"/>
        </w:rPr>
      </w:pPr>
    </w:p>
    <w:p w14:paraId="7AA75F6B" w14:textId="79D2A88C" w:rsidR="005E4743" w:rsidRDefault="005E4743" w:rsidP="00955049">
      <w:pPr>
        <w:spacing w:line="360" w:lineRule="auto"/>
        <w:rPr>
          <w:rFonts w:ascii="Times New Roman" w:hAnsi="Times New Roman" w:cs="Times New Roman"/>
        </w:rPr>
      </w:pPr>
    </w:p>
    <w:p w14:paraId="21990A7B" w14:textId="77777777" w:rsidR="005E4743" w:rsidRDefault="005E4743" w:rsidP="00955049">
      <w:pPr>
        <w:spacing w:line="360" w:lineRule="auto"/>
        <w:rPr>
          <w:rFonts w:ascii="Times New Roman" w:hAnsi="Times New Roman" w:cs="Times New Roman"/>
        </w:rPr>
      </w:pPr>
    </w:p>
    <w:p w14:paraId="38388351" w14:textId="6EBEB651"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r w:rsidR="003D1388" w:rsidRPr="003D1388">
        <w:rPr>
          <w:rFonts w:ascii="AppleSystemUIFont" w:hAnsi="AppleSystemUIFont" w:cs="AppleSystemUIFont"/>
          <w:noProof/>
          <w:color w:val="353535"/>
        </w:rPr>
        <w:t xml:space="preserve"> </w:t>
      </w:r>
    </w:p>
    <w:p w14:paraId="6B129550" w14:textId="24838346"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17B4AE77" w14:textId="77777777" w:rsidR="008A22DE" w:rsidRPr="008A22DE" w:rsidRDefault="00954E9C" w:rsidP="008A22DE">
      <w:pPr>
        <w:pStyle w:val="Bibliography"/>
        <w:rPr>
          <w:rFonts w:ascii="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8A22DE" w:rsidRPr="008A22DE">
        <w:rPr>
          <w:rFonts w:ascii="Calibri"/>
        </w:rPr>
        <w:t>Allgeier, J.E., Burkepile, D.E., Layman, C.A., 2017. Animal pee in the sea: consumer-mediated nutrient dynamics in the world’s changing oceans. Global Change Biology 23, 2166–2178. https://doi.org/10.1111/gcb.13625</w:t>
      </w:r>
    </w:p>
    <w:p w14:paraId="0995BB90" w14:textId="77777777" w:rsidR="008A22DE" w:rsidRPr="008A22DE" w:rsidRDefault="008A22DE" w:rsidP="008A22DE">
      <w:pPr>
        <w:pStyle w:val="Bibliography"/>
        <w:rPr>
          <w:rFonts w:ascii="Calibri"/>
        </w:rPr>
      </w:pPr>
      <w:r w:rsidRPr="008A22DE">
        <w:rPr>
          <w:rFonts w:ascii="Calibri"/>
        </w:rPr>
        <w:t>Allgeier, J.E., Rosemond, A.D., Layman, C.A., 2011. The frequency and magnitude of non-additive responses to multiple nutrient enrichment. Journal of Applied Ecology 48, 96–101. https://doi.org/10.1111/j.1365-2664.2010.01894.x</w:t>
      </w:r>
    </w:p>
    <w:p w14:paraId="50493CDB" w14:textId="77777777" w:rsidR="008A22DE" w:rsidRPr="008A22DE" w:rsidRDefault="008A22DE" w:rsidP="008A22DE">
      <w:pPr>
        <w:pStyle w:val="Bibliography"/>
        <w:rPr>
          <w:rFonts w:ascii="Calibri"/>
        </w:rPr>
      </w:pPr>
      <w:r w:rsidRPr="008A22DE">
        <w:rPr>
          <w:rFonts w:ascii="Calibri"/>
        </w:rPr>
        <w:t>Atkinson, C.L., Capps, K.A., Rugenski, A.T., Vanni, M.J., 2017. Consumer-driven nutrient dynamics in freshwater ecosystems: from individuals to ecosystems. Biological Reviews 92, 2003–2023. https://doi.org/10.1111/brv.12318</w:t>
      </w:r>
    </w:p>
    <w:p w14:paraId="24B08A95" w14:textId="77777777" w:rsidR="008A22DE" w:rsidRPr="008A22DE" w:rsidRDefault="008A22DE" w:rsidP="008A22DE">
      <w:pPr>
        <w:pStyle w:val="Bibliography"/>
        <w:rPr>
          <w:rFonts w:ascii="Calibri"/>
        </w:rPr>
      </w:pPr>
      <w:r w:rsidRPr="008A22DE">
        <w:rPr>
          <w:rFonts w:ascii="Calibri"/>
        </w:rPr>
        <w:t>Bracken, M.E.S., 2004. Invertebrate-Mediated Nutrient Loading Increases Growth of an Intertidal Macroalga1. Journal of Phycology 40, 1032–1041. https://doi.org/10.1111/j.1529-8817.2004.03106.x</w:t>
      </w:r>
    </w:p>
    <w:p w14:paraId="23C1349F" w14:textId="77777777" w:rsidR="008A22DE" w:rsidRPr="008A22DE" w:rsidRDefault="008A22DE" w:rsidP="008A22DE">
      <w:pPr>
        <w:pStyle w:val="Bibliography"/>
        <w:rPr>
          <w:rFonts w:ascii="Calibri"/>
        </w:rPr>
      </w:pPr>
      <w:r w:rsidRPr="008A22DE">
        <w:rPr>
          <w:rFonts w:ascii="Calibri"/>
        </w:rPr>
        <w:t>Bracken, M.E.S., Gonzalez-Dorantes, C.A., Stachowicz, J.J., 2007. Whole-community mutualism: Associated invertebrates facilitate a dominant habitat-forming seaweed. Ecology 88, 2211–2219. https://doi.org/10.1890/06-0881.1</w:t>
      </w:r>
    </w:p>
    <w:p w14:paraId="460C7DF8" w14:textId="77777777" w:rsidR="008A22DE" w:rsidRPr="008A22DE" w:rsidRDefault="008A22DE" w:rsidP="008A22DE">
      <w:pPr>
        <w:pStyle w:val="Bibliography"/>
        <w:rPr>
          <w:rFonts w:ascii="Calibri"/>
        </w:rPr>
      </w:pPr>
      <w:r w:rsidRPr="008A22DE">
        <w:rPr>
          <w:rFonts w:ascii="Calibri"/>
        </w:rPr>
        <w:lastRenderedPageBreak/>
        <w:t>Brzezinksi, M., Reed, D., Harrer, S., Rassweiler, A., Melack, J., Goodridge, B., Dugan, J., 2013. Multiple sources and forms of nitrogen sustain year-round kelp growth on the inner continental shelf of the Santa Barbara Channel. oceanog 26, 114–123. https://doi.org/10.5670/oceanog.2013.53</w:t>
      </w:r>
    </w:p>
    <w:p w14:paraId="68497480" w14:textId="77777777" w:rsidR="008A22DE" w:rsidRPr="008A22DE" w:rsidRDefault="008A22DE" w:rsidP="008A22DE">
      <w:pPr>
        <w:pStyle w:val="Bibliography"/>
        <w:rPr>
          <w:rFonts w:ascii="Calibri"/>
        </w:rPr>
      </w:pPr>
      <w:r w:rsidRPr="008A22DE">
        <w:rPr>
          <w:rFonts w:ascii="Calibri"/>
        </w:rPr>
        <w:t>Burnham, K.P., Anderson, D.R., Huyvaert, K.P., 2011. AIC model selection and multimodel inference in behavioral ecology: some background, observations, and comparisons. Behav Ecol Sociobiol 65, 23–35. https://doi.org/10.1007/s00265-010-1029-6</w:t>
      </w:r>
    </w:p>
    <w:p w14:paraId="6507316F" w14:textId="77777777" w:rsidR="008A22DE" w:rsidRPr="008A22DE" w:rsidRDefault="008A22DE" w:rsidP="008A22DE">
      <w:pPr>
        <w:pStyle w:val="Bibliography"/>
        <w:rPr>
          <w:rFonts w:ascii="Calibri"/>
        </w:rPr>
      </w:pPr>
      <w:r w:rsidRPr="008A22DE">
        <w:rPr>
          <w:rFonts w:ascii="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60004E7B" w14:textId="77777777" w:rsidR="008A22DE" w:rsidRPr="008A22DE" w:rsidRDefault="008A22DE" w:rsidP="008A22DE">
      <w:pPr>
        <w:pStyle w:val="Bibliography"/>
        <w:rPr>
          <w:rFonts w:ascii="Calibri"/>
        </w:rPr>
      </w:pPr>
      <w:r w:rsidRPr="008A22DE">
        <w:rPr>
          <w:rFonts w:ascii="Calibri"/>
        </w:rPr>
        <w:t>Elser, J.J., Urabe, J., 1999. The Stoichiometry of Consumer-Driven Nutrient Recycling: Theory, Observations, and Consequences. Ecology 80, 735–751. https://doi.org/10.1890/0012-9658(1999)080[0735:TSOCDN]2.0.CO;2</w:t>
      </w:r>
    </w:p>
    <w:p w14:paraId="06CFB8C0" w14:textId="77777777" w:rsidR="008A22DE" w:rsidRPr="008A22DE" w:rsidRDefault="008A22DE" w:rsidP="008A22DE">
      <w:pPr>
        <w:pStyle w:val="Bibliography"/>
        <w:rPr>
          <w:rFonts w:ascii="Calibri"/>
        </w:rPr>
      </w:pPr>
      <w:r w:rsidRPr="008A22DE">
        <w:rPr>
          <w:rFonts w:ascii="Calibri"/>
        </w:rPr>
        <w:t>Fortier, R., Wright, S.J., 2021. Nutrient limitation of plant reproduction in a tropical moist forest. Ecology 102, e03469. https://doi.org/10.1002/ecy.3469</w:t>
      </w:r>
    </w:p>
    <w:p w14:paraId="69EF5F16" w14:textId="77777777" w:rsidR="008A22DE" w:rsidRPr="008A22DE" w:rsidRDefault="008A22DE" w:rsidP="008A22DE">
      <w:pPr>
        <w:pStyle w:val="Bibliography"/>
        <w:rPr>
          <w:rFonts w:ascii="Calibri"/>
        </w:rPr>
      </w:pPr>
      <w:r w:rsidRPr="008A22DE">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1F1FB7D2" w14:textId="77777777" w:rsidR="008A22DE" w:rsidRPr="008A22DE" w:rsidRDefault="008A22DE" w:rsidP="008A22DE">
      <w:pPr>
        <w:pStyle w:val="Bibliography"/>
        <w:rPr>
          <w:rFonts w:ascii="Calibri"/>
        </w:rPr>
      </w:pPr>
      <w:r w:rsidRPr="008A22DE">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1EDBAB30" w14:textId="77777777" w:rsidR="008A22DE" w:rsidRPr="008A22DE" w:rsidRDefault="008A22DE" w:rsidP="008A22DE">
      <w:pPr>
        <w:pStyle w:val="Bibliography"/>
        <w:rPr>
          <w:rFonts w:ascii="Calibri"/>
        </w:rPr>
      </w:pPr>
      <w:r w:rsidRPr="008A22DE">
        <w:rPr>
          <w:rFonts w:ascii="Calibri"/>
        </w:rPr>
        <w:t>Jackson, G.A., 1977. Nutrients and Production of Giant Kelp, Macrocystis pyrifera, Off Southern California. Limnology and Oceanography 22, 979–995.</w:t>
      </w:r>
    </w:p>
    <w:p w14:paraId="6C43173E" w14:textId="77777777" w:rsidR="008A22DE" w:rsidRPr="008A22DE" w:rsidRDefault="008A22DE" w:rsidP="008A22DE">
      <w:pPr>
        <w:pStyle w:val="Bibliography"/>
        <w:rPr>
          <w:rFonts w:ascii="Calibri"/>
        </w:rPr>
      </w:pPr>
      <w:r w:rsidRPr="008A22DE">
        <w:rPr>
          <w:rFonts w:ascii="Calibri"/>
        </w:rPr>
        <w:t>McNaughton, S.J., Ruess, R.W., Seagle, S.W., 1988. Large mammals and process dynamics in African ecosystems. BioScience 38, 794–800. https://doi.org/10.2307/1310789</w:t>
      </w:r>
    </w:p>
    <w:p w14:paraId="64DF9850" w14:textId="77777777" w:rsidR="008A22DE" w:rsidRPr="008A22DE" w:rsidRDefault="008A22DE" w:rsidP="008A22DE">
      <w:pPr>
        <w:pStyle w:val="Bibliography"/>
        <w:rPr>
          <w:rFonts w:ascii="Calibri"/>
        </w:rPr>
      </w:pPr>
      <w:r w:rsidRPr="008A22DE">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70E31964" w14:textId="77777777" w:rsidR="008A22DE" w:rsidRPr="008A22DE" w:rsidRDefault="008A22DE" w:rsidP="008A22DE">
      <w:pPr>
        <w:pStyle w:val="Bibliography"/>
        <w:rPr>
          <w:rFonts w:ascii="Calibri"/>
        </w:rPr>
      </w:pPr>
      <w:r w:rsidRPr="008A22DE">
        <w:rPr>
          <w:rFonts w:ascii="Calibri"/>
        </w:rPr>
        <w:t>Meyer, J.L., Schultz, E.T., Helfman, G.S., 1983. Fish schools: An asset to corals. Science 220, 1047–1049. https://doi.org/10.1126/science.220.4601.1047</w:t>
      </w:r>
    </w:p>
    <w:p w14:paraId="5351F37C" w14:textId="77777777" w:rsidR="008A22DE" w:rsidRPr="008A22DE" w:rsidRDefault="008A22DE" w:rsidP="008A22DE">
      <w:pPr>
        <w:pStyle w:val="Bibliography"/>
        <w:rPr>
          <w:rFonts w:ascii="Calibri"/>
        </w:rPr>
      </w:pPr>
      <w:r w:rsidRPr="008A22DE">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09F6B417" w14:textId="77777777" w:rsidR="008A22DE" w:rsidRPr="008A22DE" w:rsidRDefault="008A22DE" w:rsidP="008A22DE">
      <w:pPr>
        <w:pStyle w:val="Bibliography"/>
        <w:rPr>
          <w:rFonts w:ascii="Calibri"/>
        </w:rPr>
      </w:pPr>
      <w:r w:rsidRPr="008A22DE">
        <w:rPr>
          <w:rFonts w:ascii="Calibri"/>
        </w:rPr>
        <w:t>Peterson, B., Heck, K., 2001. Positive interactions between suspension-feeding bivalves and seagrass-a facultative mutualism. Mar. Ecol. Prog. Ser. 213, 143–155. https://doi.org/10.3354/meps213143</w:t>
      </w:r>
    </w:p>
    <w:p w14:paraId="58679A3D" w14:textId="77777777" w:rsidR="008A22DE" w:rsidRPr="008A22DE" w:rsidRDefault="008A22DE" w:rsidP="008A22DE">
      <w:pPr>
        <w:pStyle w:val="Bibliography"/>
        <w:rPr>
          <w:rFonts w:ascii="Calibri"/>
        </w:rPr>
      </w:pPr>
      <w:r w:rsidRPr="008A22DE">
        <w:rPr>
          <w:rFonts w:ascii="Calibri"/>
        </w:rPr>
        <w:lastRenderedPageBreak/>
        <w:t>Pfister, C.A., Altabet, M.A., Post, D., 2014. Animal regeneration and microbial retention of nitrogen along coastal rocky shores. Ecology 95, 2803–2814. https://doi.org/10.1890/13-1825.1</w:t>
      </w:r>
    </w:p>
    <w:p w14:paraId="199505BB" w14:textId="77777777" w:rsidR="008A22DE" w:rsidRPr="008A22DE" w:rsidRDefault="008A22DE" w:rsidP="008A22DE">
      <w:pPr>
        <w:pStyle w:val="Bibliography"/>
        <w:rPr>
          <w:rFonts w:ascii="Calibri"/>
        </w:rPr>
      </w:pPr>
      <w:r w:rsidRPr="008A22DE">
        <w:rPr>
          <w:rFonts w:ascii="Calibri"/>
        </w:rPr>
        <w:t>Phillips, J.C., Hurd, C.L., 2004. Kinetics of nitrate, ammonium, and urea uptake by four intertidal seaweeds from New Zealand. Journal of Phycology 40, 534–545. https://doi.org/10.1111/j.1529-8817.2004.03157.x</w:t>
      </w:r>
    </w:p>
    <w:p w14:paraId="05099C2C" w14:textId="77777777" w:rsidR="008A22DE" w:rsidRPr="008A22DE" w:rsidRDefault="008A22DE" w:rsidP="008A22DE">
      <w:pPr>
        <w:pStyle w:val="Bibliography"/>
        <w:rPr>
          <w:rFonts w:ascii="Calibri"/>
        </w:rPr>
      </w:pPr>
      <w:r w:rsidRPr="008A22DE">
        <w:rPr>
          <w:rFonts w:ascii="Calibri"/>
        </w:rPr>
        <w:t>Probyn, T.A., McQuaid, C.D., 1985. In-situ measurements of nitrogenous nutrient uptake by kelp (Ecklonia maxima) and phytoplankton in a nitrate-rich upwelling environment. Mar. Biol. 88, 149–154. https://doi.org/10.1007/BF00397162</w:t>
      </w:r>
    </w:p>
    <w:p w14:paraId="5CB8F12A" w14:textId="77777777" w:rsidR="008A22DE" w:rsidRPr="008A22DE" w:rsidRDefault="008A22DE" w:rsidP="008A22DE">
      <w:pPr>
        <w:pStyle w:val="Bibliography"/>
        <w:rPr>
          <w:rFonts w:ascii="Calibri"/>
        </w:rPr>
      </w:pPr>
      <w:r w:rsidRPr="008A22DE">
        <w:rPr>
          <w:rFonts w:ascii="Calibri"/>
        </w:rPr>
        <w:t>Ryther, J.H., Dunstan, W.M., 1971. Nitrogen, phosphorus, and eutrophication in the coastal marine environment. Science 171, 1008–1013. https://doi.org/10.1126/science.171.3975.1008</w:t>
      </w:r>
    </w:p>
    <w:p w14:paraId="3E08C667" w14:textId="77777777" w:rsidR="008A22DE" w:rsidRPr="008A22DE" w:rsidRDefault="008A22DE" w:rsidP="008A22DE">
      <w:pPr>
        <w:pStyle w:val="Bibliography"/>
        <w:rPr>
          <w:rFonts w:ascii="Calibri"/>
        </w:rPr>
      </w:pPr>
      <w:r w:rsidRPr="008A22DE">
        <w:rPr>
          <w:rFonts w:ascii="Calibri"/>
        </w:rPr>
        <w:t>Schindler, D.W., 1974. Eutrophication and Recovery in Experimental Lakes: Implications for Lake Management. Science 184, 897–899. https://doi.org/10.1126/science.184.4139.897</w:t>
      </w:r>
    </w:p>
    <w:p w14:paraId="71B037B4" w14:textId="77777777" w:rsidR="008A22DE" w:rsidRPr="008A22DE" w:rsidRDefault="008A22DE" w:rsidP="008A22DE">
      <w:pPr>
        <w:pStyle w:val="Bibliography"/>
        <w:rPr>
          <w:rFonts w:ascii="Calibri"/>
        </w:rPr>
      </w:pPr>
      <w:r w:rsidRPr="008A22DE">
        <w:rPr>
          <w:rFonts w:ascii="Calibri"/>
        </w:rPr>
        <w:t>Sitters, J., Bakker, E.S., Veldhuis, M.P., Veen, G.F., Olde Venterink, H., Vanni, M.J., 2017. The stoichiometry of nutrient release by terrestrial herbivores and its ecosystem consequences. Front. Earth Sci. 5. https://doi.org/10.3389/feart.2017.00032</w:t>
      </w:r>
    </w:p>
    <w:p w14:paraId="1055EFE0" w14:textId="77777777" w:rsidR="008A22DE" w:rsidRPr="008A22DE" w:rsidRDefault="008A22DE" w:rsidP="008A22DE">
      <w:pPr>
        <w:pStyle w:val="Bibliography"/>
        <w:rPr>
          <w:rFonts w:ascii="Calibri"/>
        </w:rPr>
      </w:pPr>
      <w:r w:rsidRPr="008A22DE">
        <w:rPr>
          <w:rFonts w:ascii="Calibri"/>
        </w:rPr>
        <w:t>Smith, V.H., Tilman, G.D., Nekola, J.C., 1999. Eutrophication: impacts of excess nutrient inputs on freshwater, marine, and terrestrial ecosystems. Environmental Pollution 100, 179–196. https://doi.org/10.1016/S0269-7491(99)00091-3</w:t>
      </w:r>
    </w:p>
    <w:p w14:paraId="4BE0250A" w14:textId="77777777" w:rsidR="008A22DE" w:rsidRPr="008A22DE" w:rsidRDefault="008A22DE" w:rsidP="008A22DE">
      <w:pPr>
        <w:pStyle w:val="Bibliography"/>
        <w:rPr>
          <w:rFonts w:ascii="Calibri"/>
        </w:rPr>
      </w:pPr>
      <w:r w:rsidRPr="008A22DE">
        <w:rPr>
          <w:rFonts w:ascii="Calibri"/>
        </w:rPr>
        <w:t>Vanni, M.J., 2002. Nutrient cycling by animals in freshwater ecosystems. Annual Review of Ecology and Systematics 33, 341–370. https://doi.org/10.1146/annurev.ecolsys.33.010802.150519</w:t>
      </w:r>
    </w:p>
    <w:p w14:paraId="70F9C11A" w14:textId="77777777" w:rsidR="008A22DE" w:rsidRPr="008A22DE" w:rsidRDefault="008A22DE" w:rsidP="008A22DE">
      <w:pPr>
        <w:pStyle w:val="Bibliography"/>
        <w:rPr>
          <w:rFonts w:ascii="Calibri"/>
        </w:rPr>
      </w:pPr>
      <w:r w:rsidRPr="008A22DE">
        <w:rPr>
          <w:rFonts w:ascii="Calibri"/>
        </w:rPr>
        <w:t xml:space="preserve">Viechtbauer, W., 2010. Conducting Meta-Analyses in </w:t>
      </w:r>
      <w:r w:rsidRPr="008A22DE">
        <w:rPr>
          <w:rFonts w:ascii="Calibri"/>
          <w:i/>
          <w:iCs/>
        </w:rPr>
        <w:t>R</w:t>
      </w:r>
      <w:r w:rsidRPr="008A22DE">
        <w:rPr>
          <w:rFonts w:ascii="Calibri"/>
        </w:rPr>
        <w:t xml:space="preserve"> with the </w:t>
      </w:r>
      <w:r w:rsidRPr="008A22DE">
        <w:rPr>
          <w:rFonts w:ascii="Calibri"/>
          <w:b/>
          <w:bCs/>
        </w:rPr>
        <w:t>metafor</w:t>
      </w:r>
      <w:r w:rsidRPr="008A22DE">
        <w:rPr>
          <w:rFonts w:ascii="Calibri"/>
        </w:rPr>
        <w:t xml:space="preserve"> Package. J. Stat. Soft. 36. https://doi.org/10.18637/jss.v036.i03</w:t>
      </w:r>
    </w:p>
    <w:p w14:paraId="387205CC" w14:textId="77777777" w:rsidR="008A22DE" w:rsidRPr="008A22DE" w:rsidRDefault="008A22DE" w:rsidP="008A22DE">
      <w:pPr>
        <w:pStyle w:val="Bibliography"/>
        <w:rPr>
          <w:rFonts w:ascii="Calibri"/>
        </w:rPr>
      </w:pPr>
      <w:r w:rsidRPr="008A22DE">
        <w:rPr>
          <w:rFonts w:ascii="Calibri"/>
        </w:rPr>
        <w:t>Zalamea, P.-C., Turner, B.L., Winter, K., Jones, F.A., Sarmiento, C., Dalling, J.W., 2016. Seedling growth responses to phosphorus reflect adult distribution patterns of tropical trees. New Phytologist 212, 400–408. https://doi.org/10.1111/nph.14045</w:t>
      </w:r>
    </w:p>
    <w:p w14:paraId="3B4937E9" w14:textId="3B4F91BB"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Isabelle Cote" w:date="2023-02-23T13:32:00Z" w:initials="IC">
    <w:p w14:paraId="01190800" w14:textId="77777777" w:rsidR="005B0F18" w:rsidRDefault="005B0F18" w:rsidP="00626266">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5" w:author="Em Lim" w:date="2022-12-07T09:53:00Z" w:initials="EL">
    <w:p w14:paraId="5FBB00DD" w14:textId="10D6F2E7" w:rsidR="005B0F18" w:rsidRDefault="005B0F18">
      <w:pPr>
        <w:pStyle w:val="CommentText"/>
      </w:pPr>
      <w:r>
        <w:rPr>
          <w:rStyle w:val="CommentReference"/>
        </w:rPr>
        <w:annotationRef/>
      </w:r>
      <w:r>
        <w:t>Mention nitrogen fixation too?</w:t>
      </w:r>
    </w:p>
  </w:comment>
  <w:comment w:id="6" w:author="Isabelle Cote" w:date="2023-02-23T14:11:00Z" w:initials="IC">
    <w:p w14:paraId="7AFEE86C" w14:textId="77777777" w:rsidR="005B0F18" w:rsidRDefault="005B0F18" w:rsidP="00626266">
      <w:pPr>
        <w:pStyle w:val="CommentText"/>
      </w:pPr>
      <w:r>
        <w:rPr>
          <w:rStyle w:val="CommentReference"/>
        </w:rPr>
        <w:annotationRef/>
      </w:r>
      <w:r>
        <w:t>Mirrors the same assumption in terrestrial ecosystems - tested by Turner et al in Nature</w:t>
      </w:r>
    </w:p>
  </w:comment>
  <w:comment w:id="7" w:author="Em Lim" w:date="2023-03-15T17:00:00Z" w:initials="EL">
    <w:p w14:paraId="49783A2B" w14:textId="237BECEB" w:rsidR="005B0F18" w:rsidRDefault="005B0F18">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13" w:author="Em Lim" w:date="2023-03-22T22:25:00Z" w:initials="EL">
    <w:p w14:paraId="3C0D5D7D" w14:textId="77777777" w:rsidR="005B0F18" w:rsidRDefault="005B0F18" w:rsidP="00D00FFC">
      <w:pPr>
        <w:pStyle w:val="CommentText"/>
      </w:pPr>
      <w:r>
        <w:rPr>
          <w:rStyle w:val="CommentReference"/>
        </w:rPr>
        <w:annotationRef/>
      </w:r>
      <w:r>
        <w:t>Could change the fill type for black and white printing (open shapes, hashed, filled)</w:t>
      </w:r>
    </w:p>
  </w:comment>
  <w:comment w:id="14" w:author="Em Lim" w:date="2023-03-02T14:54:00Z" w:initials="EL">
    <w:p w14:paraId="03DE76E2" w14:textId="25E026C3" w:rsidR="005B0F18" w:rsidRDefault="005B0F18">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15" w:author="Em Lim" w:date="2023-03-30T15:55:00Z" w:initials="EL">
    <w:p w14:paraId="02A29EAE" w14:textId="77777777" w:rsidR="005B0F18" w:rsidRDefault="005B0F18" w:rsidP="004E5CEB">
      <w:pPr>
        <w:pStyle w:val="CommentText"/>
      </w:pPr>
      <w:r>
        <w:rPr>
          <w:rStyle w:val="CommentReference"/>
        </w:rPr>
        <w:annotationRef/>
      </w:r>
      <w:r>
        <w:t>Not updated</w:t>
      </w:r>
    </w:p>
  </w:comment>
  <w:comment w:id="16" w:author="Em Lim" w:date="2023-03-30T15:55:00Z" w:initials="EL">
    <w:p w14:paraId="10254551" w14:textId="77777777" w:rsidR="005B0F18" w:rsidRDefault="005B0F18" w:rsidP="004E5CEB">
      <w:pPr>
        <w:pStyle w:val="CommentText"/>
      </w:pPr>
      <w:r>
        <w:rPr>
          <w:rStyle w:val="CommentReference"/>
        </w:rPr>
        <w:annotationRef/>
      </w:r>
      <w:r>
        <w:t>Not updated</w:t>
      </w:r>
    </w:p>
  </w:comment>
  <w:comment w:id="17" w:author="Em Lim" w:date="2023-03-30T15:55:00Z" w:initials="EL">
    <w:p w14:paraId="00E0EAD4" w14:textId="77777777" w:rsidR="005B0F18" w:rsidRDefault="005B0F18" w:rsidP="004E5CEB">
      <w:pPr>
        <w:pStyle w:val="CommentText"/>
      </w:pPr>
      <w:r>
        <w:rPr>
          <w:rStyle w:val="CommentReference"/>
        </w:rPr>
        <w:annotationRef/>
      </w:r>
      <w:r>
        <w:t>Not updated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190800" w15:done="0"/>
  <w15:commentEx w15:paraId="5FBB00DD" w15:done="0"/>
  <w15:commentEx w15:paraId="7AFEE86C" w15:done="0"/>
  <w15:commentEx w15:paraId="49783A2B" w15:done="0"/>
  <w15:commentEx w15:paraId="3C0D5D7D" w15:done="0"/>
  <w15:commentEx w15:paraId="03DE76E2" w15:done="0"/>
  <w15:commentEx w15:paraId="02A29EAE" w15:done="0"/>
  <w15:commentEx w15:paraId="10254551" w15:done="0"/>
  <w15:commentEx w15:paraId="00E0EA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190800" w16cid:durableId="27A1E965"/>
  <w16cid:commentId w16cid:paraId="5FBB00DD" w16cid:durableId="273AE123"/>
  <w16cid:commentId w16cid:paraId="7AFEE86C" w16cid:durableId="27A1F27B"/>
  <w16cid:commentId w16cid:paraId="49783A2B" w16cid:durableId="27BC7836"/>
  <w16cid:commentId w16cid:paraId="3C0D5D7D" w16cid:durableId="27C5FECD"/>
  <w16cid:commentId w16cid:paraId="03DE76E2" w16cid:durableId="27AB3743"/>
  <w16cid:commentId w16cid:paraId="02A29EAE" w16cid:durableId="27D02F8B"/>
  <w16cid:commentId w16cid:paraId="10254551" w16cid:durableId="27D02F7D"/>
  <w16cid:commentId w16cid:paraId="00E0EAD4" w16cid:durableId="27D02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D2B6E5" w14:textId="77777777" w:rsidR="008841CE" w:rsidRDefault="008841CE" w:rsidP="00C5123B">
      <w:r>
        <w:separator/>
      </w:r>
    </w:p>
  </w:endnote>
  <w:endnote w:type="continuationSeparator" w:id="0">
    <w:p w14:paraId="600CA989" w14:textId="77777777" w:rsidR="008841CE" w:rsidRDefault="008841CE"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C21A48" w14:textId="77777777" w:rsidR="008841CE" w:rsidRDefault="008841CE" w:rsidP="00C5123B">
      <w:r>
        <w:separator/>
      </w:r>
    </w:p>
  </w:footnote>
  <w:footnote w:type="continuationSeparator" w:id="0">
    <w:p w14:paraId="391B1A40" w14:textId="77777777" w:rsidR="008841CE" w:rsidRDefault="008841CE"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A90"/>
    <w:rsid w:val="00067FAF"/>
    <w:rsid w:val="00082172"/>
    <w:rsid w:val="00090008"/>
    <w:rsid w:val="00096CD0"/>
    <w:rsid w:val="000A592D"/>
    <w:rsid w:val="000B3D13"/>
    <w:rsid w:val="000B5543"/>
    <w:rsid w:val="000C04AF"/>
    <w:rsid w:val="000C25BF"/>
    <w:rsid w:val="000C383E"/>
    <w:rsid w:val="000C7DAD"/>
    <w:rsid w:val="000D2D91"/>
    <w:rsid w:val="000D389D"/>
    <w:rsid w:val="000D3F79"/>
    <w:rsid w:val="001003E5"/>
    <w:rsid w:val="001039E0"/>
    <w:rsid w:val="00116CE7"/>
    <w:rsid w:val="00140497"/>
    <w:rsid w:val="00140638"/>
    <w:rsid w:val="00140DEA"/>
    <w:rsid w:val="001430E3"/>
    <w:rsid w:val="001438DD"/>
    <w:rsid w:val="00145342"/>
    <w:rsid w:val="001509B4"/>
    <w:rsid w:val="00157593"/>
    <w:rsid w:val="001632AC"/>
    <w:rsid w:val="00163860"/>
    <w:rsid w:val="00173B11"/>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B3A1D"/>
    <w:rsid w:val="002C050C"/>
    <w:rsid w:val="002D012F"/>
    <w:rsid w:val="002D3816"/>
    <w:rsid w:val="002D7395"/>
    <w:rsid w:val="002E611A"/>
    <w:rsid w:val="002F2E53"/>
    <w:rsid w:val="002F6DFC"/>
    <w:rsid w:val="002F72F3"/>
    <w:rsid w:val="003008CD"/>
    <w:rsid w:val="00302D7A"/>
    <w:rsid w:val="00312ACB"/>
    <w:rsid w:val="00315ACC"/>
    <w:rsid w:val="003307B0"/>
    <w:rsid w:val="00364D60"/>
    <w:rsid w:val="0037264A"/>
    <w:rsid w:val="00394894"/>
    <w:rsid w:val="003A29CA"/>
    <w:rsid w:val="003A397E"/>
    <w:rsid w:val="003C61F7"/>
    <w:rsid w:val="003D1388"/>
    <w:rsid w:val="003D7403"/>
    <w:rsid w:val="003F3EDB"/>
    <w:rsid w:val="003F5023"/>
    <w:rsid w:val="003F5B30"/>
    <w:rsid w:val="003F633B"/>
    <w:rsid w:val="00410282"/>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5CEB"/>
    <w:rsid w:val="004E69C8"/>
    <w:rsid w:val="004F7961"/>
    <w:rsid w:val="00501D7F"/>
    <w:rsid w:val="00504E41"/>
    <w:rsid w:val="005151E5"/>
    <w:rsid w:val="0051546B"/>
    <w:rsid w:val="00523D2E"/>
    <w:rsid w:val="0052618F"/>
    <w:rsid w:val="005317EB"/>
    <w:rsid w:val="00531EA4"/>
    <w:rsid w:val="00533DDC"/>
    <w:rsid w:val="005414FA"/>
    <w:rsid w:val="00546199"/>
    <w:rsid w:val="005577CF"/>
    <w:rsid w:val="00563494"/>
    <w:rsid w:val="00563F28"/>
    <w:rsid w:val="00571C21"/>
    <w:rsid w:val="005814BD"/>
    <w:rsid w:val="00583782"/>
    <w:rsid w:val="0058791B"/>
    <w:rsid w:val="005B0F18"/>
    <w:rsid w:val="005B6F9A"/>
    <w:rsid w:val="005C2111"/>
    <w:rsid w:val="005C7A67"/>
    <w:rsid w:val="005D2978"/>
    <w:rsid w:val="005D641B"/>
    <w:rsid w:val="005E4743"/>
    <w:rsid w:val="005F380A"/>
    <w:rsid w:val="00603D57"/>
    <w:rsid w:val="006052A2"/>
    <w:rsid w:val="0060588D"/>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49F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0A08"/>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3038"/>
    <w:rsid w:val="007E5B7B"/>
    <w:rsid w:val="00806F12"/>
    <w:rsid w:val="00812293"/>
    <w:rsid w:val="00817E60"/>
    <w:rsid w:val="00833915"/>
    <w:rsid w:val="00834168"/>
    <w:rsid w:val="0084590D"/>
    <w:rsid w:val="00856E67"/>
    <w:rsid w:val="00857597"/>
    <w:rsid w:val="00864B7E"/>
    <w:rsid w:val="00864D7D"/>
    <w:rsid w:val="00871EB5"/>
    <w:rsid w:val="008723FB"/>
    <w:rsid w:val="00873A9D"/>
    <w:rsid w:val="00874808"/>
    <w:rsid w:val="00883B94"/>
    <w:rsid w:val="008841CE"/>
    <w:rsid w:val="008863BF"/>
    <w:rsid w:val="008A0337"/>
    <w:rsid w:val="008A0FE8"/>
    <w:rsid w:val="008A22DE"/>
    <w:rsid w:val="008A70CE"/>
    <w:rsid w:val="008B1FCB"/>
    <w:rsid w:val="008B3552"/>
    <w:rsid w:val="008B5AEA"/>
    <w:rsid w:val="008B6630"/>
    <w:rsid w:val="008D34A4"/>
    <w:rsid w:val="008E2DBF"/>
    <w:rsid w:val="008E2F1F"/>
    <w:rsid w:val="008F7310"/>
    <w:rsid w:val="00907A82"/>
    <w:rsid w:val="0091519E"/>
    <w:rsid w:val="00917464"/>
    <w:rsid w:val="00922C2B"/>
    <w:rsid w:val="00927DC1"/>
    <w:rsid w:val="00932DB1"/>
    <w:rsid w:val="009366CC"/>
    <w:rsid w:val="00952447"/>
    <w:rsid w:val="00954E9C"/>
    <w:rsid w:val="00955049"/>
    <w:rsid w:val="009552C5"/>
    <w:rsid w:val="009562A3"/>
    <w:rsid w:val="00960579"/>
    <w:rsid w:val="00960C3D"/>
    <w:rsid w:val="009648FA"/>
    <w:rsid w:val="00977A10"/>
    <w:rsid w:val="0098152A"/>
    <w:rsid w:val="00982C03"/>
    <w:rsid w:val="00991DD5"/>
    <w:rsid w:val="009B12A9"/>
    <w:rsid w:val="009B23D7"/>
    <w:rsid w:val="009B3AE8"/>
    <w:rsid w:val="009B5BF5"/>
    <w:rsid w:val="009C2911"/>
    <w:rsid w:val="009C2971"/>
    <w:rsid w:val="009C2EB0"/>
    <w:rsid w:val="009C450B"/>
    <w:rsid w:val="009E0E5E"/>
    <w:rsid w:val="009E7A0D"/>
    <w:rsid w:val="009F68C5"/>
    <w:rsid w:val="00A10494"/>
    <w:rsid w:val="00A12D61"/>
    <w:rsid w:val="00A16B51"/>
    <w:rsid w:val="00A4411C"/>
    <w:rsid w:val="00A51B2F"/>
    <w:rsid w:val="00A5281B"/>
    <w:rsid w:val="00A55D03"/>
    <w:rsid w:val="00A60B0D"/>
    <w:rsid w:val="00A6305A"/>
    <w:rsid w:val="00A669EA"/>
    <w:rsid w:val="00A717B2"/>
    <w:rsid w:val="00A87CDD"/>
    <w:rsid w:val="00A913E6"/>
    <w:rsid w:val="00A93E63"/>
    <w:rsid w:val="00A95724"/>
    <w:rsid w:val="00AA0D89"/>
    <w:rsid w:val="00AA0FD9"/>
    <w:rsid w:val="00AC1CBE"/>
    <w:rsid w:val="00AC46C7"/>
    <w:rsid w:val="00AC6C89"/>
    <w:rsid w:val="00AD4BFC"/>
    <w:rsid w:val="00AD66D9"/>
    <w:rsid w:val="00AD76D4"/>
    <w:rsid w:val="00AE2CF0"/>
    <w:rsid w:val="00AE6659"/>
    <w:rsid w:val="00AF3F14"/>
    <w:rsid w:val="00AF5B20"/>
    <w:rsid w:val="00B00892"/>
    <w:rsid w:val="00B01179"/>
    <w:rsid w:val="00B118CB"/>
    <w:rsid w:val="00B13C80"/>
    <w:rsid w:val="00B14560"/>
    <w:rsid w:val="00B168CE"/>
    <w:rsid w:val="00B17C37"/>
    <w:rsid w:val="00B354F3"/>
    <w:rsid w:val="00B44ACC"/>
    <w:rsid w:val="00B47A3A"/>
    <w:rsid w:val="00B5118C"/>
    <w:rsid w:val="00B567C9"/>
    <w:rsid w:val="00B5690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C07DF"/>
    <w:rsid w:val="00BC0A04"/>
    <w:rsid w:val="00BC2A13"/>
    <w:rsid w:val="00BC7145"/>
    <w:rsid w:val="00BD0ABE"/>
    <w:rsid w:val="00BD3F95"/>
    <w:rsid w:val="00BE0C9E"/>
    <w:rsid w:val="00BE5778"/>
    <w:rsid w:val="00BF51E8"/>
    <w:rsid w:val="00BF5B35"/>
    <w:rsid w:val="00C2024C"/>
    <w:rsid w:val="00C23AF9"/>
    <w:rsid w:val="00C249B5"/>
    <w:rsid w:val="00C269E0"/>
    <w:rsid w:val="00C300D4"/>
    <w:rsid w:val="00C30C5E"/>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81550"/>
    <w:rsid w:val="00D84524"/>
    <w:rsid w:val="00D941C0"/>
    <w:rsid w:val="00DA5219"/>
    <w:rsid w:val="00DB065D"/>
    <w:rsid w:val="00DB4B1C"/>
    <w:rsid w:val="00DD2086"/>
    <w:rsid w:val="00DE150E"/>
    <w:rsid w:val="00DE23FA"/>
    <w:rsid w:val="00DE737E"/>
    <w:rsid w:val="00DF1A9E"/>
    <w:rsid w:val="00DF3C0B"/>
    <w:rsid w:val="00E00154"/>
    <w:rsid w:val="00E004CF"/>
    <w:rsid w:val="00E01152"/>
    <w:rsid w:val="00E0624E"/>
    <w:rsid w:val="00E2377D"/>
    <w:rsid w:val="00E34177"/>
    <w:rsid w:val="00E37943"/>
    <w:rsid w:val="00E42532"/>
    <w:rsid w:val="00E448D3"/>
    <w:rsid w:val="00E468C1"/>
    <w:rsid w:val="00E622C0"/>
    <w:rsid w:val="00E772EE"/>
    <w:rsid w:val="00E80FB1"/>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40344"/>
    <w:rsid w:val="00F43DC3"/>
    <w:rsid w:val="00F4780B"/>
    <w:rsid w:val="00F5124D"/>
    <w:rsid w:val="00F51928"/>
    <w:rsid w:val="00F616F5"/>
    <w:rsid w:val="00F71C05"/>
    <w:rsid w:val="00F76D46"/>
    <w:rsid w:val="00F83D2C"/>
    <w:rsid w:val="00F86E69"/>
    <w:rsid w:val="00F944A1"/>
    <w:rsid w:val="00FA2DCA"/>
    <w:rsid w:val="00FA60EA"/>
    <w:rsid w:val="00FA6ACC"/>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8/08/relationships/commentsExtensible" Target="commentsExtensible.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7FD207-9EF3-0B47-9CD6-717254D98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2202</TotalTime>
  <Pages>23</Pages>
  <Words>18473</Words>
  <Characters>105302</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81</cp:revision>
  <dcterms:created xsi:type="dcterms:W3CDTF">2023-02-23T21:33:00Z</dcterms:created>
  <dcterms:modified xsi:type="dcterms:W3CDTF">2023-04-01T00:46:00Z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id="tii0PXDo"/&gt;&lt;style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