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D02113" w14:textId="53FBECA3" w:rsidR="007803B0" w:rsidRPr="00F4142C" w:rsidRDefault="007803B0" w:rsidP="007803B0">
      <w:pPr>
        <w:spacing w:line="360" w:lineRule="auto"/>
        <w:rPr>
          <w:b/>
        </w:rPr>
      </w:pPr>
      <w:r>
        <w:rPr>
          <w:b/>
        </w:rPr>
        <w:t xml:space="preserve">Appendix </w:t>
      </w:r>
      <w:r w:rsidR="00E82D09">
        <w:rPr>
          <w:b/>
        </w:rPr>
        <w:t>1</w:t>
      </w:r>
      <w:r>
        <w:rPr>
          <w:b/>
        </w:rPr>
        <w:t>:  Data sources</w:t>
      </w:r>
    </w:p>
    <w:p w14:paraId="10918662" w14:textId="77777777" w:rsidR="007803B0" w:rsidRPr="00F4142C" w:rsidRDefault="007803B0" w:rsidP="007803B0">
      <w:pPr>
        <w:spacing w:line="360" w:lineRule="auto"/>
        <w:rPr>
          <w:b/>
        </w:rPr>
      </w:pPr>
    </w:p>
    <w:p w14:paraId="1398D557" w14:textId="77777777" w:rsidR="00756F23" w:rsidRPr="00A84BCA" w:rsidRDefault="00756F23" w:rsidP="00756F23">
      <w:pPr>
        <w:spacing w:line="360" w:lineRule="auto"/>
        <w:rPr>
          <w:b/>
          <w:color w:val="000000" w:themeColor="text1"/>
        </w:rPr>
      </w:pPr>
      <w:r w:rsidRPr="00A84BCA">
        <w:rPr>
          <w:b/>
          <w:color w:val="000000" w:themeColor="text1"/>
        </w:rPr>
        <w:t xml:space="preserve">Article title: </w:t>
      </w:r>
    </w:p>
    <w:p w14:paraId="693D3442" w14:textId="77777777" w:rsidR="00756F23" w:rsidRPr="00A84BCA" w:rsidRDefault="00756F23" w:rsidP="00756F23">
      <w:pPr>
        <w:spacing w:line="360" w:lineRule="auto"/>
        <w:rPr>
          <w:color w:val="000000" w:themeColor="text1"/>
        </w:rPr>
      </w:pPr>
      <w:r w:rsidRPr="00A84BCA">
        <w:rPr>
          <w:color w:val="000000" w:themeColor="text1"/>
        </w:rPr>
        <w:t>Consumer-mediated nutrient cycling in marine environments: a global meta-analysis</w:t>
      </w:r>
    </w:p>
    <w:p w14:paraId="6C0AB705" w14:textId="77777777" w:rsidR="00756F23" w:rsidRPr="00A84BCA" w:rsidRDefault="00756F23" w:rsidP="00756F23">
      <w:pPr>
        <w:spacing w:line="360" w:lineRule="auto"/>
        <w:rPr>
          <w:b/>
          <w:color w:val="000000" w:themeColor="text1"/>
        </w:rPr>
      </w:pPr>
    </w:p>
    <w:p w14:paraId="721C1BFF" w14:textId="77777777" w:rsidR="00756F23" w:rsidRPr="00A84BCA" w:rsidRDefault="00756F23" w:rsidP="00756F23">
      <w:pPr>
        <w:spacing w:line="360" w:lineRule="auto"/>
        <w:rPr>
          <w:b/>
          <w:color w:val="000000" w:themeColor="text1"/>
        </w:rPr>
      </w:pPr>
      <w:r w:rsidRPr="00A84BCA">
        <w:rPr>
          <w:b/>
          <w:color w:val="000000" w:themeColor="text1"/>
        </w:rPr>
        <w:t xml:space="preserve">Journal: </w:t>
      </w:r>
    </w:p>
    <w:p w14:paraId="3B6AF61B" w14:textId="77777777" w:rsidR="00756F23" w:rsidRPr="00A84BCA" w:rsidRDefault="00756F23" w:rsidP="00756F23">
      <w:pPr>
        <w:spacing w:line="360" w:lineRule="auto"/>
        <w:rPr>
          <w:color w:val="000000" w:themeColor="text1"/>
        </w:rPr>
      </w:pPr>
      <w:r w:rsidRPr="00A84BCA">
        <w:rPr>
          <w:color w:val="000000" w:themeColor="text1"/>
        </w:rPr>
        <w:t>Global Ecology and Biogeography</w:t>
      </w:r>
    </w:p>
    <w:p w14:paraId="11703604" w14:textId="77777777" w:rsidR="00756F23" w:rsidRPr="00A84BCA" w:rsidRDefault="00756F23" w:rsidP="00756F23">
      <w:pPr>
        <w:spacing w:line="360" w:lineRule="auto"/>
        <w:rPr>
          <w:b/>
          <w:color w:val="000000" w:themeColor="text1"/>
        </w:rPr>
      </w:pPr>
    </w:p>
    <w:p w14:paraId="18D4E084" w14:textId="77777777" w:rsidR="00756F23" w:rsidRDefault="00756F23" w:rsidP="00756F23">
      <w:pPr>
        <w:spacing w:line="360" w:lineRule="auto"/>
        <w:rPr>
          <w:rFonts w:eastAsia="Calibri"/>
          <w:color w:val="000000" w:themeColor="text1"/>
          <w:lang w:val="en-US"/>
        </w:rPr>
      </w:pPr>
      <w:r w:rsidRPr="002020A6">
        <w:rPr>
          <w:rFonts w:eastAsia="Calibri"/>
          <w:b/>
          <w:bCs/>
          <w:color w:val="000000" w:themeColor="text1"/>
          <w:lang w:val="en-US"/>
        </w:rPr>
        <w:t>Authors:</w:t>
      </w:r>
    </w:p>
    <w:p w14:paraId="39B5F01C" w14:textId="77777777" w:rsidR="00756F23" w:rsidRPr="002020A6" w:rsidRDefault="00756F23" w:rsidP="00756F23">
      <w:pPr>
        <w:spacing w:line="360" w:lineRule="auto"/>
        <w:rPr>
          <w:rFonts w:eastAsia="Calibri"/>
          <w:color w:val="000000" w:themeColor="text1"/>
          <w:vertAlign w:val="superscript"/>
          <w:lang w:val="en-US"/>
        </w:rPr>
      </w:pPr>
      <w:r w:rsidRPr="002020A6">
        <w:rPr>
          <w:rFonts w:eastAsia="Calibri"/>
          <w:color w:val="000000" w:themeColor="text1"/>
          <w:lang w:val="en-US"/>
        </w:rPr>
        <w:t>Em G</w:t>
      </w:r>
      <w:r>
        <w:rPr>
          <w:rFonts w:eastAsia="Calibri"/>
          <w:color w:val="000000" w:themeColor="text1"/>
          <w:lang w:val="en-US"/>
        </w:rPr>
        <w:t>.</w:t>
      </w:r>
      <w:r w:rsidRPr="002020A6">
        <w:rPr>
          <w:rFonts w:eastAsia="Calibri"/>
          <w:color w:val="000000" w:themeColor="text1"/>
          <w:lang w:val="en-US"/>
        </w:rPr>
        <w:t xml:space="preserve"> Lim</w:t>
      </w:r>
      <w:r w:rsidRPr="002020A6">
        <w:rPr>
          <w:rFonts w:eastAsia="Calibri"/>
          <w:color w:val="000000" w:themeColor="text1"/>
          <w:vertAlign w:val="superscript"/>
          <w:lang w:val="en-US"/>
        </w:rPr>
        <w:t>1§</w:t>
      </w:r>
      <w:r w:rsidRPr="002020A6">
        <w:rPr>
          <w:rFonts w:eastAsia="Calibri"/>
          <w:color w:val="000000" w:themeColor="text1"/>
          <w:lang w:val="en-US"/>
        </w:rPr>
        <w:t xml:space="preserve"> and Isabelle M Côté</w:t>
      </w:r>
      <w:r w:rsidRPr="002020A6">
        <w:rPr>
          <w:rFonts w:eastAsia="Calibri"/>
          <w:color w:val="000000" w:themeColor="text1"/>
          <w:vertAlign w:val="superscript"/>
          <w:lang w:val="en-US"/>
        </w:rPr>
        <w:t>1</w:t>
      </w:r>
    </w:p>
    <w:p w14:paraId="13C938F1" w14:textId="77777777" w:rsidR="00756F23" w:rsidRPr="00A84BCA" w:rsidRDefault="00756F23" w:rsidP="00756F23">
      <w:pPr>
        <w:spacing w:line="360" w:lineRule="auto"/>
        <w:jc w:val="center"/>
        <w:rPr>
          <w:color w:val="000000" w:themeColor="text1"/>
        </w:rPr>
      </w:pPr>
    </w:p>
    <w:p w14:paraId="299A3611" w14:textId="77777777" w:rsidR="00756F23" w:rsidRPr="002020A6" w:rsidRDefault="00756F23" w:rsidP="00756F23">
      <w:pPr>
        <w:spacing w:line="360" w:lineRule="auto"/>
        <w:rPr>
          <w:rFonts w:eastAsia="Calibri"/>
          <w:b/>
          <w:bCs/>
          <w:color w:val="000000" w:themeColor="text1"/>
        </w:rPr>
      </w:pPr>
      <w:r w:rsidRPr="002020A6">
        <w:rPr>
          <w:rFonts w:eastAsia="Calibri"/>
          <w:b/>
          <w:bCs/>
          <w:color w:val="000000" w:themeColor="text1"/>
        </w:rPr>
        <w:t>Affiliations</w:t>
      </w:r>
    </w:p>
    <w:p w14:paraId="1C18ECB7" w14:textId="77777777" w:rsidR="00756F23" w:rsidRPr="002020A6" w:rsidRDefault="00756F23" w:rsidP="00756F23">
      <w:pPr>
        <w:spacing w:line="360" w:lineRule="auto"/>
        <w:rPr>
          <w:rFonts w:eastAsia="Calibri"/>
          <w:color w:val="000000" w:themeColor="text1"/>
        </w:rPr>
      </w:pPr>
      <w:r w:rsidRPr="002020A6">
        <w:rPr>
          <w:rFonts w:eastAsia="Calibri"/>
          <w:color w:val="000000" w:themeColor="text1"/>
          <w:vertAlign w:val="superscript"/>
        </w:rPr>
        <w:t>1</w:t>
      </w:r>
      <w:r w:rsidRPr="002020A6">
        <w:rPr>
          <w:rFonts w:eastAsia="Calibri"/>
          <w:color w:val="000000" w:themeColor="text1"/>
        </w:rPr>
        <w:t>Biological Sciences, Simon Fraser University, Vancouver, British Columbia, CAN</w:t>
      </w:r>
    </w:p>
    <w:p w14:paraId="033DE759" w14:textId="77777777" w:rsidR="00756F23" w:rsidRPr="00A84BCA" w:rsidRDefault="00756F23" w:rsidP="00756F23">
      <w:pPr>
        <w:spacing w:line="360" w:lineRule="auto"/>
        <w:rPr>
          <w:color w:val="000000" w:themeColor="text1"/>
        </w:rPr>
      </w:pPr>
    </w:p>
    <w:p w14:paraId="78E10404" w14:textId="77777777" w:rsidR="00756F23" w:rsidRPr="002020A6" w:rsidRDefault="00756F23" w:rsidP="00756F23">
      <w:pPr>
        <w:spacing w:line="360" w:lineRule="auto"/>
        <w:rPr>
          <w:rFonts w:eastAsia="Calibri"/>
          <w:b/>
          <w:color w:val="000000" w:themeColor="text1"/>
        </w:rPr>
      </w:pPr>
      <w:r w:rsidRPr="002020A6">
        <w:rPr>
          <w:rFonts w:eastAsia="Calibri"/>
          <w:color w:val="000000" w:themeColor="text1"/>
          <w:vertAlign w:val="superscript"/>
          <w:lang w:val="en-US"/>
        </w:rPr>
        <w:t>§</w:t>
      </w:r>
      <w:r w:rsidRPr="002020A6">
        <w:rPr>
          <w:rFonts w:eastAsia="Calibri"/>
          <w:b/>
          <w:color w:val="000000" w:themeColor="text1"/>
        </w:rPr>
        <w:t>Corresponding author</w:t>
      </w:r>
    </w:p>
    <w:p w14:paraId="6B64009E" w14:textId="77777777" w:rsidR="00756F23" w:rsidRPr="002020A6" w:rsidRDefault="00756F23" w:rsidP="00756F23">
      <w:pPr>
        <w:spacing w:line="360" w:lineRule="auto"/>
        <w:rPr>
          <w:rFonts w:eastAsia="Calibri"/>
          <w:color w:val="000000" w:themeColor="text1"/>
        </w:rPr>
      </w:pPr>
      <w:r w:rsidRPr="002020A6">
        <w:rPr>
          <w:rFonts w:eastAsia="Calibri"/>
          <w:color w:val="000000" w:themeColor="text1"/>
        </w:rPr>
        <w:t>Em G Lim: em_lim@sfu.ca</w:t>
      </w:r>
      <w:r>
        <w:rPr>
          <w:rFonts w:eastAsia="Calibri"/>
          <w:color w:val="000000" w:themeColor="text1"/>
        </w:rPr>
        <w:t>;</w:t>
      </w:r>
      <w:r w:rsidRPr="002020A6">
        <w:rPr>
          <w:rFonts w:eastAsia="Calibri"/>
          <w:color w:val="000000" w:themeColor="text1"/>
        </w:rPr>
        <w:t xml:space="preserve"> </w:t>
      </w:r>
      <w:r>
        <w:rPr>
          <w:rFonts w:eastAsia="Calibri"/>
          <w:color w:val="000000" w:themeColor="text1"/>
        </w:rPr>
        <w:t>em.lim.phd@gmail.com</w:t>
      </w:r>
    </w:p>
    <w:p w14:paraId="7678A535" w14:textId="77777777" w:rsidR="00756F23" w:rsidRPr="002020A6" w:rsidRDefault="00756F23" w:rsidP="00756F23">
      <w:pPr>
        <w:spacing w:line="360" w:lineRule="auto"/>
        <w:rPr>
          <w:rFonts w:eastAsia="Calibri"/>
          <w:color w:val="000000" w:themeColor="text1"/>
        </w:rPr>
      </w:pPr>
      <w:r w:rsidRPr="002020A6">
        <w:rPr>
          <w:rFonts w:eastAsia="Calibri"/>
          <w:color w:val="000000" w:themeColor="text1"/>
        </w:rPr>
        <w:t>Department of Biological Sciences</w:t>
      </w:r>
    </w:p>
    <w:p w14:paraId="0D66CD2E" w14:textId="77777777" w:rsidR="00756F23" w:rsidRPr="002020A6" w:rsidRDefault="00756F23" w:rsidP="00756F23">
      <w:pPr>
        <w:spacing w:line="360" w:lineRule="auto"/>
        <w:rPr>
          <w:rFonts w:eastAsia="Calibri"/>
          <w:color w:val="000000" w:themeColor="text1"/>
        </w:rPr>
      </w:pPr>
      <w:r w:rsidRPr="002020A6">
        <w:rPr>
          <w:rFonts w:eastAsia="Calibri"/>
          <w:color w:val="000000" w:themeColor="text1"/>
        </w:rPr>
        <w:t>Simon Fraser University</w:t>
      </w:r>
    </w:p>
    <w:p w14:paraId="3BDA18FB" w14:textId="77777777" w:rsidR="00756F23" w:rsidRPr="002020A6" w:rsidRDefault="00756F23" w:rsidP="00756F23">
      <w:pPr>
        <w:spacing w:line="360" w:lineRule="auto"/>
        <w:rPr>
          <w:rFonts w:eastAsia="Calibri"/>
          <w:color w:val="000000" w:themeColor="text1"/>
        </w:rPr>
      </w:pPr>
      <w:r w:rsidRPr="002020A6">
        <w:rPr>
          <w:rFonts w:eastAsia="Calibri"/>
          <w:color w:val="000000" w:themeColor="text1"/>
        </w:rPr>
        <w:t>8888 University Drive</w:t>
      </w:r>
    </w:p>
    <w:p w14:paraId="38FD22A9" w14:textId="77777777" w:rsidR="00756F23" w:rsidRPr="002020A6" w:rsidRDefault="00756F23" w:rsidP="00756F23">
      <w:pPr>
        <w:spacing w:line="360" w:lineRule="auto"/>
        <w:rPr>
          <w:rFonts w:eastAsia="Calibri"/>
          <w:color w:val="000000" w:themeColor="text1"/>
        </w:rPr>
      </w:pPr>
      <w:r w:rsidRPr="002020A6">
        <w:rPr>
          <w:rFonts w:eastAsia="Calibri"/>
          <w:color w:val="000000" w:themeColor="text1"/>
        </w:rPr>
        <w:t>Burnaby, BC Canada V5A 1S6</w:t>
      </w:r>
    </w:p>
    <w:p w14:paraId="103E1B2E" w14:textId="77777777" w:rsidR="007803B0" w:rsidRDefault="007803B0" w:rsidP="007803B0">
      <w:pPr>
        <w:spacing w:line="360" w:lineRule="auto"/>
      </w:pPr>
    </w:p>
    <w:p w14:paraId="39A56EFB" w14:textId="77777777" w:rsidR="007803B0" w:rsidRDefault="007803B0" w:rsidP="007803B0">
      <w:pPr>
        <w:spacing w:line="360" w:lineRule="auto"/>
      </w:pPr>
    </w:p>
    <w:p w14:paraId="239F8B6F" w14:textId="1711C482" w:rsidR="00796C52" w:rsidRDefault="007803B0" w:rsidP="007803B0">
      <w:pPr>
        <w:rPr>
          <w:b/>
        </w:rPr>
      </w:pPr>
      <w:r>
        <w:rPr>
          <w:b/>
        </w:rPr>
        <w:br w:type="page"/>
      </w:r>
    </w:p>
    <w:p w14:paraId="58BD44A2" w14:textId="6BA89490" w:rsidR="005428C5" w:rsidRPr="005428C5" w:rsidRDefault="005428C5" w:rsidP="005428C5">
      <w:pPr>
        <w:pStyle w:val="Bibliography"/>
        <w:rPr>
          <w:b/>
          <w:bCs/>
        </w:rPr>
      </w:pPr>
      <w:r w:rsidRPr="005428C5">
        <w:rPr>
          <w:b/>
          <w:bCs/>
        </w:rPr>
        <w:lastRenderedPageBreak/>
        <w:t xml:space="preserve">Full list of studies included in the meta-analysis </w:t>
      </w:r>
    </w:p>
    <w:p w14:paraId="0542DF12" w14:textId="77777777" w:rsidR="005428C5" w:rsidRPr="005428C5" w:rsidRDefault="005428C5" w:rsidP="005428C5"/>
    <w:p w14:paraId="2109F94E" w14:textId="77777777" w:rsidR="00255205" w:rsidRPr="003F2738" w:rsidRDefault="00255205" w:rsidP="00255205">
      <w:pPr>
        <w:pStyle w:val="Bibliography"/>
        <w:rPr>
          <w:lang w:val="en-US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3F2738">
        <w:rPr>
          <w:lang w:val="en-US"/>
        </w:rPr>
        <w:t xml:space="preserve">Allgeier, J.E., Andskog, M.A., Hensel, E., Appaldo, R., Layman, C. &amp; Kemp, D.W. (2020) Rewiring coral: Anthropogenic nutrients shift diverse coral–symbiont nutrient and carbon interactions toward symbiotic algal dominance. </w:t>
      </w:r>
      <w:r w:rsidRPr="003F2738">
        <w:rPr>
          <w:i/>
          <w:iCs/>
          <w:lang w:val="en-US"/>
        </w:rPr>
        <w:t>Global Change Biology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26</w:t>
      </w:r>
      <w:r w:rsidRPr="003F2738">
        <w:rPr>
          <w:lang w:val="en-US"/>
        </w:rPr>
        <w:t>, 5588–5601.</w:t>
      </w:r>
    </w:p>
    <w:p w14:paraId="16ADE973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Allgeier, J.E., Layman, C.A., Montaña, C.G., Hensel, E., Appaldo, R. &amp; Rosemond, A.D. (2018) Anthropogenic versus fish-derived nutrient effects on seagrass community structure and function. </w:t>
      </w:r>
      <w:r w:rsidRPr="003F2738">
        <w:rPr>
          <w:i/>
          <w:iCs/>
          <w:lang w:val="en-US"/>
        </w:rPr>
        <w:t>Ecology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99</w:t>
      </w:r>
      <w:r w:rsidRPr="003F2738">
        <w:rPr>
          <w:lang w:val="en-US"/>
        </w:rPr>
        <w:t>, 1792–1801.</w:t>
      </w:r>
    </w:p>
    <w:p w14:paraId="28E19887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Allgeier, J.E., Yeager, L.A. &amp; Layman, C.A. (2013) Consumers regulate nutrient limitation regimes and primary production in seagrass ecosystems. </w:t>
      </w:r>
      <w:r w:rsidRPr="003F2738">
        <w:rPr>
          <w:i/>
          <w:iCs/>
          <w:lang w:val="en-US"/>
        </w:rPr>
        <w:t>Ecology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94</w:t>
      </w:r>
      <w:r w:rsidRPr="003F2738">
        <w:rPr>
          <w:lang w:val="en-US"/>
        </w:rPr>
        <w:t>, 521–529.</w:t>
      </w:r>
    </w:p>
    <w:p w14:paraId="71A52BE9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Androuin, T., Polerecky, L., Decottignies, P., Dubois, S.F., Dupuy, C., Hubas, C., Jesus, B., Le Gall, E., Marzloff, M.P. &amp; Carlier, A. (2018) Subtidal Microphytobenthos: A Secret Garden Stimulated by the Engineer Species Crepidula fornicata. </w:t>
      </w:r>
      <w:r w:rsidRPr="003F2738">
        <w:rPr>
          <w:i/>
          <w:iCs/>
          <w:lang w:val="en-US"/>
        </w:rPr>
        <w:t>Frontiers in Marine Science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5</w:t>
      </w:r>
      <w:r w:rsidRPr="003F2738">
        <w:rPr>
          <w:lang w:val="en-US"/>
        </w:rPr>
        <w:t>, 475.</w:t>
      </w:r>
    </w:p>
    <w:p w14:paraId="689284AD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Aquilino, K.M., Bracken, M.E.S., Faubel, M.N. &amp; Stachowicz, J.J. (2009) Local-scale nutrient regeneration facilitates seaweed growth on wave-exposed rocky shores in an upwelling system. </w:t>
      </w:r>
      <w:r w:rsidRPr="003F2738">
        <w:rPr>
          <w:i/>
          <w:iCs/>
          <w:lang w:val="en-US"/>
        </w:rPr>
        <w:t>Limnology and Oceanography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54</w:t>
      </w:r>
      <w:r w:rsidRPr="003F2738">
        <w:rPr>
          <w:lang w:val="en-US"/>
        </w:rPr>
        <w:t>, 309–317.</w:t>
      </w:r>
    </w:p>
    <w:p w14:paraId="57F8C46D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Archer, S.K., Stoner, E.W. &amp; Layman, C.A. (2015) A complex interaction between a sponge (Halichondria melanadocia) and a seagrass (Thalassia testudinum) in a subtropical coastal ecosystem. </w:t>
      </w:r>
      <w:r w:rsidRPr="003F2738">
        <w:rPr>
          <w:i/>
          <w:iCs/>
          <w:lang w:val="en-US"/>
        </w:rPr>
        <w:t>Journal of Experimental Marine Biology and Ecology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465</w:t>
      </w:r>
      <w:r w:rsidRPr="003F2738">
        <w:rPr>
          <w:lang w:val="en-US"/>
        </w:rPr>
        <w:t>, 33–40.</w:t>
      </w:r>
    </w:p>
    <w:p w14:paraId="7D9472CB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Arzul, G. (2001) Effect of marine animal excretions on differential growth of phytoplankton species. </w:t>
      </w:r>
      <w:r w:rsidRPr="003F2738">
        <w:rPr>
          <w:i/>
          <w:iCs/>
          <w:lang w:val="en-US"/>
        </w:rPr>
        <w:t>ICES Journal of Marine Science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58</w:t>
      </w:r>
      <w:r w:rsidRPr="003F2738">
        <w:rPr>
          <w:lang w:val="en-US"/>
        </w:rPr>
        <w:t>, 386–390.</w:t>
      </w:r>
    </w:p>
    <w:p w14:paraId="4304D6D9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Benkwitt, C.E., D’Angelo, C., Dunn, R.E., Gunn, R.L., Healing, S., Mardones, M.L., Wiedenmann, J., Wilson, S.K. &amp; Graham, N.A.J. (2023) Seabirds boost coral reef resilience. </w:t>
      </w:r>
      <w:r w:rsidRPr="003F2738">
        <w:rPr>
          <w:i/>
          <w:iCs/>
          <w:lang w:val="en-US"/>
        </w:rPr>
        <w:t>Science Advances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9</w:t>
      </w:r>
      <w:r w:rsidRPr="003F2738">
        <w:rPr>
          <w:lang w:val="en-US"/>
        </w:rPr>
        <w:t>, eadj0390.</w:t>
      </w:r>
    </w:p>
    <w:p w14:paraId="2BB31B79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Bracken, M.E.S. (2004) Invertebrate-mediated nutrient loading increases growth of an intertidal macroalga. </w:t>
      </w:r>
      <w:r w:rsidRPr="003F2738">
        <w:rPr>
          <w:i/>
          <w:iCs/>
          <w:lang w:val="en-US"/>
        </w:rPr>
        <w:t>Journal of Phycology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40</w:t>
      </w:r>
      <w:r w:rsidRPr="003F2738">
        <w:rPr>
          <w:lang w:val="en-US"/>
        </w:rPr>
        <w:t>, 1032–1041.</w:t>
      </w:r>
    </w:p>
    <w:p w14:paraId="1131C63B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Cardini, U., Marín-Guirao, L., Montilla, L.M., Marzocchi, U., Chiavarini, S., Rimauro, J., Quero, G.M., Petersen, J.M. &amp; Procaccini, G. (2022) Nested interactions between chemosynthetic lucinid bivalves and seagrass promote ecosystem functioning in contaminated sediments. </w:t>
      </w:r>
      <w:r w:rsidRPr="003F2738">
        <w:rPr>
          <w:i/>
          <w:iCs/>
          <w:lang w:val="en-US"/>
        </w:rPr>
        <w:t>Frontiers in Plant Science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13</w:t>
      </w:r>
      <w:r w:rsidRPr="003F2738">
        <w:rPr>
          <w:lang w:val="en-US"/>
        </w:rPr>
        <w:t>.</w:t>
      </w:r>
    </w:p>
    <w:p w14:paraId="3D8E6DAC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Chase, T.J., Pratchett, M.S., Frank, G.E. &amp; Hoogenboom, M.O. (2018) Coral-dwelling fish moderate bleaching susceptibility of coral hosts. </w:t>
      </w:r>
      <w:r w:rsidRPr="003F2738">
        <w:rPr>
          <w:i/>
          <w:iCs/>
          <w:lang w:val="en-US"/>
        </w:rPr>
        <w:t>PLOS ONE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13</w:t>
      </w:r>
      <w:r w:rsidRPr="003F2738">
        <w:rPr>
          <w:lang w:val="en-US"/>
        </w:rPr>
        <w:t>, e0208545.</w:t>
      </w:r>
    </w:p>
    <w:p w14:paraId="1C1227B8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Chase, T.J., Pratchett, M.S., Walker, S.P.W. &amp; Hoogenboom, M.O. (2014) Small-scale environmental variation influences whether coral-dwelling fish promote or impede coral growth. </w:t>
      </w:r>
      <w:r w:rsidRPr="003F2738">
        <w:rPr>
          <w:i/>
          <w:iCs/>
          <w:lang w:val="en-US"/>
        </w:rPr>
        <w:t>Oecologia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176</w:t>
      </w:r>
      <w:r w:rsidRPr="003F2738">
        <w:rPr>
          <w:lang w:val="en-US"/>
        </w:rPr>
        <w:t>, 1009–1022.</w:t>
      </w:r>
    </w:p>
    <w:p w14:paraId="7F8A7536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Cherif, M., Granados, M., Duffy, S., Robert, P., Péquin, B., Mohit, V., McKindsey, C.W., Archambault, P., Myrand, B., Lovejoy, C., Tremblay, R., Plourde, S. &amp; Fussmann, G.F. (2016) Potential for Local Fertilization: A Benthocosm Test of Long-Term and Short-Term Effects of Mussel Excretion on the Plankton. </w:t>
      </w:r>
      <w:r w:rsidRPr="003F2738">
        <w:rPr>
          <w:i/>
          <w:iCs/>
          <w:lang w:val="en-US"/>
        </w:rPr>
        <w:t>PLOS ONE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11</w:t>
      </w:r>
      <w:r w:rsidRPr="003F2738">
        <w:rPr>
          <w:lang w:val="en-US"/>
        </w:rPr>
        <w:t>, e0156411.</w:t>
      </w:r>
    </w:p>
    <w:p w14:paraId="7DBFA1BC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Cognie, B. &amp; Barille, L. (1999) Does bivalve mucus favour the growth of their main food source, microalgae? </w:t>
      </w:r>
      <w:r w:rsidRPr="003F2738">
        <w:rPr>
          <w:i/>
          <w:iCs/>
          <w:lang w:val="en-US"/>
        </w:rPr>
        <w:t>Oceanologica Acta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22</w:t>
      </w:r>
      <w:r w:rsidRPr="003F2738">
        <w:rPr>
          <w:lang w:val="en-US"/>
        </w:rPr>
        <w:t>, 441–450.</w:t>
      </w:r>
    </w:p>
    <w:p w14:paraId="3BAC9292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Easson, C.G., Slattery, M., Baker, D.M. &amp; Gochfeld, D.J. (2014) Complex ecological associations: competition and facilitation in a sponge–algal interaction. </w:t>
      </w:r>
      <w:r w:rsidRPr="003F2738">
        <w:rPr>
          <w:i/>
          <w:iCs/>
          <w:lang w:val="en-US"/>
        </w:rPr>
        <w:t>Marine Ecology Progress Series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507</w:t>
      </w:r>
      <w:r w:rsidRPr="003F2738">
        <w:rPr>
          <w:lang w:val="en-US"/>
        </w:rPr>
        <w:t>, 153–167.</w:t>
      </w:r>
    </w:p>
    <w:p w14:paraId="667FCCD2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lastRenderedPageBreak/>
        <w:t>Escalas, A., Avouac, A., Belmaker, J., Bouvier, T., Clédassou, V., Ferraton, F., Rieuvilleneuve, F., Rilov, G., Rovirosa Mulet, A., Shapiro Goldberg, D. &amp; Villéger, S. (2022) An invasive herbivorous fish (</w:t>
      </w:r>
      <w:r w:rsidRPr="003F2738">
        <w:rPr>
          <w:i/>
          <w:iCs/>
          <w:lang w:val="en-US"/>
        </w:rPr>
        <w:t>Siganus rivulatus</w:t>
      </w:r>
      <w:r w:rsidRPr="003F2738">
        <w:rPr>
          <w:lang w:val="en-US"/>
        </w:rPr>
        <w:t xml:space="preserve">) influences both benthic and planktonic microbes through defecation and nutrient excretion. </w:t>
      </w:r>
      <w:r w:rsidRPr="003F2738">
        <w:rPr>
          <w:i/>
          <w:iCs/>
          <w:lang w:val="en-US"/>
        </w:rPr>
        <w:t>Science of The Total Environment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838</w:t>
      </w:r>
      <w:r w:rsidRPr="003F2738">
        <w:rPr>
          <w:lang w:val="en-US"/>
        </w:rPr>
        <w:t>, 156207.</w:t>
      </w:r>
    </w:p>
    <w:p w14:paraId="4FE16FB3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>Francis, F.T.-Y. (2019) Fish-mediated nutrients in tropical marine systems.</w:t>
      </w:r>
    </w:p>
    <w:p w14:paraId="168716F2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>Griffin, J.E. (2024) Eelgrass-Bivalve Interactions in a Changing Ocean.</w:t>
      </w:r>
    </w:p>
    <w:p w14:paraId="5788117D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Healing, S., Benkwitt, C.E., Dunn, R.E. &amp; Graham, N.A.J. (2024) Seabird-vectored pelagic nutrients integrated into temperate intertidal rocky shores. </w:t>
      </w:r>
      <w:r w:rsidRPr="003F2738">
        <w:rPr>
          <w:i/>
          <w:iCs/>
          <w:lang w:val="en-US"/>
        </w:rPr>
        <w:t>Frontiers in Marine Science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11</w:t>
      </w:r>
      <w:r w:rsidRPr="003F2738">
        <w:rPr>
          <w:lang w:val="en-US"/>
        </w:rPr>
        <w:t>.</w:t>
      </w:r>
    </w:p>
    <w:p w14:paraId="1A13BE81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Hepburn, C.D. &amp; Hurd, C.L. (2005) Conditional mutualism between the giant kelp Macrocystis pyrifera and colonial epifauna. </w:t>
      </w:r>
      <w:r w:rsidRPr="003F2738">
        <w:rPr>
          <w:i/>
          <w:iCs/>
          <w:lang w:val="en-US"/>
        </w:rPr>
        <w:t>Marine Ecology Progress Series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302</w:t>
      </w:r>
      <w:r w:rsidRPr="003F2738">
        <w:rPr>
          <w:lang w:val="en-US"/>
        </w:rPr>
        <w:t>, 37–48.</w:t>
      </w:r>
    </w:p>
    <w:p w14:paraId="02802964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Holbrook, S.J., Brooks, A.J., Schmitt, R.J. &amp; Stewart, H.L. (2008) Effects of sheltering fish on growth of their host corals. </w:t>
      </w:r>
      <w:r w:rsidRPr="003F2738">
        <w:rPr>
          <w:i/>
          <w:iCs/>
          <w:lang w:val="en-US"/>
        </w:rPr>
        <w:t>Marine Biology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155</w:t>
      </w:r>
      <w:r w:rsidRPr="003F2738">
        <w:rPr>
          <w:lang w:val="en-US"/>
        </w:rPr>
        <w:t>, 521–530.</w:t>
      </w:r>
    </w:p>
    <w:p w14:paraId="09C0A298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Holbrook, S.J., Schmitt, R.J. &amp; Brooks, A.J. (2011) Indirect effects of species interactions on habitat provisioning. </w:t>
      </w:r>
      <w:r w:rsidRPr="003F2738">
        <w:rPr>
          <w:i/>
          <w:iCs/>
          <w:lang w:val="en-US"/>
        </w:rPr>
        <w:t>Oecologia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166</w:t>
      </w:r>
      <w:r w:rsidRPr="003F2738">
        <w:rPr>
          <w:lang w:val="en-US"/>
        </w:rPr>
        <w:t>, 739–749.</w:t>
      </w:r>
    </w:p>
    <w:p w14:paraId="3E2A5CB7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Layman, C.A., Allgeier, J.E. &amp; Montaña, C.G. (2016) Mechanistic evidence of enhanced production on artificial reefs: A case study in a Bahamian seagrass ecosystem. </w:t>
      </w:r>
      <w:r w:rsidRPr="003F2738">
        <w:rPr>
          <w:i/>
          <w:iCs/>
          <w:lang w:val="en-US"/>
        </w:rPr>
        <w:t>Ecological Engineering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95</w:t>
      </w:r>
      <w:r w:rsidRPr="003F2738">
        <w:rPr>
          <w:lang w:val="en-US"/>
        </w:rPr>
        <w:t>, 574–579.</w:t>
      </w:r>
    </w:p>
    <w:p w14:paraId="7A33AB7D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MacTavish, T., Stenton-Dozey, J., Vopel, K. &amp; Savage, C. (2012) Deposit-Feeding Sea Cucumbers Enhance Mineralization and Nutrient Cycling in Organically-Enriched Coastal Sediments. </w:t>
      </w:r>
      <w:r w:rsidRPr="003F2738">
        <w:rPr>
          <w:i/>
          <w:iCs/>
          <w:lang w:val="en-US"/>
        </w:rPr>
        <w:t>PLoS ONE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7</w:t>
      </w:r>
      <w:r w:rsidRPr="003F2738">
        <w:rPr>
          <w:lang w:val="en-US"/>
        </w:rPr>
        <w:t>.</w:t>
      </w:r>
    </w:p>
    <w:p w14:paraId="2B46D538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Marmen, M.B., Kenchington, E., Ardyna, M. &amp; Archambault, P. (2017) Influence of seabird colonies and other environmental variables on benthic community structure, Lancaster Sound Region, Canadian Arctic. </w:t>
      </w:r>
      <w:r w:rsidRPr="003F2738">
        <w:rPr>
          <w:i/>
          <w:iCs/>
          <w:lang w:val="en-US"/>
        </w:rPr>
        <w:t>Journal of Marine Systems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167</w:t>
      </w:r>
      <w:r w:rsidRPr="003F2738">
        <w:rPr>
          <w:lang w:val="en-US"/>
        </w:rPr>
        <w:t>, 105–117.</w:t>
      </w:r>
    </w:p>
    <w:p w14:paraId="576E9418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Meyer, J.L. &amp; Schultz, E.T. (1985) Tissue condition and growth rate of corals associated with schooling fish1. </w:t>
      </w:r>
      <w:r w:rsidRPr="003F2738">
        <w:rPr>
          <w:i/>
          <w:iCs/>
          <w:lang w:val="en-US"/>
        </w:rPr>
        <w:t>Limnology and Oceanography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30</w:t>
      </w:r>
      <w:r w:rsidRPr="003F2738">
        <w:rPr>
          <w:lang w:val="en-US"/>
        </w:rPr>
        <w:t>, 157–166.</w:t>
      </w:r>
    </w:p>
    <w:p w14:paraId="483432E3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Meyer, J.L., Schultz, E.T. &amp; Helfman, G.S. (1983) Fish schools: An asset to corals. </w:t>
      </w:r>
      <w:r w:rsidRPr="003F2738">
        <w:rPr>
          <w:i/>
          <w:iCs/>
          <w:lang w:val="en-US"/>
        </w:rPr>
        <w:t>Science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220</w:t>
      </w:r>
      <w:r w:rsidRPr="003F2738">
        <w:rPr>
          <w:lang w:val="en-US"/>
        </w:rPr>
        <w:t>, 1047–1049.</w:t>
      </w:r>
    </w:p>
    <w:p w14:paraId="159103F6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Peterson, B. &amp; Heck, K. (2001) Positive interactions between suspension-feeding bivalves and seagrass-a facultative mutualism. </w:t>
      </w:r>
      <w:r w:rsidRPr="003F2738">
        <w:rPr>
          <w:i/>
          <w:iCs/>
          <w:lang w:val="en-US"/>
        </w:rPr>
        <w:t>Marine Ecology Progress Series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213</w:t>
      </w:r>
      <w:r w:rsidRPr="003F2738">
        <w:rPr>
          <w:lang w:val="en-US"/>
        </w:rPr>
        <w:t>, 143–155.</w:t>
      </w:r>
    </w:p>
    <w:p w14:paraId="7751B181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Peterson, B.J., Valentine, J.F. &amp; Heck, K.L. (2013) The snapper–grunt pump: Habitat modification and facilitation of the associated benthic plant communities by reef-resident fish. </w:t>
      </w:r>
      <w:r w:rsidRPr="003F2738">
        <w:rPr>
          <w:i/>
          <w:iCs/>
          <w:lang w:val="en-US"/>
        </w:rPr>
        <w:t>Journal of Experimental Marine Biology and Ecology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441</w:t>
      </w:r>
      <w:r w:rsidRPr="003F2738">
        <w:rPr>
          <w:lang w:val="en-US"/>
        </w:rPr>
        <w:t>, 50–54.</w:t>
      </w:r>
    </w:p>
    <w:p w14:paraId="1413AA76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Pfister, C.A. (2007) Intertidal Invertebrates Locally Enhance Primary Production. </w:t>
      </w:r>
      <w:r w:rsidRPr="003F2738">
        <w:rPr>
          <w:i/>
          <w:iCs/>
          <w:lang w:val="en-US"/>
        </w:rPr>
        <w:t>Ecology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88</w:t>
      </w:r>
      <w:r w:rsidRPr="003F2738">
        <w:rPr>
          <w:lang w:val="en-US"/>
        </w:rPr>
        <w:t>, 1647–1653.</w:t>
      </w:r>
    </w:p>
    <w:p w14:paraId="517F2970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Porat, D. &amp; Chadwick-Furman, N.E. (2005) Effects of anemonefish on giant sea anemones: Ammonium uptake, zooxanthella content and tissue regeneration. </w:t>
      </w:r>
      <w:r w:rsidRPr="003F2738">
        <w:rPr>
          <w:i/>
          <w:iCs/>
          <w:lang w:val="en-US"/>
        </w:rPr>
        <w:t>Marine and Freshwater Behaviour and Physiology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38</w:t>
      </w:r>
      <w:r w:rsidRPr="003F2738">
        <w:rPr>
          <w:lang w:val="en-US"/>
        </w:rPr>
        <w:t>, 43–51.</w:t>
      </w:r>
    </w:p>
    <w:p w14:paraId="16658CD9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Sandoval-Gil, J., Alexandre, A., Santos, R. &amp; Camacho-Ibar, V.F. (2016) Nitrogen Uptake and Internal Recycling in Zostera marina Exposed to Oyster Farming: Eelgrass Potential as a Natural Biofilter. </w:t>
      </w:r>
      <w:r w:rsidRPr="003F2738">
        <w:rPr>
          <w:i/>
          <w:iCs/>
          <w:lang w:val="en-US"/>
        </w:rPr>
        <w:t>Estuaries and Coasts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39</w:t>
      </w:r>
      <w:r w:rsidRPr="003F2738">
        <w:rPr>
          <w:lang w:val="en-US"/>
        </w:rPr>
        <w:t>, 1694–1708.</w:t>
      </w:r>
    </w:p>
    <w:p w14:paraId="50D92E88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Savage, C. (2019) Seabird nutrients are assimilated by corals and enhance coral growth rates. </w:t>
      </w:r>
      <w:r w:rsidRPr="003F2738">
        <w:rPr>
          <w:i/>
          <w:iCs/>
          <w:lang w:val="en-US"/>
        </w:rPr>
        <w:t>Scientific Reports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9</w:t>
      </w:r>
      <w:r w:rsidRPr="003F2738">
        <w:rPr>
          <w:lang w:val="en-US"/>
        </w:rPr>
        <w:t>, 4284.</w:t>
      </w:r>
    </w:p>
    <w:p w14:paraId="36DAFF1C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lastRenderedPageBreak/>
        <w:t xml:space="preserve">Shantz, A.A., Ladd, M.C., Ezzat, L., Schmitt, R.J., Holbrook, S.J., Schmeltzer, E., Vega Thurber, R. &amp; Burkepile, D.E. (2023) Positive interactions between corals and damselfish increase coral resistance to temperature stress. </w:t>
      </w:r>
      <w:r w:rsidRPr="003F2738">
        <w:rPr>
          <w:i/>
          <w:iCs/>
          <w:lang w:val="en-US"/>
        </w:rPr>
        <w:t>Global Change Biology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29</w:t>
      </w:r>
      <w:r w:rsidRPr="003F2738">
        <w:rPr>
          <w:lang w:val="en-US"/>
        </w:rPr>
        <w:t>, 417–431.</w:t>
      </w:r>
    </w:p>
    <w:p w14:paraId="0A7997A3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Shantz, A.A., Ladd, M.C., Schrack, E. &amp; Burkepile, D.E. (2015) Fish-derived nutrient hotspots shape coral reef benthic communities. </w:t>
      </w:r>
      <w:r w:rsidRPr="003F2738">
        <w:rPr>
          <w:i/>
          <w:iCs/>
          <w:lang w:val="en-US"/>
        </w:rPr>
        <w:t>Ecological Applications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25</w:t>
      </w:r>
      <w:r w:rsidRPr="003F2738">
        <w:rPr>
          <w:lang w:val="en-US"/>
        </w:rPr>
        <w:t>, 2142–2152.</w:t>
      </w:r>
    </w:p>
    <w:p w14:paraId="75BB001C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Slattery, M., Gochfeld, D.J., Easson, C.G. &amp; O’Donahue, L.R.K. (2013) Facilitation of coral reef biodiversity and health by cave sponge communities. </w:t>
      </w:r>
      <w:r w:rsidRPr="003F2738">
        <w:rPr>
          <w:i/>
          <w:iCs/>
          <w:lang w:val="en-US"/>
        </w:rPr>
        <w:t>Marine Ecology Progress Series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476</w:t>
      </w:r>
      <w:r w:rsidRPr="003F2738">
        <w:rPr>
          <w:lang w:val="en-US"/>
        </w:rPr>
        <w:t>, 71–86.</w:t>
      </w:r>
    </w:p>
    <w:p w14:paraId="22001F58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Uthicke, S. (2001) Interactions between sediment-feeders and microalgae on coral reefs: grazing losses versus production enhancement. </w:t>
      </w:r>
      <w:r w:rsidRPr="003F2738">
        <w:rPr>
          <w:i/>
          <w:iCs/>
          <w:lang w:val="en-US"/>
        </w:rPr>
        <w:t>Marine Ecology Progress Series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210</w:t>
      </w:r>
      <w:r w:rsidRPr="003F2738">
        <w:rPr>
          <w:lang w:val="en-US"/>
        </w:rPr>
        <w:t>, 125–138.</w:t>
      </w:r>
    </w:p>
    <w:p w14:paraId="79BF3F78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Uthicke, S. &amp; Klumpp, D.W. (1998) Microphytobenthos community production at a near-shore coral reef: seasonal variation and response to ammonium recycled by holothurians. </w:t>
      </w:r>
      <w:r w:rsidRPr="003F2738">
        <w:rPr>
          <w:i/>
          <w:iCs/>
          <w:lang w:val="en-US"/>
        </w:rPr>
        <w:t>Marine Ecology Progress Series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169</w:t>
      </w:r>
      <w:r w:rsidRPr="003F2738">
        <w:rPr>
          <w:lang w:val="en-US"/>
        </w:rPr>
        <w:t>, 1–11.</w:t>
      </w:r>
    </w:p>
    <w:p w14:paraId="38F2C9E4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Vinther, H.F. &amp; Holmer, M. (2008) Experimental test of biodeposition and ammonium excretion from blue mussels (Mytilus edulis) on eelgrass (Zostera marina) performance. </w:t>
      </w:r>
      <w:r w:rsidRPr="003F2738">
        <w:rPr>
          <w:i/>
          <w:iCs/>
          <w:lang w:val="en-US"/>
        </w:rPr>
        <w:t>Journal of Experimental Marine Biology and Ecology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364</w:t>
      </w:r>
      <w:r w:rsidRPr="003F2738">
        <w:rPr>
          <w:lang w:val="en-US"/>
        </w:rPr>
        <w:t>, 72–79.</w:t>
      </w:r>
    </w:p>
    <w:p w14:paraId="55380DDD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Vinther, H.F., Laursen, J.S. &amp; Holmer, M. (2008) Negative effects of blue mussel (Mytilus edulis) presence in eelgrass (Zostera marina) beds in Flensborg fjord, Denmark. </w:t>
      </w:r>
      <w:r w:rsidRPr="003F2738">
        <w:rPr>
          <w:i/>
          <w:iCs/>
          <w:lang w:val="en-US"/>
        </w:rPr>
        <w:t>Estuarine, Coastal and Shelf Science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77</w:t>
      </w:r>
      <w:r w:rsidRPr="003F2738">
        <w:rPr>
          <w:lang w:val="en-US"/>
        </w:rPr>
        <w:t>, 91–103.</w:t>
      </w:r>
    </w:p>
    <w:p w14:paraId="6278AF8D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West, E.J., Pitt, K.A., Welsh, D.T., Koop, K. &amp; Rissik, D. (2009) Top-down and bottom-up influences of jellyfish on primary productivity and planktonic assemblages. </w:t>
      </w:r>
      <w:r w:rsidRPr="003F2738">
        <w:rPr>
          <w:i/>
          <w:iCs/>
          <w:lang w:val="en-US"/>
        </w:rPr>
        <w:t>Limnology and Oceanography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54</w:t>
      </w:r>
      <w:r w:rsidRPr="003F2738">
        <w:rPr>
          <w:lang w:val="en-US"/>
        </w:rPr>
        <w:t>, 2058–2071.</w:t>
      </w:r>
    </w:p>
    <w:p w14:paraId="4AF38D03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Wiedenmann, J., D’Angelo, C., Mardones, M.L., Moore, S., Benkwitt, C.E., Graham, N.A.J., Hambach, B., Wilson, P.A., Vanstone, J., Eyal, G., Ben-Zvi, O., Loya, Y. &amp; Genin, A. (2023) Reef-building corals farm and feed on their photosynthetic symbionts. </w:t>
      </w:r>
      <w:r w:rsidRPr="003F2738">
        <w:rPr>
          <w:i/>
          <w:iCs/>
          <w:lang w:val="en-US"/>
        </w:rPr>
        <w:t>Nature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620</w:t>
      </w:r>
      <w:r w:rsidRPr="003F2738">
        <w:rPr>
          <w:lang w:val="en-US"/>
        </w:rPr>
        <w:t>, 1018–1024.</w:t>
      </w:r>
    </w:p>
    <w:p w14:paraId="7C758F4B" w14:textId="77777777" w:rsidR="00255205" w:rsidRPr="003F2738" w:rsidRDefault="00255205" w:rsidP="00255205">
      <w:pPr>
        <w:pStyle w:val="Bibliography"/>
        <w:rPr>
          <w:lang w:val="en-US"/>
        </w:rPr>
      </w:pPr>
      <w:r w:rsidRPr="003F2738">
        <w:rPr>
          <w:lang w:val="en-US"/>
        </w:rPr>
        <w:t xml:space="preserve">Zhang, Y.S., Gittman, R.K., Donaher, S.E., Trackenberg, S.N., van der Heide, T. &amp; Silliman, B.R. (2021) Inclusion of Intra- and Interspecific Facilitation Expands the Theoretical Framework for Seagrass Restoration. </w:t>
      </w:r>
      <w:r w:rsidRPr="003F2738">
        <w:rPr>
          <w:i/>
          <w:iCs/>
          <w:lang w:val="en-US"/>
        </w:rPr>
        <w:t>Frontiers in Marine Science</w:t>
      </w:r>
      <w:r w:rsidRPr="003F2738">
        <w:rPr>
          <w:lang w:val="en-US"/>
        </w:rPr>
        <w:t xml:space="preserve">, </w:t>
      </w:r>
      <w:r w:rsidRPr="003F2738">
        <w:rPr>
          <w:b/>
          <w:bCs/>
          <w:lang w:val="en-US"/>
        </w:rPr>
        <w:t>8</w:t>
      </w:r>
      <w:r w:rsidRPr="003F2738">
        <w:rPr>
          <w:lang w:val="en-US"/>
        </w:rPr>
        <w:t>, 296.</w:t>
      </w:r>
    </w:p>
    <w:p w14:paraId="5785EB52" w14:textId="45071CF8" w:rsidR="00A15ED4" w:rsidRDefault="00255205" w:rsidP="00255205">
      <w:r>
        <w:fldChar w:fldCharType="end"/>
      </w:r>
    </w:p>
    <w:sectPr w:rsidR="00A15ED4" w:rsidSect="00563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88280C"/>
    <w:multiLevelType w:val="hybridMultilevel"/>
    <w:tmpl w:val="89D67066"/>
    <w:lvl w:ilvl="0" w:tplc="786C4506">
      <w:start w:val="1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i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286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9A"/>
    <w:rsid w:val="000170DC"/>
    <w:rsid w:val="0009372E"/>
    <w:rsid w:val="000E6542"/>
    <w:rsid w:val="00255205"/>
    <w:rsid w:val="00291048"/>
    <w:rsid w:val="00384EB9"/>
    <w:rsid w:val="00461423"/>
    <w:rsid w:val="004E45B4"/>
    <w:rsid w:val="005428C5"/>
    <w:rsid w:val="0056379A"/>
    <w:rsid w:val="00756F23"/>
    <w:rsid w:val="007803B0"/>
    <w:rsid w:val="00796C52"/>
    <w:rsid w:val="008857BD"/>
    <w:rsid w:val="00973173"/>
    <w:rsid w:val="00986DA9"/>
    <w:rsid w:val="009B44F8"/>
    <w:rsid w:val="00A15ED4"/>
    <w:rsid w:val="00A6759C"/>
    <w:rsid w:val="00AB7120"/>
    <w:rsid w:val="00B236E9"/>
    <w:rsid w:val="00B42E97"/>
    <w:rsid w:val="00E66950"/>
    <w:rsid w:val="00E82D09"/>
    <w:rsid w:val="00F7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38E433"/>
  <w15:chartTrackingRefBased/>
  <w15:docId w15:val="{2FDDEEBC-0408-7E45-9AD3-0F288FD81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79A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3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7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7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7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7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ikola">
    <w:name w:val="Nikola"/>
    <w:basedOn w:val="TableNormal"/>
    <w:uiPriority w:val="99"/>
    <w:rsid w:val="00F71618"/>
    <w:pPr>
      <w:jc w:val="center"/>
    </w:pPr>
    <w:rPr>
      <w:kern w:val="0"/>
      <w14:ligatures w14:val="none"/>
    </w:rPr>
    <w:tblPr>
      <w:tblBorders>
        <w:top w:val="single" w:sz="4" w:space="0" w:color="auto"/>
        <w:bottom w:val="single" w:sz="4" w:space="0" w:color="auto"/>
      </w:tblBorders>
      <w:tblCellMar>
        <w:top w:w="34" w:type="dxa"/>
        <w:left w:w="170" w:type="dxa"/>
        <w:bottom w:w="34" w:type="dxa"/>
        <w:right w:w="170" w:type="dxa"/>
      </w:tblCellMar>
    </w:tblPr>
    <w:tcPr>
      <w:vAlign w:val="center"/>
    </w:tcPr>
    <w:tblStylePr w:type="firstRow">
      <w:pPr>
        <w:jc w:val="center"/>
      </w:pPr>
      <w:tblPr/>
      <w:tcPr>
        <w:tcBorders>
          <w:bottom w:val="single" w:sz="6" w:space="0" w:color="000000"/>
        </w:tcBorders>
      </w:tcPr>
    </w:tblStylePr>
  </w:style>
  <w:style w:type="table" w:customStyle="1" w:styleId="Nikola1">
    <w:name w:val="Nikola1"/>
    <w:basedOn w:val="TableNormal"/>
    <w:uiPriority w:val="99"/>
    <w:rsid w:val="00B236E9"/>
    <w:pPr>
      <w:jc w:val="center"/>
    </w:pPr>
    <w:rPr>
      <w:rFonts w:ascii="Times New Roman" w:hAnsi="Times New Roman" w:cs="Times New Roman (Body CS)"/>
      <w:kern w:val="0"/>
      <w14:ligatures w14:val="none"/>
    </w:rPr>
    <w:tblPr>
      <w:tblBorders>
        <w:top w:val="single" w:sz="4" w:space="0" w:color="auto"/>
        <w:bottom w:val="single" w:sz="4" w:space="0" w:color="auto"/>
      </w:tblBorders>
      <w:tblCellMar>
        <w:top w:w="34" w:type="dxa"/>
        <w:left w:w="170" w:type="dxa"/>
        <w:bottom w:w="34" w:type="dxa"/>
        <w:right w:w="170" w:type="dxa"/>
      </w:tblCellMar>
    </w:tblPr>
    <w:tcPr>
      <w:vAlign w:val="center"/>
    </w:tcPr>
    <w:tblStylePr w:type="firstRow">
      <w:pPr>
        <w:jc w:val="center"/>
      </w:pPr>
      <w:tblPr/>
      <w:tcPr>
        <w:tcBorders>
          <w:bottom w:val="single" w:sz="6" w:space="0" w:color="00000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63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7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7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7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79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637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379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379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79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79A"/>
    <w:rPr>
      <w:rFonts w:ascii="Times New Roman" w:eastAsia="Times New Roman" w:hAnsi="Times New Roman" w:cs="Times New Roman"/>
      <w:kern w:val="0"/>
      <w:sz w:val="18"/>
      <w:szCs w:val="18"/>
      <w14:ligatures w14:val="none"/>
    </w:rPr>
  </w:style>
  <w:style w:type="character" w:styleId="Hyperlink">
    <w:name w:val="Hyperlink"/>
    <w:basedOn w:val="DefaultParagraphFont"/>
    <w:uiPriority w:val="99"/>
    <w:unhideWhenUsed/>
    <w:rsid w:val="0056379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6379A"/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37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379A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37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379A"/>
    <w:rPr>
      <w:rFonts w:ascii="Times New Roman" w:eastAsia="Times New Roman" w:hAnsi="Times New Roman" w:cs="Times New Roman"/>
      <w:kern w:val="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7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79A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table" w:styleId="TableGridLight">
    <w:name w:val="Grid Table Light"/>
    <w:basedOn w:val="TableNormal"/>
    <w:uiPriority w:val="40"/>
    <w:rsid w:val="0056379A"/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6379A"/>
    <w:rPr>
      <w:kern w:val="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56379A"/>
    <w:rPr>
      <w:kern w:val="0"/>
      <w:lang w:val="en-US"/>
      <w14:ligatures w14:val="none"/>
    </w:rPr>
  </w:style>
  <w:style w:type="table" w:customStyle="1" w:styleId="Nikola2">
    <w:name w:val="Nikola2"/>
    <w:basedOn w:val="TableNormal"/>
    <w:uiPriority w:val="99"/>
    <w:rsid w:val="0056379A"/>
    <w:rPr>
      <w:kern w:val="0"/>
      <w14:ligatures w14:val="none"/>
    </w:rPr>
    <w:tblPr/>
  </w:style>
  <w:style w:type="table" w:customStyle="1" w:styleId="Nikola3">
    <w:name w:val="Nikola3"/>
    <w:basedOn w:val="TableNormal"/>
    <w:uiPriority w:val="99"/>
    <w:rsid w:val="0056379A"/>
    <w:pPr>
      <w:jc w:val="center"/>
    </w:pPr>
    <w:rPr>
      <w:rFonts w:ascii="Times New Roman" w:hAnsi="Times New Roman"/>
      <w:kern w:val="0"/>
      <w14:ligatures w14:val="none"/>
    </w:rPr>
    <w:tblPr/>
    <w:tcPr>
      <w:vAlign w:val="center"/>
    </w:tcPr>
  </w:style>
  <w:style w:type="table" w:customStyle="1" w:styleId="Nikola4">
    <w:name w:val="Nikola4"/>
    <w:basedOn w:val="TableNormal"/>
    <w:uiPriority w:val="99"/>
    <w:rsid w:val="0056379A"/>
    <w:pPr>
      <w:jc w:val="center"/>
    </w:pPr>
    <w:rPr>
      <w:kern w:val="0"/>
      <w14:ligatures w14:val="none"/>
    </w:rPr>
    <w:tblPr>
      <w:tblBorders>
        <w:top w:val="single" w:sz="4" w:space="0" w:color="auto"/>
        <w:bottom w:val="single" w:sz="4" w:space="0" w:color="auto"/>
      </w:tblBorders>
      <w:tblCellMar>
        <w:top w:w="34" w:type="dxa"/>
        <w:left w:w="170" w:type="dxa"/>
        <w:bottom w:w="34" w:type="dxa"/>
        <w:right w:w="170" w:type="dxa"/>
      </w:tblCellMar>
    </w:tblPr>
    <w:tcPr>
      <w:vAlign w:val="center"/>
    </w:tcPr>
    <w:tblStylePr w:type="firstRow">
      <w:pPr>
        <w:jc w:val="center"/>
      </w:pPr>
      <w:tblPr/>
      <w:tcPr>
        <w:tcBorders>
          <w:bottom w:val="single" w:sz="6" w:space="0" w:color="000000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56379A"/>
    <w:rPr>
      <w:color w:val="96607D"/>
      <w:u w:val="single"/>
    </w:rPr>
  </w:style>
  <w:style w:type="paragraph" w:customStyle="1" w:styleId="msonormal0">
    <w:name w:val="msonormal"/>
    <w:basedOn w:val="Normal"/>
    <w:rsid w:val="0056379A"/>
    <w:pPr>
      <w:spacing w:before="100" w:beforeAutospacing="1" w:after="100" w:afterAutospacing="1"/>
    </w:pPr>
  </w:style>
  <w:style w:type="paragraph" w:styleId="Bibliography">
    <w:name w:val="Bibliography"/>
    <w:basedOn w:val="Normal"/>
    <w:next w:val="Normal"/>
    <w:uiPriority w:val="37"/>
    <w:unhideWhenUsed/>
    <w:rsid w:val="00384EB9"/>
    <w:pPr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Lim</dc:creator>
  <cp:keywords/>
  <dc:description/>
  <cp:lastModifiedBy>Em Lim</cp:lastModifiedBy>
  <cp:revision>13</cp:revision>
  <dcterms:created xsi:type="dcterms:W3CDTF">2025-04-02T16:29:00Z</dcterms:created>
  <dcterms:modified xsi:type="dcterms:W3CDTF">2026-10-21T20:04:00Z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zotero-version="6.0.37"&gt;&lt;session id="q6n01lq0"/&gt;&lt;style id="http://www.zotero.org/styles/global-ecology-and-biogeography" hasBibliography="1" bibliographyStyleHasBeenSet="1"/&gt;&lt;prefs&gt;&lt;pref name="fieldType" value="Field"/&gt;&lt;pref name="d</vt:lpwstr>
  </property>
  <property fmtid="{D5CDD505-2E9C-101B-9397-08002B2CF9AE}" pid="3" name="ZOTERO_PREF_2">
    <vt:lpwstr>ontAskDelayCitationUpdates" value="true"/&gt;&lt;/prefs&gt;&lt;/data&gt;</vt:lpwstr>
  </property>
</Properties>
</file>