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486E001E" w:rsidR="008307A0" w:rsidRPr="005F1E8D" w:rsidRDefault="008307A0" w:rsidP="00FC6B44">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is known to drive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fish and macroinvertebrates via Reef Life Survey methods and measuring their ammonium excretions at 27 rocky reefs (3 years) and 17 kelp forests of varying density (1 year) in Barkley Sound, British Columbia. Ammonium concentrations varied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found</w:t>
      </w:r>
      <w:r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66ED8E9"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onsumers contribute to bottom-up effects</w:t>
      </w:r>
      <w:r w:rsidR="000D41B2" w:rsidRPr="005F1E8D">
        <w:rPr>
          <w:rFonts w:ascii="Times New Roman" w:eastAsia="Times New Roman" w:hAnsi="Times New Roman" w:cs="Times New Roman"/>
          <w:color w:val="000000"/>
        </w:rPr>
        <w:t xml:space="preserve"> as well</w:t>
      </w:r>
      <w:r w:rsidR="00380F24"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(CND)</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sidR="001A0C35" w:rsidRPr="005F1E8D">
        <w:rPr>
          <w:rFonts w:ascii="Times New Roman" w:eastAsia="Times New Roman" w:hAnsi="Times New Roman" w:cs="Times New Roman"/>
          <w:color w:val="000000"/>
        </w:rPr>
        <w:t xml:space="preserve">However, the 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Therefore, identifying the scale on which biologically relevant variation in nutrient availability contributes meaningfully to community structure remains an active area of research</w:t>
      </w:r>
      <w:r w:rsidR="00565A8B" w:rsidRPr="005F1E8D">
        <w:rPr>
          <w:rFonts w:ascii="Times New Roman" w:eastAsia="Times New Roman" w:hAnsi="Times New Roman" w:cs="Times New Roman"/>
          <w:color w:val="000000"/>
        </w:rPr>
        <w:t>.</w:t>
      </w:r>
    </w:p>
    <w:p w14:paraId="0023B6D6" w14:textId="1D3869B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92DAE" w:rsidRPr="005F1E8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consumers, and thus regenerated 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076EC0F8" w:rsidR="00237ED0" w:rsidRPr="005F1E8D"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w:t>
      </w:r>
      <w:commentRangeStart w:id="1"/>
      <w:r w:rsidR="008964CE" w:rsidRPr="005F1E8D">
        <w:rPr>
          <w:rFonts w:ascii="Times New Roman" w:eastAsia="Times New Roman" w:hAnsi="Times New Roman" w:cs="Times New Roman"/>
          <w:color w:val="000000"/>
        </w:rPr>
        <w:t>10 to 100 km</w:t>
      </w:r>
      <w:commentRangeEnd w:id="1"/>
      <w:r w:rsidR="008964CE" w:rsidRPr="005F1E8D">
        <w:rPr>
          <w:rStyle w:val="CommentReference"/>
          <w:rFonts w:ascii="Times New Roman" w:hAnsi="Times New Roman" w:cs="Times New Roman"/>
        </w:rPr>
        <w:commentReference w:id="1"/>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variation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 xml:space="preserve">exposed shoreline,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2" w:author="Isabelle Cote" w:date="2024-02-07T11:22:00Z">
        <w:r w:rsidR="00E6680F" w:rsidRPr="005F1E8D">
          <w:rPr>
            <w:rFonts w:ascii="Times New Roman" w:eastAsia="Times New Roman" w:hAnsi="Times New Roman" w:cs="Times New Roman"/>
            <w:color w:val="000000"/>
          </w:rPr>
          <w:t xml:space="preserve"> </w:t>
        </w:r>
      </w:ins>
      <w:r w:rsidRPr="005F1E8D">
        <w:rPr>
          <w:rFonts w:ascii="Times New Roman" w:eastAsia="Times New Roman" w:hAnsi="Times New Roman" w:cs="Times New Roman"/>
          <w:color w:val="000000"/>
        </w:rPr>
        <w:t xml:space="preserve">variation by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around kelp forests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 xml:space="preserve">(Lowman et </w:t>
      </w:r>
      <w:r w:rsidR="00C26711" w:rsidRPr="005F1E8D">
        <w:rPr>
          <w:rFonts w:ascii="Times New Roman" w:eastAsia="Times New Roman" w:hAnsi="Times New Roman" w:cs="Times New Roman"/>
          <w:noProof/>
          <w:color w:val="000000"/>
        </w:rPr>
        <w:lastRenderedPageBreak/>
        <w:t>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B7AE02A" w:rsidR="00D57AB2" w:rsidRPr="005F1E8D"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 xml:space="preserve">Contrary to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Both of these 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r w:rsidR="00E34FA8" w:rsidRPr="005F1E8D">
        <w:rPr>
          <w:rFonts w:ascii="Times New Roman" w:eastAsia="Times New Roman" w:hAnsi="Times New Roman" w:cs="Times New Roman"/>
          <w:color w:val="000000"/>
        </w:rPr>
        <w:t xml:space="preserve">These biomass and biodiversity hot spots 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proofErr w:type="spellStart"/>
      <w:r w:rsidR="002C320F" w:rsidRPr="005F1E8D">
        <w:rPr>
          <w:rFonts w:ascii="Times New Roman" w:eastAsia="Times New Roman" w:hAnsi="Times New Roman" w:cs="Times New Roman"/>
          <w:i/>
          <w:color w:val="000000"/>
        </w:rPr>
        <w:t>Macrocystis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59464D9F"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Pr="005F1E8D">
        <w:rPr>
          <w:rFonts w:ascii="Times New Roman" w:eastAsia="Times New Roman" w:hAnsi="Times New Roman" w:cs="Times New Roman"/>
          <w:color w:val="000000"/>
        </w:rPr>
        <w:t xml:space="preserve"> in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which are 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sidRPr="005F1E8D">
        <w:rPr>
          <w:rFonts w:ascii="Times New Roman" w:eastAsia="Times New Roman" w:hAnsi="Times New Roman" w:cs="Times New Roman"/>
          <w:color w:val="000000"/>
        </w:rPr>
        <w:t xml:space="preserve"> 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we hope to better explain 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1FD340EF" w:rsidR="00E31F65" w:rsidRPr="005F1E8D" w:rsidRDefault="004E6F16" w:rsidP="00EB3BC7">
      <w:pPr>
        <w:spacing w:line="480" w:lineRule="auto"/>
        <w:rPr>
          <w:rFonts w:ascii="Times New Roman" w:hAnsi="Times New Roman" w:cs="Times New Roman"/>
          <w:i/>
          <w:lang w:val="en-CA"/>
        </w:rPr>
      </w:pPr>
      <w:r w:rsidRPr="005F1E8D">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 xml:space="preserve">scale patterns of kelp response to heatwaves and establish ecological </w:t>
      </w:r>
      <w:commentRangeStart w:id="3"/>
      <w:r w:rsidR="00444BD0" w:rsidRPr="005F1E8D">
        <w:rPr>
          <w:rFonts w:ascii="Times New Roman" w:hAnsi="Times New Roman" w:cs="Times New Roman"/>
          <w:lang w:val="en-CA"/>
        </w:rPr>
        <w:t>baselines</w:t>
      </w:r>
      <w:r w:rsidR="00E639BB">
        <w:rPr>
          <w:rFonts w:ascii="Times New Roman" w:hAnsi="Times New Roman" w:cs="Times New Roman"/>
          <w:lang w:val="en-CA"/>
        </w:rPr>
        <w:t xml:space="preserve"> </w:t>
      </w:r>
      <w:commentRangeEnd w:id="3"/>
      <w:r w:rsidR="00E639BB">
        <w:rPr>
          <w:rStyle w:val="CommentReference"/>
        </w:rPr>
        <w:commentReference w:id="3"/>
      </w:r>
      <w:r w:rsidR="00E639BB">
        <w:rPr>
          <w:rFonts w:ascii="Times New Roman" w:hAnsi="Times New Roman" w:cs="Times New Roman"/>
          <w:lang w:val="en-CA"/>
        </w:rPr>
        <w:fldChar w:fldCharType="begin"/>
      </w:r>
      <w:r w:rsidR="00E639BB">
        <w:rPr>
          <w:rFonts w:ascii="Times New Roman" w:hAnsi="Times New Roman" w:cs="Times New Roman"/>
          <w:lang w:val="en-CA"/>
        </w:rPr>
        <w:instrText xml:space="preserve"> ADDIN ZOTERO_ITEM CSL_CITATION {"citationID":"2WyRZvOd","properties":{"formattedCitation":"(Howard et al., 2019; Starko et al., 2022; Tanasichuk, 1998)","plainCitation":"(Howard et al., 2019; Starko et al., 2022; Tanasichuk, 1998)","noteIndex":0},"citationItems":[{"id":1336,"uris":["http://zotero.org/users/local/idKDtb7T/items/USLVMC77"],"itemData":{"id":1336,"type":"article-journal","abstract":"Dominant,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E639BB">
        <w:rPr>
          <w:rFonts w:ascii="Times New Roman" w:hAnsi="Times New Roman" w:cs="Times New Roman"/>
          <w:noProof/>
          <w:lang w:val="en-CA"/>
        </w:rPr>
        <w:t>(Howard et al., 2019; Starko et al.,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7DD35F2F" w14:textId="4DFF863F"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-scale) variation</w:t>
      </w:r>
    </w:p>
    <w:p w14:paraId="58195507" w14:textId="5D93C7DB"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lastRenderedPageBreak/>
        <w:t xml:space="preserve">We considered </w:t>
      </w:r>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-scale variation 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 xml:space="preserve">BMSC </w:t>
      </w:r>
      <w:r w:rsidR="00173964" w:rsidRPr="005F1E8D">
        <w:rPr>
          <w:rFonts w:ascii="Times New Roman" w:hAnsi="Times New Roman" w:cs="Times New Roman"/>
          <w:lang w:val="en-CA"/>
        </w:rPr>
        <w:t xml:space="preserve">from the </w:t>
      </w:r>
      <w:commentRangeStart w:id="4"/>
      <w:r w:rsidR="00173964" w:rsidRPr="005F1E8D">
        <w:rPr>
          <w:rFonts w:ascii="Times New Roman" w:hAnsi="Times New Roman" w:cs="Times New Roman"/>
          <w:lang w:val="en-CA"/>
        </w:rPr>
        <w:t xml:space="preserve">end of April </w:t>
      </w:r>
      <w:r w:rsidR="00F235E9" w:rsidRPr="005F1E8D">
        <w:rPr>
          <w:rFonts w:ascii="Times New Roman" w:hAnsi="Times New Roman" w:cs="Times New Roman"/>
          <w:lang w:val="en-CA"/>
        </w:rPr>
        <w:t xml:space="preserve">/ </w:t>
      </w:r>
      <w:r w:rsidR="00173964" w:rsidRPr="005F1E8D">
        <w:rPr>
          <w:rFonts w:ascii="Times New Roman" w:hAnsi="Times New Roman" w:cs="Times New Roman"/>
          <w:lang w:val="en-CA"/>
        </w:rPr>
        <w:t>early May</w:t>
      </w:r>
      <w:r w:rsidR="00547A38" w:rsidRPr="005F1E8D">
        <w:rPr>
          <w:rFonts w:ascii="Times New Roman" w:hAnsi="Times New Roman" w:cs="Times New Roman"/>
          <w:lang w:val="en-CA"/>
        </w:rPr>
        <w:t xml:space="preserve"> </w:t>
      </w:r>
      <w:r w:rsidR="00EF0CFA" w:rsidRPr="005F1E8D">
        <w:rPr>
          <w:rFonts w:ascii="Times New Roman" w:hAnsi="Times New Roman" w:cs="Times New Roman"/>
          <w:lang w:val="en-CA"/>
        </w:rPr>
        <w:t>to early May/mid-May</w:t>
      </w:r>
      <w:commentRangeEnd w:id="4"/>
      <w:r w:rsidR="00EF0CFA" w:rsidRPr="005F1E8D">
        <w:rPr>
          <w:rStyle w:val="CommentReference"/>
          <w:rFonts w:ascii="Times New Roman" w:hAnsi="Times New Roman" w:cs="Times New Roman"/>
        </w:rPr>
        <w:commentReference w:id="4"/>
      </w:r>
      <w:r w:rsidR="00EF0CFA" w:rsidRPr="005F1E8D">
        <w:rPr>
          <w:rFonts w:ascii="Times New Roman" w:hAnsi="Times New Roman" w:cs="Times New Roman"/>
          <w:lang w:val="en-CA"/>
        </w:rPr>
        <w:t xml:space="preserve"> </w:t>
      </w:r>
      <w:r w:rsidR="00173964" w:rsidRPr="005F1E8D">
        <w:rPr>
          <w:rFonts w:ascii="Times New Roman" w:hAnsi="Times New Roman" w:cs="Times New Roman"/>
          <w:lang w:val="en-CA"/>
        </w:rPr>
        <w:t xml:space="preserve">each </w:t>
      </w:r>
      <w:r w:rsidR="00F235E9" w:rsidRPr="005F1E8D">
        <w:rPr>
          <w:rFonts w:ascii="Times New Roman" w:hAnsi="Times New Roman" w:cs="Times New Roman"/>
          <w:lang w:val="en-CA"/>
        </w:rPr>
        <w:t xml:space="preserve">of three </w:t>
      </w:r>
      <w:r w:rsidR="00173964" w:rsidRPr="005F1E8D">
        <w:rPr>
          <w:rFonts w:ascii="Times New Roman" w:hAnsi="Times New Roman" w:cs="Times New Roman"/>
          <w:lang w:val="en-CA"/>
        </w:rPr>
        <w:t>year</w:t>
      </w:r>
      <w:r w:rsidR="00F235E9" w:rsidRPr="005F1E8D">
        <w:rPr>
          <w:rFonts w:ascii="Times New Roman" w:hAnsi="Times New Roman" w:cs="Times New Roman"/>
          <w:lang w:val="en-CA"/>
        </w:rPr>
        <w:t>s</w:t>
      </w:r>
      <w:r w:rsidR="00173964" w:rsidRPr="005F1E8D">
        <w:rPr>
          <w:rFonts w:ascii="Times New Roman" w:hAnsi="Times New Roman" w:cs="Times New Roman"/>
          <w:lang w:val="en-CA"/>
        </w:rPr>
        <w:t xml:space="preserve"> </w:t>
      </w:r>
      <w:r w:rsidR="00F235E9" w:rsidRPr="005F1E8D">
        <w:rPr>
          <w:rFonts w:ascii="Times New Roman" w:hAnsi="Times New Roman" w:cs="Times New Roman"/>
          <w:lang w:val="en-CA"/>
        </w:rPr>
        <w:t>(</w:t>
      </w:r>
      <w:r w:rsidR="00173964" w:rsidRPr="005F1E8D">
        <w:rPr>
          <w:rFonts w:ascii="Times New Roman" w:hAnsi="Times New Roman" w:cs="Times New Roman"/>
          <w:lang w:val="en-CA"/>
        </w:rPr>
        <w:t>2021 – 2023</w:t>
      </w:r>
      <w:r w:rsidR="00F235E9" w:rsidRPr="005F1E8D">
        <w:rPr>
          <w:rFonts w:ascii="Times New Roman" w:hAnsi="Times New Roman" w:cs="Times New Roman"/>
          <w:lang w:val="en-CA"/>
        </w:rPr>
        <w:t>)</w:t>
      </w:r>
      <w:r w:rsidR="00173964"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576692" w:rsidRPr="005F1E8D">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At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(Fig. 2)</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then 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19A64981" w:rsidR="00AB636E" w:rsidRPr="005F1E8D" w:rsidRDefault="009E6CC7" w:rsidP="00AB636E">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 xml:space="preserve">seawater samples along the transect </w:t>
      </w:r>
      <w:r w:rsidR="00D56988" w:rsidRPr="005F1E8D">
        <w:rPr>
          <w:rFonts w:ascii="Times New Roman" w:hAnsi="Times New Roman" w:cs="Times New Roman"/>
          <w:lang w:val="en-CA"/>
        </w:rPr>
        <w:t xml:space="preserve">(at 0, 25, and 50 m)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(Lim, unpublished data)</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5"/>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5"/>
      <w:r w:rsidR="00895C86" w:rsidRPr="005F1E8D">
        <w:rPr>
          <w:rStyle w:val="CommentReference"/>
          <w:rFonts w:ascii="Times New Roman" w:hAnsi="Times New Roman" w:cs="Times New Roman"/>
        </w:rPr>
        <w:commentReference w:id="5"/>
      </w:r>
      <w:r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r w:rsidR="00AB636E" w:rsidRPr="005F1E8D">
        <w:rPr>
          <w:rFonts w:ascii="Times New Roman" w:hAnsi="Times New Roman" w:cs="Times New Roman"/>
          <w:color w:val="000000"/>
          <w:lang w:val="en-CA"/>
        </w:rPr>
        <w:t>For each survey, we took the average of the three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samples as the mean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concentration. </w:t>
      </w:r>
      <w:r w:rsidR="00D56988" w:rsidRPr="005F1E8D">
        <w:rPr>
          <w:rFonts w:ascii="Times New Roman" w:hAnsi="Times New Roman" w:cs="Times New Roman"/>
          <w:color w:val="000000"/>
          <w:lang w:val="en-CA"/>
        </w:rPr>
        <w:t xml:space="preserve">Detailed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D56988" w:rsidRPr="005F1E8D">
        <w:rPr>
          <w:rFonts w:ascii="Times New Roman" w:hAnsi="Times New Roman" w:cs="Times New Roman"/>
          <w:color w:val="000000"/>
          <w:lang w:val="en-CA"/>
        </w:rPr>
        <w:t xml:space="preserve">analysis methodology is available in the supplement </w:t>
      </w:r>
      <w:r w:rsidR="007268C2" w:rsidRPr="005F1E8D">
        <w:rPr>
          <w:rFonts w:ascii="Times New Roman" w:hAnsi="Times New Roman" w:cs="Times New Roman"/>
          <w:color w:val="000000"/>
          <w:lang w:val="en-CA"/>
        </w:rPr>
        <w:t>(</w:t>
      </w:r>
      <w:r w:rsidR="007268C2" w:rsidRPr="005F1E8D">
        <w:rPr>
          <w:rFonts w:ascii="Times New Roman" w:hAnsi="Times New Roman" w:cs="Times New Roman"/>
          <w:color w:val="000000"/>
          <w:highlight w:val="green"/>
          <w:lang w:val="en-CA"/>
        </w:rPr>
        <w:t>S1?</w:t>
      </w:r>
      <w:r w:rsidR="007268C2"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0E7F4149"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variation</w:t>
      </w:r>
    </w:p>
    <w:p w14:paraId="7247B5E3" w14:textId="5D9B70CD"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varying density and composition at 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Pr="005F1E8D">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 xml:space="preserve">giant kelp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Pr="005F1E8D">
        <w:rPr>
          <w:rFonts w:ascii="Times New Roman" w:hAnsi="Times New Roman" w:cs="Times New Roman"/>
          <w:lang w:val="en-CA"/>
        </w:rPr>
        <w:t xml:space="preserve">trained SCUBA divers </w:t>
      </w:r>
      <w:r w:rsidR="001F79DB" w:rsidRPr="005F1E8D">
        <w:rPr>
          <w:rFonts w:ascii="Times New Roman" w:hAnsi="Times New Roman" w:cs="Times New Roman"/>
          <w:lang w:val="en-CA"/>
        </w:rPr>
        <w:t>counted and identified</w:t>
      </w:r>
      <w:r w:rsidRPr="005F1E8D">
        <w:rPr>
          <w:rFonts w:ascii="Times New Roman" w:hAnsi="Times New Roman" w:cs="Times New Roman"/>
          <w:lang w:val="en-CA"/>
        </w:rPr>
        <w:t xml:space="preserve"> fish and invertebrate </w:t>
      </w:r>
      <w:r w:rsidR="00B71E47" w:rsidRPr="005F1E8D">
        <w:rPr>
          <w:rFonts w:ascii="Times New Roman" w:hAnsi="Times New Roman" w:cs="Times New Roman"/>
          <w:lang w:val="en-CA"/>
        </w:rPr>
        <w:t>along 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
      <w:r w:rsidR="001F79DB" w:rsidRPr="005F1E8D">
        <w:rPr>
          <w:rFonts w:ascii="Times New Roman" w:hAnsi="Times New Roman" w:cs="Times New Roman"/>
          <w:lang w:val="en-CA"/>
        </w:rPr>
        <w:t xml:space="preserve">0.5 m </w:t>
      </w:r>
      <w:commentRangeEnd w:id="6"/>
      <w:r w:rsidR="000A1681" w:rsidRPr="005F1E8D">
        <w:rPr>
          <w:rStyle w:val="CommentReference"/>
          <w:rFonts w:ascii="Times New Roman" w:hAnsi="Times New Roman" w:cs="Times New Roman"/>
        </w:rPr>
        <w:commentReference w:id="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B71E47" w:rsidRPr="005F1E8D">
        <w:rPr>
          <w:rFonts w:ascii="Times New Roman" w:hAnsi="Times New Roman" w:cs="Times New Roman"/>
          <w:lang w:val="en-CA"/>
        </w:rPr>
        <w:t xml:space="preserve">We estimated total forest area by swimming around the perimeter of the forest on the surface with a </w:t>
      </w:r>
      <w:r w:rsidR="00B71E47" w:rsidRPr="005F1E8D">
        <w:rPr>
          <w:rFonts w:ascii="Times New Roman" w:hAnsi="Times New Roman" w:cs="Times New Roman"/>
          <w:highlight w:val="yellow"/>
          <w:lang w:val="en-CA"/>
        </w:rPr>
        <w:t>Garmin GPS</w:t>
      </w:r>
      <w:r w:rsidR="00B47743" w:rsidRPr="005F1E8D">
        <w:rPr>
          <w:rFonts w:ascii="Times New Roman" w:hAnsi="Times New Roman" w:cs="Times New Roman"/>
          <w:highlight w:val="yellow"/>
          <w:lang w:val="en-CA"/>
        </w:rPr>
        <w:t>(?)</w:t>
      </w:r>
      <w:r w:rsidR="00B71E47" w:rsidRPr="005F1E8D">
        <w:rPr>
          <w:rFonts w:ascii="Times New Roman" w:hAnsi="Times New Roman" w:cs="Times New Roman"/>
          <w:lang w:val="en-CA"/>
        </w:rPr>
        <w:t xml:space="preserve">. </w:t>
      </w:r>
    </w:p>
    <w:p w14:paraId="50BA9561" w14:textId="067BBC30"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lastRenderedPageBreak/>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7"/>
      <w:r w:rsidR="00895C86" w:rsidRPr="005F1E8D">
        <w:rPr>
          <w:rFonts w:ascii="Times New Roman" w:hAnsi="Times New Roman" w:cs="Times New Roman"/>
          <w:lang w:val="en-CA"/>
        </w:rPr>
        <w:t>depth</w:t>
      </w:r>
      <w:r w:rsidR="00171464" w:rsidRPr="005F1E8D">
        <w:rPr>
          <w:rFonts w:ascii="Times New Roman" w:hAnsi="Times New Roman" w:cs="Times New Roman"/>
          <w:lang w:val="en-CA"/>
        </w:rPr>
        <w:t xml:space="preserve"> </w:t>
      </w:r>
      <w:commentRangeEnd w:id="7"/>
      <w:r w:rsidR="00152CBA" w:rsidRPr="005F1E8D">
        <w:rPr>
          <w:rStyle w:val="CommentReference"/>
          <w:rFonts w:ascii="Times New Roman" w:hAnsi="Times New Roman" w:cs="Times New Roman"/>
        </w:rPr>
        <w:commentReference w:id="7"/>
      </w:r>
      <w:r w:rsidR="00B71E47" w:rsidRPr="005F1E8D">
        <w:rPr>
          <w:rFonts w:ascii="Times New Roman" w:hAnsi="Times New Roman" w:cs="Times New Roman"/>
          <w:lang w:val="en-CA"/>
        </w:rPr>
        <w:t>(n = 3</w:t>
      </w:r>
      <w:r w:rsidR="00171464" w:rsidRPr="005F1E8D">
        <w:rPr>
          <w:rFonts w:ascii="Times New Roman" w:hAnsi="Times New Roman" w:cs="Times New Roman"/>
          <w:lang w:val="en-CA"/>
        </w:rPr>
        <w:t xml:space="preserve"> pairs per forest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 xml:space="preserve">These paired seawater samples were matched to the first three kelp density, biomass, and canopy height transects.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171464"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to use in creating standards. </w:t>
      </w:r>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For each paired inside vs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(very small-scale) variation</w:t>
      </w:r>
    </w:p>
    <w:p w14:paraId="39EFC3F8" w14:textId="40CEACAA"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 xml:space="preserve">While </w:t>
      </w:r>
      <w:r w:rsidR="00DB029A" w:rsidRPr="005F1E8D">
        <w:rPr>
          <w:rFonts w:ascii="Times New Roman" w:hAnsi="Times New Roman" w:cs="Times New Roman"/>
          <w:lang w:val="en-CA"/>
        </w:rPr>
        <w:lastRenderedPageBreak/>
        <w:t>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lastRenderedPageBreak/>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2EB12797" w:rsidR="00943023" w:rsidRPr="00792779"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For each Reef Life Survey conducted, we calculated fish biomass from fish length following the formula (W = exp(log(a) + b*log(L)))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17314E" w:rsidRPr="005F1E8D">
        <w:rPr>
          <w:rFonts w:ascii="Times New Roman" w:hAnsi="Times New Roman" w:cs="Times New Roman"/>
          <w:highlight w:val="green"/>
          <w:lang w:val="en-CA"/>
        </w:rPr>
        <w:t>Supplemental Table</w:t>
      </w:r>
      <w:r w:rsidRPr="005F1E8D">
        <w:rPr>
          <w:rFonts w:ascii="Times New Roman" w:hAnsi="Times New Roman" w:cs="Times New Roman"/>
          <w:highlight w:val="green"/>
          <w:lang w:val="en-CA"/>
        </w:rPr>
        <w:t xml:space="preserve"> </w:t>
      </w:r>
      <w:r w:rsidR="0017314E" w:rsidRPr="005F1E8D">
        <w:rPr>
          <w:rFonts w:ascii="Times New Roman" w:hAnsi="Times New Roman" w:cs="Times New Roman"/>
          <w:highlight w:val="green"/>
          <w:lang w:val="en-CA"/>
        </w:rPr>
        <w:t>1</w:t>
      </w:r>
      <w:r w:rsidRPr="005F1E8D">
        <w:rPr>
          <w:rFonts w:ascii="Times New Roman" w:hAnsi="Times New Roman" w:cs="Times New Roman"/>
          <w:lang w:val="en-CA"/>
        </w:rPr>
        <w:t xml:space="preserve">). </w:t>
      </w:r>
      <w:r w:rsidR="00792779">
        <w:rPr>
          <w:rFonts w:ascii="Times New Roman" w:hAnsi="Times New Roman" w:cs="Times New Roman"/>
          <w:lang w:val="en-CA"/>
        </w:rPr>
        <w:t xml:space="preserve">We used shell-free wet weight for species with large shells </w:t>
      </w:r>
      <w:r w:rsidR="00792779">
        <w:rPr>
          <w:rFonts w:ascii="Times New Roman" w:hAnsi="Times New Roman" w:cs="Times New Roman"/>
          <w:lang w:val="en-CA"/>
        </w:rPr>
        <w:t xml:space="preserve">such as </w:t>
      </w:r>
      <w:r w:rsidR="00792779">
        <w:rPr>
          <w:rFonts w:ascii="Times New Roman" w:hAnsi="Times New Roman" w:cs="Times New Roman"/>
          <w:lang w:val="en-CA"/>
        </w:rPr>
        <w:t>hermit crabs</w:t>
      </w:r>
      <w:r w:rsidR="00792779">
        <w:rPr>
          <w:rFonts w:ascii="Times New Roman" w:hAnsi="Times New Roman" w:cs="Times New Roman"/>
          <w:lang w:val="en-CA"/>
        </w:rPr>
        <w:t xml:space="preserve"> and</w:t>
      </w:r>
      <w:r w:rsidR="00792779">
        <w:rPr>
          <w:rFonts w:ascii="Times New Roman" w:hAnsi="Times New Roman" w:cs="Times New Roman"/>
          <w:lang w:val="en-CA"/>
        </w:rPr>
        <w:t xml:space="preserve"> snails. When </w:t>
      </w:r>
      <w:r w:rsidR="00792779">
        <w:rPr>
          <w:rFonts w:ascii="Times New Roman" w:hAnsi="Times New Roman" w:cs="Times New Roman"/>
          <w:lang w:val="en-CA"/>
        </w:rPr>
        <w:t>biomass</w:t>
      </w:r>
      <w:r w:rsidR="00792779">
        <w:rPr>
          <w:rFonts w:ascii="Times New Roman" w:hAnsi="Times New Roman" w:cs="Times New Roman"/>
          <w:lang w:val="en-CA"/>
        </w:rPr>
        <w:t xml:space="preserve"> information was unavailable for a species, we used estimates from the closest relative or most similarly sized species available.</w:t>
      </w:r>
      <w:r w:rsidR="00792779">
        <w:rPr>
          <w:rFonts w:ascii="Times New Roman" w:eastAsia="Times New Roman" w:hAnsi="Times New Roman" w:cs="Times New Roman"/>
          <w:color w:val="000000"/>
          <w:lang w:val="en-CA"/>
        </w:rPr>
        <w:t xml:space="preserve"> </w:t>
      </w:r>
      <w:r w:rsidRPr="005F1E8D">
        <w:rPr>
          <w:rFonts w:ascii="Times New Roman" w:hAnsi="Times New Roman" w:cs="Times New Roman"/>
          <w:lang w:val="en-CA"/>
        </w:rPr>
        <w:t xml:space="preserve">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21C4158D" w:rsidR="00670555" w:rsidRPr="005F1E8D"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xml:space="preserve">, and all values were below 1.75.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EF7B906"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constructed additional models with animal abundance instead of biomass, and Simpson’s diversity instead of Shannon 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w:t>
      </w:r>
      <w:r w:rsidR="00E32297" w:rsidRPr="005F1E8D">
        <w:rPr>
          <w:rFonts w:ascii="Times New Roman" w:hAnsi="Times New Roman" w:cs="Times New Roman"/>
          <w:color w:val="000000"/>
          <w:lang w:val="en-CA"/>
        </w:rPr>
        <w:lastRenderedPageBreak/>
        <w:t>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w:t>
      </w:r>
      <w:r w:rsidR="00A7066E" w:rsidRPr="005F1E8D">
        <w:rPr>
          <w:rFonts w:ascii="Times New Roman" w:hAnsi="Times New Roman" w:cs="Times New Roman"/>
          <w:lang w:val="en-CA"/>
        </w:rPr>
        <w:lastRenderedPageBreak/>
        <w:t xml:space="preserve">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8"/>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8"/>
      <w:r w:rsidR="007E4686">
        <w:rPr>
          <w:rStyle w:val="CommentReference"/>
        </w:rPr>
        <w:commentReference w:id="8"/>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lastRenderedPageBreak/>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E93BA81"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Fill colour indicates mean ammonium concentration found at each site</w:t>
      </w:r>
      <w:r w:rsidR="00C826A7">
        <w:rPr>
          <w:rFonts w:ascii="Times New Roman" w:hAnsi="Times New Roman" w:cs="Times New Roman"/>
          <w:lang w:val="en-CA"/>
        </w:rPr>
        <w:t xml:space="preserve"> with darker points having a higher concentration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Placeholder schematic for the kelp pee samples. I will remake this!!!!!</w:t>
      </w:r>
    </w:p>
    <w:p w14:paraId="57FEB2BC" w14:textId="5D016C8E" w:rsidR="00C05A5A" w:rsidRDefault="00C05A5A">
      <w:pPr>
        <w:rPr>
          <w:rFonts w:ascii="Times New Roman" w:hAnsi="Times New Roman" w:cs="Times New Roman"/>
          <w:b/>
          <w:lang w:val="en-CA"/>
        </w:rPr>
      </w:pPr>
      <w:r>
        <w:rPr>
          <w:rFonts w:ascii="Times New Roman" w:hAnsi="Times New Roman" w:cs="Times New Roman"/>
          <w:b/>
          <w:lang w:val="en-CA"/>
        </w:rPr>
        <w:br w:type="page"/>
      </w:r>
    </w:p>
    <w:p w14:paraId="611BAC9D" w14:textId="63A176FE" w:rsidR="00C05A5A" w:rsidRDefault="00271E58"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445ECE68" wp14:editId="194F1D3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57567EC6"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1208D86D" w14:textId="78639095" w:rsidR="00AB275A" w:rsidRDefault="00AB275A" w:rsidP="00C05A5A">
      <w:pPr>
        <w:rPr>
          <w:rFonts w:ascii="Times New Roman" w:hAnsi="Times New Roman" w:cs="Times New Roman"/>
          <w:lang w:val="en-CA"/>
        </w:rPr>
      </w:pPr>
    </w:p>
    <w:p w14:paraId="39A14E41" w14:textId="77777777" w:rsidR="00C826A7" w:rsidRDefault="00C826A7">
      <w:pPr>
        <w:rPr>
          <w:rFonts w:ascii="Times New Roman" w:hAnsi="Times New Roman" w:cs="Times New Roman"/>
          <w:lang w:val="en-CA"/>
        </w:rPr>
      </w:pPr>
      <w:r>
        <w:rPr>
          <w:rFonts w:ascii="Times New Roman" w:hAnsi="Times New Roman" w:cs="Times New Roman"/>
          <w:lang w:val="en-CA"/>
        </w:rPr>
        <w:br w:type="page"/>
      </w:r>
    </w:p>
    <w:p w14:paraId="1EAE8CCE" w14:textId="61F97243" w:rsidR="00AB275A" w:rsidRDefault="007A1A08"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26480593" wp14:editId="05CF7FD3">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30295E44" w:rsidR="00462E79" w:rsidRPr="00C05A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7830CC99" w14:textId="7B346FAA"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Error bars indicate 95% confidence intervals.</w:t>
      </w:r>
      <w:bookmarkStart w:id="9" w:name="_GoBack"/>
      <w:bookmarkEnd w:id="9"/>
      <w:r w:rsidR="005E6D58">
        <w:rPr>
          <w:rFonts w:ascii="Times New Roman" w:hAnsi="Times New Roman" w:cs="Times New Roman"/>
          <w:lang w:val="en-CA"/>
        </w:rPr>
        <w:t xml:space="preserve"> </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t>Supp</w:t>
      </w:r>
      <w:proofErr w:type="spellEnd"/>
      <w:r>
        <w:rPr>
          <w:rFonts w:ascii="Times New Roman" w:hAnsi="Times New Roman" w:cs="Times New Roman"/>
          <w:b/>
          <w:lang w:val="en-CA"/>
        </w:rPr>
        <w:t xml:space="preserve">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A1218C">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A1218C">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A1218C">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A1218C">
        <w:tc>
          <w:tcPr>
            <w:tcW w:w="3686" w:type="dxa"/>
            <w:tcBorders>
              <w:right w:val="nil"/>
            </w:tcBorders>
          </w:tcPr>
          <w:p w14:paraId="32423919"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46.37</w:t>
            </w:r>
          </w:p>
        </w:tc>
        <w:tc>
          <w:tcPr>
            <w:tcW w:w="1560" w:type="dxa"/>
            <w:tcBorders>
              <w:left w:val="nil"/>
              <w:right w:val="nil"/>
            </w:tcBorders>
            <w:vAlign w:val="bottom"/>
          </w:tcPr>
          <w:p w14:paraId="2E349C73"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0.47</w:t>
            </w:r>
          </w:p>
        </w:tc>
      </w:tr>
      <w:tr w:rsidR="00792779" w14:paraId="32493589" w14:textId="77777777" w:rsidTr="00A1218C">
        <w:tc>
          <w:tcPr>
            <w:tcW w:w="3686" w:type="dxa"/>
            <w:tcBorders>
              <w:right w:val="nil"/>
            </w:tcBorders>
          </w:tcPr>
          <w:p w14:paraId="1D191D46"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46.50</w:t>
            </w:r>
          </w:p>
        </w:tc>
        <w:tc>
          <w:tcPr>
            <w:tcW w:w="1560" w:type="dxa"/>
            <w:tcBorders>
              <w:left w:val="nil"/>
              <w:right w:val="nil"/>
            </w:tcBorders>
            <w:vAlign w:val="bottom"/>
          </w:tcPr>
          <w:p w14:paraId="386611C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0.13</w:t>
            </w:r>
          </w:p>
        </w:tc>
        <w:tc>
          <w:tcPr>
            <w:tcW w:w="1701" w:type="dxa"/>
            <w:tcBorders>
              <w:left w:val="nil"/>
            </w:tcBorders>
            <w:vAlign w:val="bottom"/>
          </w:tcPr>
          <w:p w14:paraId="3EC54DDF" w14:textId="77777777" w:rsidR="00792779" w:rsidRPr="00A87CDD"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0.44</w:t>
            </w:r>
          </w:p>
        </w:tc>
      </w:tr>
      <w:tr w:rsidR="00792779" w14:paraId="01C44B49" w14:textId="77777777" w:rsidTr="00A1218C">
        <w:tc>
          <w:tcPr>
            <w:tcW w:w="3686" w:type="dxa"/>
            <w:tcBorders>
              <w:bottom w:val="single" w:sz="6" w:space="0" w:color="F2F2F2"/>
              <w:right w:val="nil"/>
            </w:tcBorders>
          </w:tcPr>
          <w:p w14:paraId="3D979439"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50.85</w:t>
            </w:r>
          </w:p>
        </w:tc>
        <w:tc>
          <w:tcPr>
            <w:tcW w:w="1560" w:type="dxa"/>
            <w:tcBorders>
              <w:left w:val="nil"/>
              <w:bottom w:val="single" w:sz="6" w:space="0" w:color="F2F2F2"/>
              <w:right w:val="nil"/>
            </w:tcBorders>
            <w:vAlign w:val="bottom"/>
          </w:tcPr>
          <w:p w14:paraId="5E8521C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4.49</w:t>
            </w:r>
          </w:p>
        </w:tc>
        <w:tc>
          <w:tcPr>
            <w:tcW w:w="1701" w:type="dxa"/>
            <w:tcBorders>
              <w:left w:val="nil"/>
              <w:bottom w:val="single" w:sz="6" w:space="0" w:color="F2F2F2"/>
            </w:tcBorders>
            <w:vAlign w:val="bottom"/>
          </w:tcPr>
          <w:p w14:paraId="346E2D15" w14:textId="77777777" w:rsidR="00792779" w:rsidRPr="00A87CDD"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r w:rsidR="00792779" w14:paraId="4C793F07" w14:textId="77777777" w:rsidTr="00A1218C">
        <w:tc>
          <w:tcPr>
            <w:tcW w:w="3686" w:type="dxa"/>
            <w:tcBorders>
              <w:top w:val="single" w:sz="6" w:space="0" w:color="F2F2F2"/>
              <w:bottom w:val="single" w:sz="4" w:space="0" w:color="auto"/>
              <w:right w:val="nil"/>
            </w:tcBorders>
          </w:tcPr>
          <w:p w14:paraId="6288DC06"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50.94</w:t>
            </w:r>
          </w:p>
        </w:tc>
        <w:tc>
          <w:tcPr>
            <w:tcW w:w="1560" w:type="dxa"/>
            <w:tcBorders>
              <w:top w:val="single" w:sz="6" w:space="0" w:color="F2F2F2"/>
              <w:left w:val="nil"/>
              <w:bottom w:val="single" w:sz="4" w:space="0" w:color="auto"/>
              <w:right w:val="nil"/>
            </w:tcBorders>
            <w:vAlign w:val="bottom"/>
          </w:tcPr>
          <w:p w14:paraId="11173806"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4.57</w:t>
            </w:r>
          </w:p>
        </w:tc>
        <w:tc>
          <w:tcPr>
            <w:tcW w:w="1701" w:type="dxa"/>
            <w:tcBorders>
              <w:top w:val="single" w:sz="6" w:space="0" w:color="F2F2F2"/>
              <w:left w:val="nil"/>
              <w:bottom w:val="single" w:sz="4" w:space="0" w:color="auto"/>
            </w:tcBorders>
            <w:vAlign w:val="bottom"/>
          </w:tcPr>
          <w:p w14:paraId="42CCF900" w14:textId="77777777" w:rsidR="00792779" w:rsidRPr="00A87CDD"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lastRenderedPageBreak/>
        <w:t>Supp</w:t>
      </w:r>
      <w:proofErr w:type="spellEnd"/>
      <w:r>
        <w:rPr>
          <w:rFonts w:ascii="Times New Roman" w:hAnsi="Times New Roman" w:cs="Times New Roman"/>
          <w:b/>
          <w:lang w:val="en-CA"/>
        </w:rPr>
        <w:t xml:space="preserve"> </w:t>
      </w:r>
      <w:commentRangeStart w:id="10"/>
      <w:r w:rsidRPr="00A15B36">
        <w:rPr>
          <w:rFonts w:ascii="Times New Roman" w:hAnsi="Times New Roman" w:cs="Times New Roman"/>
          <w:b/>
          <w:lang w:val="en-CA"/>
        </w:rPr>
        <w:t xml:space="preserve">Table </w:t>
      </w:r>
      <w:commentRangeEnd w:id="10"/>
      <w:r>
        <w:rPr>
          <w:rStyle w:val="CommentReference"/>
        </w:rPr>
        <w:commentReference w:id="10"/>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A1218C">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A1218C">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A1218C">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A1218C">
        <w:tc>
          <w:tcPr>
            <w:tcW w:w="6671" w:type="dxa"/>
            <w:tcBorders>
              <w:right w:val="nil"/>
            </w:tcBorders>
          </w:tcPr>
          <w:p w14:paraId="119059BA"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42.08</w:t>
            </w:r>
          </w:p>
        </w:tc>
        <w:tc>
          <w:tcPr>
            <w:tcW w:w="990" w:type="dxa"/>
            <w:tcBorders>
              <w:left w:val="nil"/>
              <w:right w:val="nil"/>
            </w:tcBorders>
            <w:vAlign w:val="bottom"/>
          </w:tcPr>
          <w:p w14:paraId="4436CFC6"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68</w:t>
            </w:r>
          </w:p>
        </w:tc>
      </w:tr>
      <w:tr w:rsidR="00792779" w14:paraId="0F357B07" w14:textId="77777777" w:rsidTr="00A1218C">
        <w:tc>
          <w:tcPr>
            <w:tcW w:w="6671" w:type="dxa"/>
            <w:tcBorders>
              <w:right w:val="nil"/>
            </w:tcBorders>
          </w:tcPr>
          <w:p w14:paraId="4AC36ED7"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40.42</w:t>
            </w:r>
          </w:p>
        </w:tc>
        <w:tc>
          <w:tcPr>
            <w:tcW w:w="990" w:type="dxa"/>
            <w:tcBorders>
              <w:left w:val="nil"/>
              <w:right w:val="nil"/>
            </w:tcBorders>
            <w:vAlign w:val="bottom"/>
          </w:tcPr>
          <w:p w14:paraId="47E1BE53" w14:textId="77777777" w:rsidR="00792779" w:rsidRPr="00A9541C" w:rsidRDefault="00792779" w:rsidP="00A1218C">
            <w:pPr>
              <w:spacing w:line="360" w:lineRule="auto"/>
              <w:jc w:val="center"/>
              <w:rPr>
                <w:rFonts w:ascii="Times New Roman" w:hAnsi="Times New Roman" w:cs="Times New Roman"/>
              </w:rPr>
            </w:pPr>
            <w:r>
              <w:rPr>
                <w:rFonts w:ascii="Times New Roman" w:hAnsi="Times New Roman" w:cs="Times New Roman"/>
              </w:rPr>
              <w:t>1.66</w:t>
            </w:r>
          </w:p>
        </w:tc>
        <w:tc>
          <w:tcPr>
            <w:tcW w:w="1544" w:type="dxa"/>
            <w:tcBorders>
              <w:left w:val="nil"/>
            </w:tcBorders>
            <w:vAlign w:val="bottom"/>
          </w:tcPr>
          <w:p w14:paraId="3A4F4C78"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A1218C">
        <w:tc>
          <w:tcPr>
            <w:tcW w:w="6671" w:type="dxa"/>
            <w:tcBorders>
              <w:bottom w:val="single" w:sz="6" w:space="0" w:color="F2F2F2"/>
              <w:right w:val="nil"/>
            </w:tcBorders>
          </w:tcPr>
          <w:p w14:paraId="11BD7072"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34.54</w:t>
            </w:r>
          </w:p>
        </w:tc>
        <w:tc>
          <w:tcPr>
            <w:tcW w:w="990" w:type="dxa"/>
            <w:tcBorders>
              <w:left w:val="nil"/>
              <w:bottom w:val="single" w:sz="6" w:space="0" w:color="F2F2F2"/>
              <w:right w:val="nil"/>
            </w:tcBorders>
            <w:vAlign w:val="bottom"/>
          </w:tcPr>
          <w:p w14:paraId="2965428D" w14:textId="77777777" w:rsidR="00792779" w:rsidRPr="00A9541C" w:rsidRDefault="00792779" w:rsidP="00A1218C">
            <w:pPr>
              <w:spacing w:line="360" w:lineRule="auto"/>
              <w:jc w:val="center"/>
              <w:rPr>
                <w:rFonts w:ascii="Times New Roman" w:hAnsi="Times New Roman" w:cs="Times New Roman"/>
              </w:rPr>
            </w:pPr>
            <w:r>
              <w:rPr>
                <w:rFonts w:ascii="Times New Roman" w:hAnsi="Times New Roman" w:cs="Times New Roman"/>
              </w:rPr>
              <w:t>7.55</w:t>
            </w:r>
          </w:p>
        </w:tc>
        <w:tc>
          <w:tcPr>
            <w:tcW w:w="1544" w:type="dxa"/>
            <w:tcBorders>
              <w:left w:val="nil"/>
              <w:bottom w:val="single" w:sz="6" w:space="0" w:color="F2F2F2"/>
            </w:tcBorders>
            <w:vAlign w:val="bottom"/>
          </w:tcPr>
          <w:p w14:paraId="2CB6F0CB"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0.0</w:t>
            </w:r>
            <w:r>
              <w:rPr>
                <w:rFonts w:ascii="Times New Roman" w:hAnsi="Times New Roman" w:cs="Times New Roman"/>
                <w:color w:val="000000"/>
                <w:szCs w:val="22"/>
              </w:rPr>
              <w:t>2</w:t>
            </w:r>
          </w:p>
        </w:tc>
      </w:tr>
      <w:tr w:rsidR="00792779" w14:paraId="165B1E09" w14:textId="77777777" w:rsidTr="00A1218C">
        <w:tc>
          <w:tcPr>
            <w:tcW w:w="6671" w:type="dxa"/>
            <w:tcBorders>
              <w:top w:val="single" w:sz="6" w:space="0" w:color="F2F2F2"/>
              <w:bottom w:val="single" w:sz="4" w:space="0" w:color="auto"/>
              <w:right w:val="nil"/>
            </w:tcBorders>
          </w:tcPr>
          <w:p w14:paraId="1DAA32AC"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32.10</w:t>
            </w:r>
          </w:p>
        </w:tc>
        <w:tc>
          <w:tcPr>
            <w:tcW w:w="990" w:type="dxa"/>
            <w:tcBorders>
              <w:top w:val="single" w:sz="6" w:space="0" w:color="F2F2F2"/>
              <w:left w:val="nil"/>
              <w:bottom w:val="single" w:sz="4" w:space="0" w:color="auto"/>
              <w:right w:val="nil"/>
            </w:tcBorders>
            <w:vAlign w:val="bottom"/>
          </w:tcPr>
          <w:p w14:paraId="2288EB4D" w14:textId="77777777" w:rsidR="00792779" w:rsidRPr="00A9541C" w:rsidRDefault="00792779" w:rsidP="00A1218C">
            <w:pPr>
              <w:spacing w:line="360" w:lineRule="auto"/>
              <w:jc w:val="center"/>
              <w:rPr>
                <w:rFonts w:ascii="Times New Roman" w:hAnsi="Times New Roman" w:cs="Times New Roman"/>
              </w:rPr>
            </w:pPr>
            <w:r>
              <w:rPr>
                <w:rFonts w:ascii="Times New Roman" w:hAnsi="Times New Roman" w:cs="Times New Roman"/>
              </w:rPr>
              <w:t>9.98</w:t>
            </w:r>
          </w:p>
        </w:tc>
        <w:tc>
          <w:tcPr>
            <w:tcW w:w="1544" w:type="dxa"/>
            <w:tcBorders>
              <w:top w:val="single" w:sz="6" w:space="0" w:color="F2F2F2"/>
              <w:left w:val="nil"/>
              <w:bottom w:val="single" w:sz="4" w:space="0" w:color="auto"/>
            </w:tcBorders>
            <w:vAlign w:val="bottom"/>
          </w:tcPr>
          <w:p w14:paraId="79B7AC54"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r>
              <w:rPr>
                <w:rFonts w:ascii="Times New Roman" w:hAnsi="Times New Roman" w:cs="Times New Roman"/>
                <w:color w:val="000000"/>
                <w:szCs w:val="22"/>
              </w:rPr>
              <w:t>5</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72709FD" w14:textId="77777777" w:rsidR="00E639BB" w:rsidRPr="00E639BB" w:rsidRDefault="00EC101B" w:rsidP="00E639BB">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E639BB" w:rsidRPr="00E639BB">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FB71078"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6CFF921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394C65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1D8AAC3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6BFE5A7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7E0FA1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2CE832F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62F8981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75F0243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8AB2F9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Francis, F.T., Côté, I.M., 2018. Fish movement drives spatial and temporal patterns of nutrient provisioning on coral reef patches. Ecosphere 9, e02225. https://doi.org/10.1002/ecs2.2225</w:t>
      </w:r>
    </w:p>
    <w:p w14:paraId="7A4DC8BC"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lastRenderedPageBreak/>
        <w:t>Froese, R., Thorson, J.T., Reyes Jr, R.B., 2014. A Bayesian approach for estimating length-weight relationships in fishes. Journal of Applied Ichthyology 30, 78–85. https://doi.org/10.1111/jai.12299</w:t>
      </w:r>
    </w:p>
    <w:p w14:paraId="151AD16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0E129A0"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906AF9A"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Hartig, F., 2022. DHARMa: Residual Diagnostics for Hierarchical (Multi-Level / Mixed) Regression Models. R package version 0.4.6.</w:t>
      </w:r>
    </w:p>
    <w:p w14:paraId="308B5D9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Holbrook, S.J., Brooks, A.J., Schmitt, R.J., Stewart, H.L., 2008. Effects of sheltering fish on growth of their host corals. Mar Biol 155, 521–530. https://doi.org/10.1007/s00227-008-1051-7</w:t>
      </w:r>
    </w:p>
    <w:p w14:paraId="6D916D7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7F21A713"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4913884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0D60CA5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Leibold, M.A., 1991. Biodiversity and nutrient enrichment in pond plankton communities. Evol. Ecol. Res 1, 73–95.</w:t>
      </w:r>
    </w:p>
    <w:p w14:paraId="553E3ED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Lobban, C.S., Harrison, P.J., 1994. Seaweed Ecology and Physiology. Cambridge University Press.</w:t>
      </w:r>
    </w:p>
    <w:p w14:paraId="4FFCDD5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32C5729C"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Mann, K.H., 1973. Seaweeds: Their Productivity and Strategy for Growth. Science 182, 975–981. https://doi.org/10.1126/science.182.4116.975</w:t>
      </w:r>
    </w:p>
    <w:p w14:paraId="5BCA902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Menge, B.A., 1992. Community Regulation: Under What Conditions Are Bottom-Up Factors Important on Rocky Shores? Ecology 73, 755–765. https://doi.org/10.2307/1940155</w:t>
      </w:r>
    </w:p>
    <w:p w14:paraId="05082A7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Meyer, J.L., Schultz, E.T., 1985. Migrating haemulid fishes as a source of nutrients and organic matter on coral reefs. Limnol Oceanogr 30, 146–156.</w:t>
      </w:r>
    </w:p>
    <w:p w14:paraId="2550EC7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Meyer, J.L., Schultz, E.T., Helfman, G.S., 1983. Fish schools: An asset to corals. Science 220, 1047–1049. https://doi.org/10.1126/science.220.4601.1047</w:t>
      </w:r>
    </w:p>
    <w:p w14:paraId="2C8C930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27F07E48"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lastRenderedPageBreak/>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0295FB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5E4A5F0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Pawlowicz, R., 2017. Seasonal cycles, hypoxia, and renewal in a coastal fjord (Barkley Sound, British Columbia). Atmosphere-Ocean 55, 264–283. https://doi.org/10.1080/07055900.2017.1374240</w:t>
      </w:r>
    </w:p>
    <w:p w14:paraId="662C5E1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Pfister, C.A., Altabet, M.A., Post, D., 2014. Animal regeneration and microbial retention of nitrogen along coastal rocky shores. Ecology 95, 2803–2814. https://doi.org/10.1890/13-1825.1</w:t>
      </w:r>
    </w:p>
    <w:p w14:paraId="4F2199C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57162F5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Phillips, J.C., Hurd, C.L., 2004. Kinetics of nitrate, ammonium, and urea uptake by four intertidal seaweeds from New Zealand. J Phycol 40, 534–545. https://doi.org/10.1111/j.1529-8817.2004.03157.x</w:t>
      </w:r>
    </w:p>
    <w:p w14:paraId="09228BE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D5DBCF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 Core Team, 2019. R: A language and environment for statistical computing.</w:t>
      </w:r>
    </w:p>
    <w:p w14:paraId="602805D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Roman, J., McCarthy, J.J., 2010. The Whale Pump: Marine Mammals Enhance Primary Productivity in a Coastal Basin. PLoS ONE 5, e13255. https://doi.org/10.1371/journal.pone.0013255</w:t>
      </w:r>
    </w:p>
    <w:p w14:paraId="7A759B7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RStudio Team, 2016. RStudio: Integrated development for R.</w:t>
      </w:r>
    </w:p>
    <w:p w14:paraId="0CDB110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Sellers, A.J., Leung, B., Torchin, M.E., 2020. Global meta-analysis of how marine upwelling affects herbivory. Global Ecology and Biogeography 29, 370–383. https://doi.org/10.1111/geb.13023</w:t>
      </w:r>
    </w:p>
    <w:p w14:paraId="4B2A2FA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Shantz, A.A., Ladd, M.C., Schrack, E., Burkepile, D.E., 2015. Fish-derived nutrient hotspots shape coral reef benthic communities. Ecological Applications 25, 2142–2152. https://doi.org/10.1890/14-2209.1</w:t>
      </w:r>
    </w:p>
    <w:p w14:paraId="2C733D9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5C0F73F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7E1CDC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Tanasichuk, R., 1998. Interannual variations in the population biology and productivity of Euphausia pacifica in Barkley Sound, Canada, with special reference to the 1992 and </w:t>
      </w:r>
      <w:r w:rsidRPr="00E639BB">
        <w:rPr>
          <w:rFonts w:ascii="Times New Roman" w:hAnsi="Times New Roman" w:cs="Times New Roman"/>
        </w:rPr>
        <w:lastRenderedPageBreak/>
        <w:t>1993 warm ocean years. Mar. Ecol. Prog. Ser. 173, 163–180. https://doi.org/10.3354/meps173163</w:t>
      </w:r>
    </w:p>
    <w:p w14:paraId="0CA165A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26C671C5"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Tilman, G.D., 1984. Plant Dominance Along an Experimental Nutrient Gradient. Ecology 65, 1445–1453. https://doi.org/10.2307/1939125</w:t>
      </w:r>
    </w:p>
    <w:p w14:paraId="260756D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Uthicke, S., 2001. Nutrient regeneration by abundant coral reef holothurians. J. Exp. Mar. Biol. Ecol. 265, 153–170. https://doi.org/10.1016/S0022-0981(01)00329-X</w:t>
      </w:r>
    </w:p>
    <w:p w14:paraId="029AC8B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Vanni, M.J., 2002. Nutrient cycling by animals in freshwater ecosystems. Annu Rev Ecol Syst 33, 341–370. https://doi.org/10.1146/annurev.ecolsys.33.010802.150519</w:t>
      </w:r>
    </w:p>
    <w:p w14:paraId="0712520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281DDC9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87419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AA20C8" w:rsidRDefault="00AA20C8" w:rsidP="00CE5810">
      <w:pPr>
        <w:pStyle w:val="CommentText"/>
      </w:pPr>
      <w:r>
        <w:rPr>
          <w:rStyle w:val="CommentReference"/>
        </w:rPr>
        <w:annotationRef/>
      </w:r>
      <w:r>
        <w:t>I will read this once the MS is complete</w:t>
      </w:r>
    </w:p>
  </w:comment>
  <w:comment w:id="1" w:author="Em Lim" w:date="2024-02-15T16:17:00Z" w:initials="EL">
    <w:p w14:paraId="768B22C3" w14:textId="77777777" w:rsidR="00AA20C8" w:rsidRDefault="00AA20C8">
      <w:pPr>
        <w:pStyle w:val="CommentText"/>
      </w:pPr>
      <w:r>
        <w:rPr>
          <w:rStyle w:val="CommentReference"/>
        </w:rPr>
        <w:annotationRef/>
      </w:r>
      <w:r>
        <w:t>I am using Broitman et al 2001’s definitions:</w:t>
      </w:r>
    </w:p>
    <w:p w14:paraId="2DCD498C" w14:textId="77777777" w:rsidR="00AA20C8" w:rsidRDefault="00AA20C8">
      <w:pPr>
        <w:pStyle w:val="CommentText"/>
      </w:pPr>
      <w:r>
        <w:t>Small-scale = local scale = 1 – 100m2</w:t>
      </w:r>
    </w:p>
    <w:p w14:paraId="3B87A7AA" w14:textId="77777777" w:rsidR="00AA20C8" w:rsidRDefault="00AA20C8">
      <w:pPr>
        <w:pStyle w:val="CommentText"/>
      </w:pPr>
      <w:r>
        <w:t>Meso-scale = 10 – 100 km</w:t>
      </w:r>
    </w:p>
    <w:p w14:paraId="5E21FE31" w14:textId="3F144AE5" w:rsidR="00AA20C8" w:rsidRDefault="00AA20C8">
      <w:pPr>
        <w:pStyle w:val="CommentText"/>
      </w:pPr>
      <w:r>
        <w:t>Large-scale = biogeographic scale = 100 – 1000 km</w:t>
      </w:r>
    </w:p>
  </w:comment>
  <w:comment w:id="3" w:author="Em Lim" w:date="2024-02-23T14:25:00Z" w:initials="EL">
    <w:p w14:paraId="7A692BA4" w14:textId="053D0EC8" w:rsidR="00AA20C8" w:rsidRDefault="00AA20C8">
      <w:pPr>
        <w:pStyle w:val="CommentText"/>
      </w:pPr>
      <w:r>
        <w:rPr>
          <w:rStyle w:val="CommentReference"/>
        </w:rPr>
        <w:annotationRef/>
      </w:r>
      <w:r>
        <w:t>Anyone have any more good BMSC papers we should cite here?</w:t>
      </w:r>
    </w:p>
  </w:comment>
  <w:comment w:id="4" w:author="Em Lim" w:date="2024-02-15T16:46:00Z" w:initials="EL">
    <w:p w14:paraId="01CE0AB7" w14:textId="77777777" w:rsidR="00AA20C8" w:rsidRDefault="00AA20C8" w:rsidP="00EF0CFA">
      <w:pPr>
        <w:pStyle w:val="CommentText"/>
      </w:pPr>
      <w:r>
        <w:rPr>
          <w:rStyle w:val="CommentReference"/>
        </w:rPr>
        <w:annotationRef/>
      </w:r>
      <w:r>
        <w:t>There’s gotta be a better way to say this.</w:t>
      </w:r>
    </w:p>
    <w:p w14:paraId="68E04432" w14:textId="77777777" w:rsidR="00AA20C8" w:rsidRDefault="00AA20C8" w:rsidP="00EF0CFA">
      <w:pPr>
        <w:pStyle w:val="CommentText"/>
      </w:pPr>
    </w:p>
    <w:p w14:paraId="5936E5AB" w14:textId="587DB046" w:rsidR="00AA20C8" w:rsidRDefault="00AA20C8" w:rsidP="00EF0CFA">
      <w:pPr>
        <w:pStyle w:val="CommentText"/>
      </w:pPr>
      <w:r>
        <w:t>2021 last week of April – first week may</w:t>
      </w:r>
    </w:p>
    <w:p w14:paraId="2A15B90C" w14:textId="77777777" w:rsidR="00AA20C8" w:rsidRDefault="00AA20C8" w:rsidP="00EF0CFA">
      <w:pPr>
        <w:pStyle w:val="CommentText"/>
      </w:pPr>
      <w:r>
        <w:t>2022 = last two weeks of April</w:t>
      </w:r>
    </w:p>
    <w:p w14:paraId="11908A72" w14:textId="1E68D8BA" w:rsidR="00AA20C8" w:rsidRDefault="00AA20C8" w:rsidP="00EF0CFA">
      <w:pPr>
        <w:pStyle w:val="CommentText"/>
      </w:pPr>
      <w:r>
        <w:t>2023 = mid may</w:t>
      </w:r>
    </w:p>
  </w:comment>
  <w:comment w:id="5" w:author="Isabelle Cote" w:date="2024-02-07T14:32:00Z" w:initials="IC">
    <w:p w14:paraId="39119A83" w14:textId="77777777" w:rsidR="00AA20C8" w:rsidRDefault="00AA20C8" w:rsidP="00895C86">
      <w:pPr>
        <w:pStyle w:val="CommentText"/>
      </w:pPr>
      <w:r>
        <w:rPr>
          <w:rStyle w:val="CommentReference"/>
        </w:rPr>
        <w:annotationRef/>
      </w:r>
      <w:r>
        <w:t>The reviewers might wonder about the change and whether it had an impact on the results</w:t>
      </w:r>
    </w:p>
  </w:comment>
  <w:comment w:id="6" w:author="Em Lim" w:date="2024-02-02T10:43:00Z" w:initials="EL">
    <w:p w14:paraId="02CC6045" w14:textId="1E8650B9" w:rsidR="00AA20C8" w:rsidRDefault="00AA20C8">
      <w:pPr>
        <w:pStyle w:val="CommentText"/>
      </w:pPr>
      <w:r>
        <w:rPr>
          <w:rStyle w:val="CommentReference"/>
        </w:rPr>
        <w:annotationRef/>
      </w:r>
      <w:r>
        <w:t>Claire, can you confirm? The density calculations indicate it was a 1 x 5 rectangle but one of your old methods protocols said 2 x 5.</w:t>
      </w:r>
    </w:p>
  </w:comment>
  <w:comment w:id="7" w:author="Em Lim" w:date="2024-02-15T16:49:00Z" w:initials="EL">
    <w:p w14:paraId="53EF394E" w14:textId="200D8759" w:rsidR="00AA20C8" w:rsidRDefault="00AA20C8">
      <w:pPr>
        <w:pStyle w:val="CommentText"/>
      </w:pPr>
      <w:r>
        <w:rPr>
          <w:rStyle w:val="CommentReference"/>
        </w:rPr>
        <w:annotationRef/>
      </w:r>
      <w:r>
        <w:t xml:space="preserve">Sample depths ranged from 0.7 – 5 m deep, but each pair was collected at the same depth </w:t>
      </w:r>
    </w:p>
  </w:comment>
  <w:comment w:id="8" w:author="Em Lim" w:date="2024-02-26T12:02:00Z" w:initials="EL">
    <w:p w14:paraId="6FC76E13" w14:textId="58D1B337" w:rsidR="00AA20C8" w:rsidRDefault="00AA20C8">
      <w:pPr>
        <w:pStyle w:val="CommentText"/>
      </w:pPr>
      <w:r>
        <w:rPr>
          <w:rStyle w:val="CommentReference"/>
        </w:rPr>
        <w:annotationRef/>
      </w:r>
      <w:r>
        <w:t>?</w:t>
      </w:r>
    </w:p>
  </w:comment>
  <w:comment w:id="10" w:author="Em Lim" w:date="2024-02-21T17:08:00Z" w:initials="EL">
    <w:p w14:paraId="48CC7B98" w14:textId="77777777" w:rsidR="00792779" w:rsidRDefault="00792779"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5E21FE31" w15:done="0"/>
  <w15:commentEx w15:paraId="7A692BA4" w15:done="0"/>
  <w15:commentEx w15:paraId="11908A72" w15:done="0"/>
  <w15:commentEx w15:paraId="39119A83" w15:done="0"/>
  <w15:commentEx w15:paraId="02CC6045" w15:done="0"/>
  <w15:commentEx w15:paraId="53EF394E" w15:done="0"/>
  <w15:commentEx w15:paraId="6FC76E13"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777475" w16cex:dateUtc="2024-02-07T18:57:00Z"/>
  <w16cex:commentExtensible w16cex:durableId="685A84B1" w16cex:dateUtc="2024-02-07T18:58:00Z"/>
  <w16cex:commentExtensible w16cex:durableId="29F2125B" w16cex:dateUtc="2024-02-07T19:03:00Z"/>
  <w16cex:commentExtensible w16cex:durableId="4CD84FD1" w16cex:dateUtc="2024-02-07T19:07:00Z"/>
  <w16cex:commentExtensible w16cex:durableId="24E2C2CD" w16cex:dateUtc="2024-02-07T19:09:00Z"/>
  <w16cex:commentExtensible w16cex:durableId="3F6B3433" w16cex:dateUtc="2024-02-07T19:13:00Z"/>
  <w16cex:commentExtensible w16cex:durableId="1CCB3124" w16cex:dateUtc="2024-02-07T19:15:00Z"/>
  <w16cex:commentExtensible w16cex:durableId="51EB243E" w16cex:dateUtc="2024-02-07T19:21:00Z"/>
  <w16cex:commentExtensible w16cex:durableId="619339A2" w16cex:dateUtc="2024-02-07T19:25:00Z"/>
  <w16cex:commentExtensible w16cex:durableId="1D6343F4" w16cex:dateUtc="2024-02-07T19:28:00Z"/>
  <w16cex:commentExtensible w16cex:durableId="00330E0D" w16cex:dateUtc="2024-02-07T19:29:00Z"/>
  <w16cex:commentExtensible w16cex:durableId="483DE1F0" w16cex:dateUtc="2024-02-07T19:31:00Z"/>
  <w16cex:commentExtensible w16cex:durableId="319C6FAF" w16cex:dateUtc="2024-02-07T19:35:00Z"/>
  <w16cex:commentExtensible w16cex:durableId="4D277808" w16cex:dateUtc="2024-02-07T22:32:00Z"/>
  <w16cex:commentExtensible w16cex:durableId="18E79875" w16cex:dateUtc="2024-02-07T22:55:00Z"/>
  <w16cex:commentExtensible w16cex:durableId="2E2F7359" w16cex:dateUtc="2024-02-07T23:54:00Z"/>
  <w16cex:commentExtensible w16cex:durableId="1B6843E5" w16cex:dateUtc="2024-02-07T22:50:00Z"/>
  <w16cex:commentExtensible w16cex:durableId="6E66C627" w16cex:dateUtc="2024-02-08T00:05:00Z"/>
  <w16cex:commentExtensible w16cex:durableId="2D90DA47" w16cex:dateUtc="2024-02-08T00:09:00Z"/>
  <w16cex:commentExtensible w16cex:durableId="650BD3D8" w16cex:dateUtc="2024-02-08T00:10:00Z"/>
  <w16cex:commentExtensible w16cex:durableId="346E5ADD" w16cex:dateUtc="2024-02-08T00:12:00Z"/>
  <w16cex:commentExtensible w16cex:durableId="64DA736E" w16cex:dateUtc="2024-02-08T00:14:00Z"/>
  <w16cex:commentExtensible w16cex:durableId="21A9B644" w16cex:dateUtc="2024-02-08T00:28:00Z"/>
  <w16cex:commentExtensible w16cex:durableId="749EBF03" w16cex:dateUtc="2024-02-08T00:29:00Z"/>
  <w16cex:commentExtensible w16cex:durableId="24234F16" w16cex:dateUtc="2024-02-08T0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5E21FE31" w16cid:durableId="2978B7B1"/>
  <w16cid:commentId w16cid:paraId="7A692BA4" w16cid:durableId="2983295B"/>
  <w16cid:commentId w16cid:paraId="11908A72" w16cid:durableId="2978BE6F"/>
  <w16cid:commentId w16cid:paraId="39119A83" w16cid:durableId="4D277808"/>
  <w16cid:commentId w16cid:paraId="02CC6045" w16cid:durableId="296745BC"/>
  <w16cid:commentId w16cid:paraId="53EF394E" w16cid:durableId="2978BF19"/>
  <w16cid:commentId w16cid:paraId="6FC76E13" w16cid:durableId="2986FC5F"/>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2CC38" w14:textId="77777777" w:rsidR="0080060C" w:rsidRDefault="0080060C" w:rsidP="009B4C2B">
      <w:r>
        <w:separator/>
      </w:r>
    </w:p>
  </w:endnote>
  <w:endnote w:type="continuationSeparator" w:id="0">
    <w:p w14:paraId="4093BA50" w14:textId="77777777" w:rsidR="0080060C" w:rsidRDefault="0080060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9D45A" w14:textId="77777777" w:rsidR="0080060C" w:rsidRDefault="0080060C" w:rsidP="009B4C2B">
      <w:r>
        <w:separator/>
      </w:r>
    </w:p>
  </w:footnote>
  <w:footnote w:type="continuationSeparator" w:id="0">
    <w:p w14:paraId="69E90627" w14:textId="77777777" w:rsidR="0080060C" w:rsidRDefault="0080060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6B3F"/>
    <w:rsid w:val="0001775B"/>
    <w:rsid w:val="0002013E"/>
    <w:rsid w:val="000227FF"/>
    <w:rsid w:val="00026365"/>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314E"/>
    <w:rsid w:val="00173964"/>
    <w:rsid w:val="0018005F"/>
    <w:rsid w:val="00181FA8"/>
    <w:rsid w:val="0018289E"/>
    <w:rsid w:val="00195ECF"/>
    <w:rsid w:val="001A0C35"/>
    <w:rsid w:val="001B22A8"/>
    <w:rsid w:val="001B79C7"/>
    <w:rsid w:val="001D13C5"/>
    <w:rsid w:val="001D3701"/>
    <w:rsid w:val="001E7F77"/>
    <w:rsid w:val="001F6183"/>
    <w:rsid w:val="001F69F0"/>
    <w:rsid w:val="001F79DB"/>
    <w:rsid w:val="0020783B"/>
    <w:rsid w:val="002142F2"/>
    <w:rsid w:val="002145C6"/>
    <w:rsid w:val="00217D47"/>
    <w:rsid w:val="00222A9E"/>
    <w:rsid w:val="0022385E"/>
    <w:rsid w:val="00230925"/>
    <w:rsid w:val="00237ED0"/>
    <w:rsid w:val="00245C88"/>
    <w:rsid w:val="0025202D"/>
    <w:rsid w:val="00252E04"/>
    <w:rsid w:val="00253D0A"/>
    <w:rsid w:val="00261545"/>
    <w:rsid w:val="002620AE"/>
    <w:rsid w:val="00263F14"/>
    <w:rsid w:val="0026711E"/>
    <w:rsid w:val="00271E58"/>
    <w:rsid w:val="002840C9"/>
    <w:rsid w:val="00290BF1"/>
    <w:rsid w:val="00295B89"/>
    <w:rsid w:val="0029789C"/>
    <w:rsid w:val="002A304B"/>
    <w:rsid w:val="002A72EC"/>
    <w:rsid w:val="002A7F03"/>
    <w:rsid w:val="002B6ECC"/>
    <w:rsid w:val="002B7F5F"/>
    <w:rsid w:val="002C320F"/>
    <w:rsid w:val="002C3747"/>
    <w:rsid w:val="002D40ED"/>
    <w:rsid w:val="002D7263"/>
    <w:rsid w:val="002E1265"/>
    <w:rsid w:val="002E537D"/>
    <w:rsid w:val="002E568B"/>
    <w:rsid w:val="002E7BDB"/>
    <w:rsid w:val="002F0DB3"/>
    <w:rsid w:val="00314A5D"/>
    <w:rsid w:val="00334ADF"/>
    <w:rsid w:val="003665DF"/>
    <w:rsid w:val="003801C9"/>
    <w:rsid w:val="00380F24"/>
    <w:rsid w:val="003859F6"/>
    <w:rsid w:val="00392DBC"/>
    <w:rsid w:val="00397B9C"/>
    <w:rsid w:val="003B4768"/>
    <w:rsid w:val="003B6CDD"/>
    <w:rsid w:val="003D17AC"/>
    <w:rsid w:val="003E0CA3"/>
    <w:rsid w:val="003E0D14"/>
    <w:rsid w:val="003F627B"/>
    <w:rsid w:val="00405356"/>
    <w:rsid w:val="0041407D"/>
    <w:rsid w:val="00415C5B"/>
    <w:rsid w:val="00417390"/>
    <w:rsid w:val="004173D2"/>
    <w:rsid w:val="0042306A"/>
    <w:rsid w:val="004253ED"/>
    <w:rsid w:val="004317DC"/>
    <w:rsid w:val="00433289"/>
    <w:rsid w:val="0043787D"/>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E0538"/>
    <w:rsid w:val="005E2C00"/>
    <w:rsid w:val="005E6D58"/>
    <w:rsid w:val="005F0597"/>
    <w:rsid w:val="005F1E8D"/>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6581"/>
    <w:rsid w:val="00677126"/>
    <w:rsid w:val="00677F1B"/>
    <w:rsid w:val="006802B8"/>
    <w:rsid w:val="00682CDC"/>
    <w:rsid w:val="00690DD3"/>
    <w:rsid w:val="0069194B"/>
    <w:rsid w:val="00694C65"/>
    <w:rsid w:val="006C4A83"/>
    <w:rsid w:val="006C6F43"/>
    <w:rsid w:val="006D152A"/>
    <w:rsid w:val="006D5284"/>
    <w:rsid w:val="006D7F06"/>
    <w:rsid w:val="006F3E6B"/>
    <w:rsid w:val="00700CA8"/>
    <w:rsid w:val="00701637"/>
    <w:rsid w:val="00701EB0"/>
    <w:rsid w:val="007025A9"/>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B5406"/>
    <w:rsid w:val="007B580F"/>
    <w:rsid w:val="007C042F"/>
    <w:rsid w:val="007C0A44"/>
    <w:rsid w:val="007C1BDA"/>
    <w:rsid w:val="007C1D5C"/>
    <w:rsid w:val="007C32C3"/>
    <w:rsid w:val="007D13CA"/>
    <w:rsid w:val="007D6070"/>
    <w:rsid w:val="007D6267"/>
    <w:rsid w:val="007D71C9"/>
    <w:rsid w:val="007E4686"/>
    <w:rsid w:val="007F416C"/>
    <w:rsid w:val="007F6203"/>
    <w:rsid w:val="0080060C"/>
    <w:rsid w:val="008012CE"/>
    <w:rsid w:val="00801C62"/>
    <w:rsid w:val="00805A5D"/>
    <w:rsid w:val="008068ED"/>
    <w:rsid w:val="00816A13"/>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E0F38"/>
    <w:rsid w:val="008E62A2"/>
    <w:rsid w:val="008E7707"/>
    <w:rsid w:val="0091520C"/>
    <w:rsid w:val="00915C04"/>
    <w:rsid w:val="00925056"/>
    <w:rsid w:val="00933A0C"/>
    <w:rsid w:val="009341AA"/>
    <w:rsid w:val="00943023"/>
    <w:rsid w:val="0094446B"/>
    <w:rsid w:val="00946EB9"/>
    <w:rsid w:val="00950C3D"/>
    <w:rsid w:val="009529BF"/>
    <w:rsid w:val="009569DD"/>
    <w:rsid w:val="009609CF"/>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48F7"/>
    <w:rsid w:val="00B01287"/>
    <w:rsid w:val="00B028F9"/>
    <w:rsid w:val="00B070A5"/>
    <w:rsid w:val="00B071BE"/>
    <w:rsid w:val="00B16FBC"/>
    <w:rsid w:val="00B1705D"/>
    <w:rsid w:val="00B177C3"/>
    <w:rsid w:val="00B205EE"/>
    <w:rsid w:val="00B25F11"/>
    <w:rsid w:val="00B317B9"/>
    <w:rsid w:val="00B40590"/>
    <w:rsid w:val="00B450E4"/>
    <w:rsid w:val="00B47743"/>
    <w:rsid w:val="00B51A9A"/>
    <w:rsid w:val="00B547A8"/>
    <w:rsid w:val="00B62619"/>
    <w:rsid w:val="00B62EEA"/>
    <w:rsid w:val="00B654FE"/>
    <w:rsid w:val="00B71E47"/>
    <w:rsid w:val="00B866D6"/>
    <w:rsid w:val="00B874D2"/>
    <w:rsid w:val="00B8757C"/>
    <w:rsid w:val="00B928B9"/>
    <w:rsid w:val="00BA6691"/>
    <w:rsid w:val="00BC1B34"/>
    <w:rsid w:val="00BC20AB"/>
    <w:rsid w:val="00BC463D"/>
    <w:rsid w:val="00BD0E57"/>
    <w:rsid w:val="00BD1256"/>
    <w:rsid w:val="00BD1992"/>
    <w:rsid w:val="00BD384B"/>
    <w:rsid w:val="00BE5F43"/>
    <w:rsid w:val="00BF7831"/>
    <w:rsid w:val="00C05930"/>
    <w:rsid w:val="00C05A5A"/>
    <w:rsid w:val="00C12458"/>
    <w:rsid w:val="00C146F7"/>
    <w:rsid w:val="00C21D82"/>
    <w:rsid w:val="00C246F4"/>
    <w:rsid w:val="00C25CFD"/>
    <w:rsid w:val="00C26711"/>
    <w:rsid w:val="00C27CC6"/>
    <w:rsid w:val="00C45043"/>
    <w:rsid w:val="00C540DD"/>
    <w:rsid w:val="00C673A5"/>
    <w:rsid w:val="00C768BA"/>
    <w:rsid w:val="00C77114"/>
    <w:rsid w:val="00C77243"/>
    <w:rsid w:val="00C826A7"/>
    <w:rsid w:val="00C8732F"/>
    <w:rsid w:val="00CA34B5"/>
    <w:rsid w:val="00CD046A"/>
    <w:rsid w:val="00CD2A33"/>
    <w:rsid w:val="00CD73AB"/>
    <w:rsid w:val="00CE181D"/>
    <w:rsid w:val="00CE5122"/>
    <w:rsid w:val="00CE5810"/>
    <w:rsid w:val="00CE6EEC"/>
    <w:rsid w:val="00CE7337"/>
    <w:rsid w:val="00CE7CA3"/>
    <w:rsid w:val="00CF5454"/>
    <w:rsid w:val="00CF7529"/>
    <w:rsid w:val="00CF7FD0"/>
    <w:rsid w:val="00D056C4"/>
    <w:rsid w:val="00D10B17"/>
    <w:rsid w:val="00D1548C"/>
    <w:rsid w:val="00D16152"/>
    <w:rsid w:val="00D16B00"/>
    <w:rsid w:val="00D27E15"/>
    <w:rsid w:val="00D351C1"/>
    <w:rsid w:val="00D37004"/>
    <w:rsid w:val="00D37C4A"/>
    <w:rsid w:val="00D40247"/>
    <w:rsid w:val="00D4585B"/>
    <w:rsid w:val="00D51B90"/>
    <w:rsid w:val="00D56988"/>
    <w:rsid w:val="00D57AB2"/>
    <w:rsid w:val="00D71E1B"/>
    <w:rsid w:val="00D768B7"/>
    <w:rsid w:val="00D823F4"/>
    <w:rsid w:val="00D85A41"/>
    <w:rsid w:val="00DB029A"/>
    <w:rsid w:val="00DB5A3B"/>
    <w:rsid w:val="00DC0493"/>
    <w:rsid w:val="00DC4A52"/>
    <w:rsid w:val="00DC5B5B"/>
    <w:rsid w:val="00DE151A"/>
    <w:rsid w:val="00DE493D"/>
    <w:rsid w:val="00DE63E7"/>
    <w:rsid w:val="00DF4B83"/>
    <w:rsid w:val="00DF5087"/>
    <w:rsid w:val="00E0703E"/>
    <w:rsid w:val="00E12068"/>
    <w:rsid w:val="00E25DCB"/>
    <w:rsid w:val="00E26FA5"/>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C101B"/>
    <w:rsid w:val="00EC6CAC"/>
    <w:rsid w:val="00ED1C7F"/>
    <w:rsid w:val="00ED5552"/>
    <w:rsid w:val="00EE4634"/>
    <w:rsid w:val="00EE4DBD"/>
    <w:rsid w:val="00EE5DD8"/>
    <w:rsid w:val="00EF0BBA"/>
    <w:rsid w:val="00EF0CFA"/>
    <w:rsid w:val="00F0487B"/>
    <w:rsid w:val="00F10947"/>
    <w:rsid w:val="00F149DB"/>
    <w:rsid w:val="00F23409"/>
    <w:rsid w:val="00F235E9"/>
    <w:rsid w:val="00F26904"/>
    <w:rsid w:val="00F33E40"/>
    <w:rsid w:val="00F36798"/>
    <w:rsid w:val="00F64AEB"/>
    <w:rsid w:val="00F76C68"/>
    <w:rsid w:val="00F92D6E"/>
    <w:rsid w:val="00F92DAE"/>
    <w:rsid w:val="00F96096"/>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B2390-6F30-2042-8A68-5FD6B44D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32</Pages>
  <Words>25211</Words>
  <Characters>143709</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95</cp:revision>
  <dcterms:created xsi:type="dcterms:W3CDTF">2024-02-07T19:27:00Z</dcterms:created>
  <dcterms:modified xsi:type="dcterms:W3CDTF">2024-03-02T01:37:00Z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id="bMsCzrBy"/&gt;&lt;style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