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commentRangeEnd w:id="0"/>
      <w:r w:rsidR="00315B05">
        <w:rPr>
          <w:rStyle w:val="CommentReference"/>
        </w:rPr>
        <w:commentReference w:id="0"/>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1"/>
      <w:r w:rsidRPr="005F1E8D">
        <w:rPr>
          <w:rFonts w:ascii="Times New Roman" w:hAnsi="Times New Roman" w:cs="Times New Roman"/>
          <w:b/>
          <w:lang w:val="en-CA"/>
        </w:rPr>
        <w:lastRenderedPageBreak/>
        <w:t>Abstract</w:t>
      </w:r>
      <w:commentRangeEnd w:id="1"/>
      <w:r w:rsidR="00CE5810" w:rsidRPr="005F1E8D">
        <w:rPr>
          <w:rStyle w:val="CommentReference"/>
          <w:rFonts w:ascii="Times New Roman" w:hAnsi="Times New Roman" w:cs="Times New Roman"/>
        </w:rPr>
        <w:commentReference w:id="1"/>
      </w:r>
    </w:p>
    <w:p w14:paraId="2FE39DE9" w14:textId="67334DEA" w:rsidR="008307A0" w:rsidRPr="00E53B33" w:rsidRDefault="008307A0" w:rsidP="0019777D">
      <w:pPr>
        <w:spacing w:line="480" w:lineRule="auto"/>
        <w:rPr>
          <w:rFonts w:ascii="Times New Roman" w:eastAsia="Times New Roman" w:hAnsi="Times New Roman" w:cs="Times New Roman"/>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measured their ammonium excretions 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rocky reefs for three years and 17 kelp forests of varying density for a single 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but weakly negative at flood tide. Ammonium was significantly higher within than </w:t>
      </w:r>
      <w:r w:rsidR="00B61844">
        <w:rPr>
          <w:rFonts w:ascii="Times New Roman" w:hAnsi="Times New Roman" w:cs="Times New Roman"/>
          <w:lang w:val="en-CA"/>
        </w:rPr>
        <w:t>adjacent to</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 xml:space="preserve">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2"/>
      <w:commentRangeStart w:id="3"/>
      <w:commentRangeStart w:id="4"/>
      <w:r w:rsidRPr="005F1E8D">
        <w:rPr>
          <w:rFonts w:ascii="Times New Roman" w:hAnsi="Times New Roman" w:cs="Times New Roman"/>
          <w:iCs/>
          <w:lang w:val="en-CA"/>
        </w:rPr>
        <w:t>.</w:t>
      </w:r>
      <w:commentRangeEnd w:id="2"/>
      <w:r w:rsidR="00813785">
        <w:rPr>
          <w:rStyle w:val="CommentReference"/>
        </w:rPr>
        <w:commentReference w:id="2"/>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19777D">
        <w:rPr>
          <w:rFonts w:ascii="Times New Roman" w:hAnsi="Times New Roman" w:cs="Times New Roman"/>
          <w:highlight w:val="yellow"/>
          <w:lang w:val="en-CA"/>
        </w:rPr>
        <w:t xml:space="preserve">Therefore, </w:t>
      </w:r>
      <w:r w:rsidRPr="0019777D">
        <w:rPr>
          <w:rFonts w:ascii="Times New Roman" w:hAnsi="Times New Roman" w:cs="Times New Roman"/>
          <w:highlight w:val="yellow"/>
          <w:lang w:val="en-CA"/>
        </w:rPr>
        <w:t>CN</w:t>
      </w:r>
      <w:r w:rsidR="00FC6B44" w:rsidRPr="0019777D">
        <w:rPr>
          <w:rFonts w:ascii="Times New Roman" w:hAnsi="Times New Roman" w:cs="Times New Roman"/>
          <w:highlight w:val="yellow"/>
          <w:lang w:val="en-CA"/>
        </w:rPr>
        <w:t>D</w:t>
      </w:r>
      <w:r w:rsidR="005E0538" w:rsidRPr="0019777D">
        <w:rPr>
          <w:rFonts w:ascii="Times New Roman" w:hAnsi="Times New Roman" w:cs="Times New Roman"/>
          <w:highlight w:val="yellow"/>
          <w:lang w:val="en-CA"/>
        </w:rPr>
        <w:t xml:space="preserve"> may play</w:t>
      </w:r>
      <w:r w:rsidRPr="0019777D">
        <w:rPr>
          <w:rFonts w:ascii="Times New Roman" w:hAnsi="Times New Roman" w:cs="Times New Roman"/>
          <w:highlight w:val="yellow"/>
          <w:lang w:val="en-CA"/>
        </w:rPr>
        <w:t xml:space="preserve"> </w:t>
      </w:r>
      <w:r w:rsidR="005E0538" w:rsidRPr="0019777D">
        <w:rPr>
          <w:rFonts w:ascii="Times New Roman" w:hAnsi="Times New Roman" w:cs="Times New Roman"/>
          <w:highlight w:val="yellow"/>
          <w:lang w:val="en-CA"/>
        </w:rPr>
        <w:t xml:space="preserve">a previously unrecognized </w:t>
      </w:r>
      <w:sdt>
        <w:sdtPr>
          <w:rPr>
            <w:rFonts w:ascii="Times New Roman" w:hAnsi="Times New Roman" w:cs="Times New Roman"/>
            <w:highlight w:val="yellow"/>
          </w:rPr>
          <w:tag w:val="goog_rdk_4"/>
          <w:id w:val="1148018418"/>
        </w:sdtPr>
        <w:sdtContent/>
      </w:sdt>
      <w:r w:rsidR="005E0538" w:rsidRPr="0019777D">
        <w:rPr>
          <w:rFonts w:ascii="Times New Roman" w:eastAsia="Times New Roman" w:hAnsi="Times New Roman" w:cs="Times New Roman"/>
          <w:highlight w:val="yellow"/>
        </w:rPr>
        <w:t>role</w:t>
      </w:r>
      <w:r w:rsidR="002D40ED" w:rsidRPr="0019777D">
        <w:rPr>
          <w:rFonts w:ascii="Times New Roman" w:eastAsia="Times New Roman" w:hAnsi="Times New Roman" w:cs="Times New Roman"/>
          <w:highlight w:val="yellow"/>
        </w:rPr>
        <w:t xml:space="preserve"> in </w:t>
      </w:r>
      <w:r w:rsidRPr="0019777D">
        <w:rPr>
          <w:rFonts w:ascii="Times New Roman" w:hAnsi="Times New Roman" w:cs="Times New Roman"/>
          <w:highlight w:val="yellow"/>
          <w:lang w:val="en-CA"/>
        </w:rPr>
        <w:t xml:space="preserve">structuring temperate marine ecosystems from the bottom </w:t>
      </w:r>
      <w:commentRangeStart w:id="5"/>
      <w:r w:rsidRPr="0019777D">
        <w:rPr>
          <w:rFonts w:ascii="Times New Roman" w:hAnsi="Times New Roman" w:cs="Times New Roman"/>
          <w:highlight w:val="yellow"/>
          <w:lang w:val="en-CA"/>
        </w:rPr>
        <w:t>up</w:t>
      </w:r>
      <w:commentRangeEnd w:id="5"/>
      <w:r w:rsidR="00B61844">
        <w:rPr>
          <w:rStyle w:val="CommentReference"/>
        </w:rPr>
        <w:commentReference w:id="5"/>
      </w:r>
      <w:r w:rsidRPr="0019777D">
        <w:rPr>
          <w:rFonts w:ascii="Times New Roman" w:hAnsi="Times New Roman" w:cs="Times New Roman"/>
          <w:highlight w:val="yellow"/>
          <w:lang w:val="en-CA"/>
        </w:rPr>
        <w:t>.</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7A6DC102"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6"/>
      <w:r w:rsidR="00761A9D" w:rsidRPr="005F1E8D">
        <w:rPr>
          <w:rFonts w:ascii="Times New Roman" w:eastAsia="Times New Roman" w:hAnsi="Times New Roman" w:cs="Times New Roman"/>
          <w:color w:val="000000"/>
        </w:rPr>
        <w:t xml:space="preserve">productivity </w:t>
      </w:r>
      <w:commentRangeEnd w:id="6"/>
      <w:r w:rsidR="002216A4">
        <w:rPr>
          <w:rStyle w:val="CommentReference"/>
        </w:rPr>
        <w:commentReference w:id="6"/>
      </w:r>
      <w:r w:rsidR="00761A9D" w:rsidRPr="005F1E8D">
        <w:rPr>
          <w:rFonts w:ascii="Times New Roman" w:eastAsia="Times New Roman" w:hAnsi="Times New Roman" w:cs="Times New Roman"/>
          <w:color w:val="000000"/>
        </w:rPr>
        <w:t xml:space="preserve">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them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79DE972B"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7"/>
      <w:commentRangeStart w:id="8"/>
      <w:r w:rsidR="00E53B33">
        <w:rPr>
          <w:rFonts w:ascii="Times New Roman" w:eastAsia="Times New Roman" w:hAnsi="Times New Roman" w:cs="Times New Roman"/>
          <w:color w:val="000000"/>
        </w:rPr>
        <w:t>10 to 100 km</w:t>
      </w:r>
      <w:commentRangeEnd w:id="7"/>
      <w:r w:rsidR="00E53B33">
        <w:rPr>
          <w:rStyle w:val="CommentReference"/>
        </w:rPr>
        <w:commentReference w:id="7"/>
      </w:r>
      <w:commentRangeEnd w:id="8"/>
      <w:r w:rsidR="00B62F21">
        <w:rPr>
          <w:rStyle w:val="CommentReference"/>
        </w:rPr>
        <w:commentReference w:id="8"/>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lastRenderedPageBreak/>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EA2BB10"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elevated levels of biomass and biodiversity that occur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791745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regenerated nutrients 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lastRenderedPageBreak/>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proofErr w:type="gramStart"/>
      <w:r w:rsidR="00B62F21">
        <w:rPr>
          <w:rFonts w:ascii="Times New Roman" w:eastAsia="Times New Roman" w:hAnsi="Times New Roman" w:cs="Times New Roman"/>
          <w:color w:val="000000"/>
        </w:rPr>
        <w:t xml:space="preserve">of </w:t>
      </w:r>
      <w:r w:rsidR="000C156B">
        <w:rPr>
          <w:rFonts w:ascii="Times New Roman" w:eastAsia="Times New Roman" w:hAnsi="Times New Roman" w:cs="Times New Roman"/>
          <w:color w:val="000000"/>
        </w:rPr>
        <w:t xml:space="preserve"> ~</w:t>
      </w:r>
      <w:proofErr w:type="gramEnd"/>
      <w:r w:rsidR="00B62F21">
        <w:rPr>
          <w:rFonts w:ascii="Times New Roman" w:eastAsia="Times New Roman" w:hAnsi="Times New Roman" w:cs="Times New Roman"/>
          <w:color w:val="000000"/>
        </w:rPr>
        <w:t>10s of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&lt; 10 m</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 xml:space="preserve">Due to this region’s external nutrient sources and high flow, </w:t>
      </w:r>
      <w:commentRangeStart w:id="10"/>
      <w:r w:rsidR="009962D6">
        <w:rPr>
          <w:rFonts w:ascii="Times New Roman" w:eastAsia="Times New Roman" w:hAnsi="Times New Roman" w:cs="Times New Roman"/>
          <w:color w:val="000000"/>
        </w:rPr>
        <w:t xml:space="preserve">we did not expect </w:t>
      </w:r>
      <w:r w:rsidR="00E53B33">
        <w:rPr>
          <w:rFonts w:ascii="Times New Roman" w:eastAsia="Times New Roman" w:hAnsi="Times New Roman" w:cs="Times New Roman"/>
          <w:color w:val="000000"/>
        </w:rPr>
        <w:t>consumer-mediated nutrient dynamics</w:t>
      </w:r>
      <w:r w:rsidR="00E34FA8" w:rsidRPr="005F1E8D">
        <w:rPr>
          <w:rFonts w:ascii="Times New Roman" w:eastAsia="Times New Roman" w:hAnsi="Times New Roman" w:cs="Times New Roman"/>
          <w:color w:val="000000"/>
        </w:rPr>
        <w:t xml:space="preserve"> to contribute substantially to small-scale nutrient variability</w:t>
      </w:r>
      <w:commentRangeEnd w:id="10"/>
      <w:r w:rsidR="009962D6">
        <w:rPr>
          <w:rStyle w:val="CommentReference"/>
        </w:rPr>
        <w:commentReference w:id="10"/>
      </w:r>
      <w:r w:rsidR="00E34FA8" w:rsidRPr="005F1E8D">
        <w:rPr>
          <w:rFonts w:ascii="Times New Roman" w:eastAsia="Times New Roman" w:hAnsi="Times New Roman" w:cs="Times New Roman"/>
          <w:color w:val="000000"/>
        </w:rPr>
        <w:t>, but we hypothesize</w:t>
      </w:r>
      <w:r w:rsidR="009962D6">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01B772C2"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1" w:author="Isabelle Cote" w:date="2024-07-23T10:38:00Z" w16du:dateUtc="2024-07-23T17:38:00Z">
        <w:r w:rsidR="00DF22E5">
          <w:rPr>
            <w:rFonts w:ascii="Times New Roman" w:hAnsi="Times New Roman" w:cs="Times New Roman"/>
            <w:lang w:val="en-CA"/>
          </w:rPr>
          <w:t xml:space="preserve"> (cite RLS?)</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2"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79929FF1"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w:t>
      </w:r>
      <w:r>
        <w:rPr>
          <w:rFonts w:ascii="Times New Roman" w:hAnsi="Times New Roman" w:cs="Times New Roman"/>
          <w:lang w:val="en-CA"/>
        </w:rPr>
        <w:t xml:space="preserve"> at each site</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13"/>
      <w:commentRangeStart w:id="14"/>
      <w:r w:rsidR="00CF7FD0" w:rsidRPr="005F1E8D">
        <w:rPr>
          <w:rFonts w:ascii="Times New Roman" w:hAnsi="Times New Roman" w:cs="Times New Roman"/>
          <w:highlight w:val="green"/>
          <w:lang w:val="en-CA"/>
        </w:rPr>
        <w:t>Fig. 2</w:t>
      </w:r>
      <w:commentRangeEnd w:id="13"/>
      <w:r w:rsidR="00355A76">
        <w:rPr>
          <w:rStyle w:val="CommentReference"/>
        </w:rPr>
        <w:commentReference w:id="13"/>
      </w:r>
      <w:commentRangeEnd w:id="14"/>
      <w:r w:rsidR="00250785">
        <w:rPr>
          <w:rStyle w:val="CommentReference"/>
        </w:rPr>
        <w:commentReference w:id="14"/>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09708544"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5"/>
      <w:commentRangeStart w:id="16"/>
      <w:r w:rsidR="007268C2" w:rsidRPr="005F1E8D">
        <w:rPr>
          <w:rFonts w:ascii="Times New Roman" w:hAnsi="Times New Roman" w:cs="Times New Roman"/>
          <w:color w:val="000000"/>
          <w:lang w:val="en-CA"/>
        </w:rPr>
        <w:t>Lim, unpublished data</w:t>
      </w:r>
      <w:commentRangeEnd w:id="15"/>
      <w:r w:rsidR="001D7BE9">
        <w:rPr>
          <w:rStyle w:val="CommentReference"/>
        </w:rPr>
        <w:commentReference w:id="15"/>
      </w:r>
      <w:commentRangeEnd w:id="16"/>
      <w:r w:rsidR="0067503F">
        <w:rPr>
          <w:rStyle w:val="CommentReference"/>
        </w:rPr>
        <w:commentReference w:id="16"/>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These methods produce similar results, although the Holmes single spike method is associated with increased 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9D0BF45"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Macrocystis </w:t>
      </w:r>
      <w:proofErr w:type="spellStart"/>
      <w:r w:rsidR="0067503F" w:rsidRPr="0067503F">
        <w:rPr>
          <w:rFonts w:ascii="Times New Roman" w:hAnsi="Times New Roman" w:cs="Times New Roman"/>
          <w:i/>
          <w:lang w:val="en-CA"/>
        </w:rPr>
        <w:t>pyrifera</w:t>
      </w:r>
      <w:proofErr w:type="spellEnd"/>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proofErr w:type="spellStart"/>
      <w:r w:rsidR="0067503F" w:rsidRPr="0067503F">
        <w:rPr>
          <w:rFonts w:ascii="Times New Roman" w:hAnsi="Times New Roman" w:cs="Times New Roman"/>
          <w:i/>
          <w:lang w:val="en-CA"/>
        </w:rPr>
        <w:t>Nereocystis</w:t>
      </w:r>
      <w:proofErr w:type="spellEnd"/>
      <w:r w:rsidR="0067503F" w:rsidRPr="0067503F">
        <w:rPr>
          <w:rFonts w:ascii="Times New Roman" w:hAnsi="Times New Roman" w:cs="Times New Roman"/>
          <w:i/>
          <w:lang w:val="en-CA"/>
        </w:rPr>
        <w:t xml:space="preserve"> </w:t>
      </w:r>
      <w:proofErr w:type="spellStart"/>
      <w:r w:rsidR="0070501D" w:rsidRPr="0070501D">
        <w:rPr>
          <w:rFonts w:ascii="Times New Roman" w:hAnsi="Times New Roman" w:cs="Times New Roman"/>
          <w:i/>
          <w:lang w:val="en-CA"/>
        </w:rPr>
        <w:t>luetkeana</w:t>
      </w:r>
      <w:proofErr w:type="spellEnd"/>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576692"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00576692"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w:t>
      </w:r>
      <w:r w:rsidR="001F79DB" w:rsidRPr="005F1E8D">
        <w:rPr>
          <w:rFonts w:ascii="Times New Roman" w:hAnsi="Times New Roman" w:cs="Times New Roman"/>
          <w:lang w:val="en-CA"/>
        </w:rPr>
        <w:lastRenderedPageBreak/>
        <w:t>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7"/>
      <w:r w:rsidR="00895C86" w:rsidRPr="005F1E8D">
        <w:rPr>
          <w:rFonts w:ascii="Times New Roman" w:hAnsi="Times New Roman" w:cs="Times New Roman"/>
          <w:lang w:val="en-CA"/>
        </w:rPr>
        <w:t>depth</w:t>
      </w:r>
      <w:commentRangeEnd w:id="17"/>
      <w:r w:rsidR="00152CBA" w:rsidRPr="005F1E8D">
        <w:rPr>
          <w:rStyle w:val="CommentReference"/>
          <w:rFonts w:ascii="Times New Roman" w:hAnsi="Times New Roman" w:cs="Times New Roman"/>
        </w:rPr>
        <w:commentReference w:id="17"/>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8"/>
      <w:commentRangeStart w:id="19"/>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8"/>
      <w:r w:rsidR="00F17ED1">
        <w:rPr>
          <w:rStyle w:val="CommentReference"/>
        </w:rPr>
        <w:commentReference w:id="18"/>
      </w:r>
      <w:commentRangeEnd w:id="19"/>
      <w:r w:rsidR="000C156B">
        <w:rPr>
          <w:rStyle w:val="CommentReference"/>
        </w:rPr>
        <w:commentReference w:id="19"/>
      </w:r>
      <w:r w:rsidR="00136DB7" w:rsidRPr="005F1E8D">
        <w:rPr>
          <w:rFonts w:ascii="Times New Roman" w:hAnsi="Times New Roman" w:cs="Times New Roman"/>
          <w:i/>
          <w:lang w:val="en-CA"/>
        </w:rPr>
        <w:t>) variation</w:t>
      </w:r>
    </w:p>
    <w:p w14:paraId="0B61C2E1" w14:textId="1F58E8D6"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xml:space="preserve">, a wide, exposed bay that opens on Trevor </w:t>
      </w:r>
      <w:r w:rsidR="000C156B">
        <w:rPr>
          <w:rFonts w:ascii="Times New Roman" w:hAnsi="Times New Roman" w:cs="Times New Roman"/>
          <w:lang w:val="en-CA"/>
        </w:rPr>
        <w:lastRenderedPageBreak/>
        <w:t>Channel (Fig. 1),</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26390B33"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(Fig. 1),</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lastRenderedPageBreak/>
        <w:t xml:space="preserve">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AD18E99"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4765FAC5"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w:t>
      </w:r>
      <w:r w:rsidR="00880269">
        <w:rPr>
          <w:rFonts w:ascii="Times New Roman" w:hAnsi="Times New Roman" w:cs="Times New Roman"/>
          <w:lang w:val="en-CA"/>
        </w:rPr>
        <w:t xml:space="preserve">estimates </w:t>
      </w:r>
      <w:r w:rsidRPr="005F1E8D">
        <w:rPr>
          <w:rFonts w:ascii="Times New Roman" w:hAnsi="Times New Roman" w:cs="Times New Roman"/>
          <w:lang w:val="en-CA"/>
        </w:rPr>
        <w:t xml:space="preserve">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w:t>
      </w:r>
      <w:r w:rsidR="00920FC5" w:rsidRPr="005F1E8D">
        <w:rPr>
          <w:rFonts w:ascii="Times New Roman" w:hAnsi="Times New Roman" w:cs="Times New Roman"/>
          <w:highlight w:val="green"/>
          <w:lang w:val="en-CA"/>
        </w:rPr>
        <w:lastRenderedPageBreak/>
        <w:t xml:space="preserve">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0"/>
      <w:commentRangeStart w:id="21"/>
      <w:r w:rsidR="00792779">
        <w:rPr>
          <w:rFonts w:ascii="Times New Roman" w:hAnsi="Times New Roman" w:cs="Times New Roman"/>
          <w:lang w:val="en-CA"/>
        </w:rPr>
        <w:t>.</w:t>
      </w:r>
      <w:commentRangeEnd w:id="20"/>
      <w:r w:rsidR="00F17ED1">
        <w:rPr>
          <w:rStyle w:val="CommentReference"/>
        </w:rPr>
        <w:commentReference w:id="20"/>
      </w:r>
      <w:commentRangeEnd w:id="21"/>
      <w:r w:rsidR="00F013CE">
        <w:rPr>
          <w:rStyle w:val="CommentReference"/>
        </w:rPr>
        <w:commentReference w:id="21"/>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We downloaded tide height data from the website: </w:t>
      </w:r>
      <w:hyperlink r:id="rId12"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1819471F"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22"/>
      <w:r w:rsidR="002B6ECC" w:rsidRPr="005F1E8D">
        <w:rPr>
          <w:rFonts w:ascii="Times New Roman" w:hAnsi="Times New Roman" w:cs="Times New Roman"/>
          <w:lang w:val="en-CA"/>
        </w:rPr>
        <w:t xml:space="preserve">the best metrics </w:t>
      </w:r>
      <w:commentRangeEnd w:id="22"/>
      <w:r w:rsidR="00F013CE">
        <w:rPr>
          <w:rStyle w:val="CommentReference"/>
        </w:rPr>
        <w:commentReference w:id="22"/>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F013CE">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F245223"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w:t>
      </w:r>
      <w:r w:rsidR="00E221AC">
        <w:rPr>
          <w:rFonts w:ascii="Times New Roman" w:hAnsi="Times New Roman" w:cs="Times New Roman"/>
          <w:color w:val="000000"/>
          <w:lang w:val="en-CA"/>
        </w:rPr>
        <w:t>3</w:t>
      </w:r>
      <w:r w:rsidR="00E32297"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w:t>
      </w:r>
      <w:r w:rsidR="00E221AC">
        <w:rPr>
          <w:rFonts w:ascii="Times New Roman" w:hAnsi="Times New Roman" w:cs="Times New Roman"/>
          <w:color w:val="000000"/>
          <w:lang w:val="en-CA"/>
        </w:rPr>
        <w:t xml:space="preserve">using </w:t>
      </w:r>
      <w:proofErr w:type="spellStart"/>
      <w:proofErr w:type="gramStart"/>
      <w:r w:rsidR="00E221AC" w:rsidRPr="005F1E8D">
        <w:rPr>
          <w:rFonts w:ascii="Times New Roman" w:hAnsi="Times New Roman" w:cs="Times New Roman"/>
          <w:lang w:val="en-CA"/>
        </w:rPr>
        <w:t>DHARMa</w:t>
      </w:r>
      <w:proofErr w:type="spellEnd"/>
      <w:r w:rsidR="00E221AC" w:rsidRPr="005F1E8D">
        <w:rPr>
          <w:rFonts w:ascii="Times New Roman" w:hAnsi="Times New Roman" w:cs="Times New Roman"/>
          <w:lang w:val="en-CA"/>
        </w:rPr>
        <w:t>::</w:t>
      </w:r>
      <w:proofErr w:type="spellStart"/>
      <w:proofErr w:type="gramEnd"/>
      <w:r w:rsidR="00E221AC" w:rsidRPr="005F1E8D">
        <w:rPr>
          <w:rFonts w:ascii="Times New Roman" w:hAnsi="Times New Roman" w:cs="Times New Roman"/>
          <w:lang w:val="en-CA"/>
        </w:rPr>
        <w:t>simulateResiduals</w:t>
      </w:r>
      <w:proofErr w:type="spellEnd"/>
      <w:r w:rsidR="00E32297" w:rsidRPr="005F1E8D">
        <w:rPr>
          <w:rFonts w:ascii="Times New Roman" w:hAnsi="Times New Roman" w:cs="Times New Roman"/>
          <w:color w:val="000000"/>
          <w:lang w:val="en-CA"/>
        </w:rPr>
        <w:t xml:space="preser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r w:rsidR="00E85DC2" w:rsidRPr="00E85DC2">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e ran additional models considering the effect of only the most abundant families of fishes and invertebrates</w:t>
      </w:r>
      <w:r w:rsidR="00480B9F">
        <w:rPr>
          <w:rFonts w:ascii="Times New Roman" w:hAnsi="Times New Roman" w:cs="Times New Roman"/>
          <w:lang w:val="en-CA"/>
        </w:rPr>
        <w:t>,</w:t>
      </w:r>
      <w:r w:rsidR="00E85DC2">
        <w:rPr>
          <w:rFonts w:ascii="Times New Roman" w:hAnsi="Times New Roman" w:cs="Times New Roman"/>
          <w:lang w:val="en-CA"/>
        </w:rPr>
        <w:t xml:space="preserve"> which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5EA7A0D1"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lastRenderedPageBreak/>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F37657">
        <w:rPr>
          <w:rFonts w:ascii="Times New Roman" w:hAnsi="Times New Roman" w:cs="Times New Roman"/>
          <w:color w:val="000000"/>
          <w:highlight w:val="yellow"/>
          <w:lang w:val="en-CA"/>
        </w:rPr>
        <w:t>(Supplement</w:t>
      </w:r>
      <w:commentRangeStart w:id="23"/>
      <w:r w:rsidR="0026774C" w:rsidRPr="00F37657">
        <w:rPr>
          <w:rFonts w:ascii="Times New Roman" w:hAnsi="Times New Roman" w:cs="Times New Roman"/>
          <w:color w:val="000000"/>
          <w:highlight w:val="yellow"/>
          <w:lang w:val="en-CA"/>
        </w:rPr>
        <w:t>???</w:t>
      </w:r>
      <w:commentRangeEnd w:id="23"/>
      <w:r w:rsidR="0026774C">
        <w:rPr>
          <w:rStyle w:val="CommentReference"/>
        </w:rPr>
        <w:commentReference w:id="23"/>
      </w:r>
      <w:r w:rsidR="0026774C" w:rsidRPr="00F37657">
        <w:rPr>
          <w:rFonts w:ascii="Times New Roman" w:hAnsi="Times New Roman" w:cs="Times New Roman"/>
          <w:color w:val="000000"/>
          <w:highlight w:val="yellow"/>
          <w:lang w:val="en-CA"/>
        </w:rPr>
        <w:t>)</w:t>
      </w:r>
      <w:r w:rsidR="0026774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29F60F2C"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21D6B91C"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w:t>
      </w:r>
      <w:r w:rsidR="00FF474D">
        <w:rPr>
          <w:rFonts w:ascii="Times New Roman" w:hAnsi="Times New Roman" w:cs="Times New Roman"/>
          <w:lang w:val="en-CA"/>
        </w:rPr>
        <w:t>difference</w:t>
      </w:r>
      <w:r w:rsidR="00FF474D" w:rsidRPr="005F1E8D">
        <w:rPr>
          <w:rFonts w:ascii="Times New Roman" w:hAnsi="Times New Roman" w:cs="Times New Roman"/>
          <w:lang w:val="en-CA"/>
        </w:rPr>
        <w:t xml:space="preserve"> </w:t>
      </w:r>
      <w:r w:rsidR="00C673A5" w:rsidRPr="005F1E8D">
        <w:rPr>
          <w:rFonts w:ascii="Times New Roman" w:hAnsi="Times New Roman" w:cs="Times New Roman"/>
          <w:lang w:val="en-CA"/>
        </w:rPr>
        <w:t xml:space="preserve">± SE; </w:t>
      </w:r>
      <w:r w:rsidRPr="005F1E8D">
        <w:rPr>
          <w:rFonts w:ascii="Times New Roman" w:hAnsi="Times New Roman" w:cs="Times New Roman"/>
          <w:lang w:val="en-CA"/>
        </w:rPr>
        <w:t>0.1</w:t>
      </w:r>
      <w:r w:rsidR="00D07BC0">
        <w:rPr>
          <w:rFonts w:ascii="Times New Roman" w:hAnsi="Times New Roman" w:cs="Times New Roman"/>
          <w:lang w:val="en-CA"/>
        </w:rPr>
        <w:t>6</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w:t>
      </w:r>
      <w:r w:rsidR="00D07BC0">
        <w:rPr>
          <w:rFonts w:ascii="Times New Roman" w:hAnsi="Times New Roman" w:cs="Times New Roman"/>
          <w:lang w:val="en-CA"/>
        </w:rPr>
        <w:t>1</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677126">
        <w:rPr>
          <w:rFonts w:ascii="Times New Roman" w:hAnsi="Times New Roman" w:cs="Times New Roman"/>
          <w:lang w:val="en-CA"/>
        </w:rPr>
        <w:t>by 0.</w:t>
      </w:r>
      <w:r w:rsidR="00D07BC0">
        <w:rPr>
          <w:rFonts w:ascii="Times New Roman" w:hAnsi="Times New Roman" w:cs="Times New Roman"/>
          <w:lang w:val="en-CA"/>
        </w:rPr>
        <w:t>54</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FF474D">
        <w:rPr>
          <w:rFonts w:ascii="Times New Roman" w:hAnsi="Times New Roman" w:cs="Times New Roman"/>
          <w:lang w:val="en-CA"/>
        </w:rPr>
        <w:t xml:space="preserve"> per unit of</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FF474D">
        <w:rPr>
          <w:rFonts w:ascii="Times New Roman" w:hAnsi="Times New Roman" w:cs="Times New Roman"/>
          <w:lang w:val="en-CA"/>
        </w:rPr>
        <w:t>(kg/m</w:t>
      </w:r>
      <w:r w:rsidR="00FF474D">
        <w:rPr>
          <w:rFonts w:ascii="Times New Roman" w:hAnsi="Times New Roman" w:cs="Times New Roman"/>
          <w:vertAlign w:val="superscript"/>
          <w:lang w:val="en-CA"/>
        </w:rPr>
        <w:t>2</w:t>
      </w:r>
      <w:r w:rsidR="00FF474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 xml:space="preserve">p &lt; 0.001), </w:t>
      </w:r>
      <w:r w:rsidR="00D07BC0">
        <w:rPr>
          <w:rFonts w:ascii="Times New Roman" w:hAnsi="Times New Roman" w:cs="Times New Roman"/>
          <w:lang w:val="en-CA"/>
        </w:rPr>
        <w:t xml:space="preserve">and with </w:t>
      </w:r>
      <w:r w:rsidR="00C673A5" w:rsidRPr="005F1E8D">
        <w:rPr>
          <w:rFonts w:ascii="Times New Roman" w:hAnsi="Times New Roman" w:cs="Times New Roman"/>
          <w:lang w:val="en-CA"/>
        </w:rPr>
        <w:t>tide exchange (</w:t>
      </w:r>
      <w:r w:rsidR="00677126">
        <w:rPr>
          <w:rFonts w:ascii="Times New Roman" w:hAnsi="Times New Roman" w:cs="Times New Roman"/>
          <w:lang w:val="en-CA"/>
        </w:rPr>
        <w:t>0.</w:t>
      </w:r>
      <w:r w:rsidR="00D07BC0">
        <w:rPr>
          <w:rFonts w:ascii="Times New Roman" w:hAnsi="Times New Roman" w:cs="Times New Roman"/>
          <w:lang w:val="en-CA"/>
        </w:rPr>
        <w:t>36</w:t>
      </w:r>
      <w:r w:rsidR="00677126">
        <w:rPr>
          <w:rFonts w:ascii="Times New Roman" w:hAnsi="Times New Roman" w:cs="Times New Roman"/>
          <w:lang w:val="en-CA"/>
        </w:rPr>
        <w:t xml:space="preserve"> ± 0.1</w:t>
      </w:r>
      <w:r w:rsidR="00D07BC0">
        <w:rPr>
          <w:rFonts w:ascii="Times New Roman" w:hAnsi="Times New Roman" w:cs="Times New Roman"/>
          <w:lang w:val="en-CA"/>
        </w:rPr>
        <w:t>3</w:t>
      </w:r>
      <w:r w:rsidR="00677126">
        <w:rPr>
          <w:rFonts w:ascii="Times New Roman" w:hAnsi="Times New Roman" w:cs="Times New Roman"/>
          <w:lang w:val="en-CA"/>
        </w:rPr>
        <w:t xml:space="preserve"> </w:t>
      </w:r>
      <w:commentRangeStart w:id="24"/>
      <w:proofErr w:type="spellStart"/>
      <w:r w:rsidR="00677126">
        <w:rPr>
          <w:rFonts w:ascii="Times New Roman" w:hAnsi="Times New Roman" w:cs="Times New Roman"/>
          <w:lang w:val="en-CA"/>
        </w:rPr>
        <w:t>μM</w:t>
      </w:r>
      <w:proofErr w:type="spellEnd"/>
      <w:r w:rsidR="009B2182">
        <w:rPr>
          <w:rFonts w:ascii="Times New Roman" w:hAnsi="Times New Roman" w:cs="Times New Roman"/>
          <w:lang w:val="en-CA"/>
        </w:rPr>
        <w:t xml:space="preserve"> per unit of tidal speed, </w:t>
      </w:r>
      <w:r w:rsidR="00677126">
        <w:rPr>
          <w:rFonts w:ascii="Times New Roman" w:hAnsi="Times New Roman" w:cs="Times New Roman"/>
          <w:lang w:val="en-CA"/>
        </w:rPr>
        <w:t>m/</w:t>
      </w:r>
      <w:r w:rsidR="00137407">
        <w:rPr>
          <w:rFonts w:ascii="Times New Roman" w:hAnsi="Times New Roman" w:cs="Times New Roman"/>
          <w:lang w:val="en-CA"/>
        </w:rPr>
        <w:t>s</w:t>
      </w:r>
      <w:commentRangeEnd w:id="24"/>
      <w:r w:rsidR="00137407">
        <w:rPr>
          <w:rStyle w:val="CommentReference"/>
        </w:rPr>
        <w:commentReference w:id="24"/>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w:t>
      </w:r>
      <w:r w:rsidR="00A067A6">
        <w:rPr>
          <w:rFonts w:ascii="Times New Roman" w:hAnsi="Times New Roman" w:cs="Times New Roman"/>
          <w:lang w:val="en-CA"/>
        </w:rPr>
        <w:lastRenderedPageBreak/>
        <w:t xml:space="preserve">found limited evidence for an effect of </w:t>
      </w:r>
      <w:commentRangeStart w:id="25"/>
      <w:r w:rsidR="00C673A5" w:rsidRPr="005F1E8D">
        <w:rPr>
          <w:rFonts w:ascii="Times New Roman" w:hAnsi="Times New Roman" w:cs="Times New Roman"/>
          <w:lang w:val="en-CA"/>
        </w:rPr>
        <w:t xml:space="preserve">animal biomass </w:t>
      </w:r>
      <w:commentRangeEnd w:id="25"/>
      <w:r w:rsidR="00A067A6">
        <w:rPr>
          <w:rStyle w:val="CommentReference"/>
        </w:rPr>
        <w:commentReference w:id="25"/>
      </w:r>
      <w:r w:rsidR="00C673A5" w:rsidRPr="005F1E8D">
        <w:rPr>
          <w:rFonts w:ascii="Times New Roman" w:hAnsi="Times New Roman" w:cs="Times New Roman"/>
          <w:lang w:val="en-CA"/>
        </w:rPr>
        <w:t>(p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26"/>
      <w:r w:rsidR="00D07BC0" w:rsidRPr="005F1E8D">
        <w:rPr>
          <w:rFonts w:ascii="Times New Roman" w:hAnsi="Times New Roman" w:cs="Times New Roman"/>
          <w:lang w:val="en-CA"/>
        </w:rPr>
        <w:t xml:space="preserve">survey depth </w:t>
      </w:r>
      <w:commentRangeEnd w:id="26"/>
      <w:r w:rsidR="00A067A6">
        <w:rPr>
          <w:rStyle w:val="CommentReference"/>
        </w:rPr>
        <w:commentReference w:id="26"/>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D07BC0" w:rsidRPr="005F1E8D">
        <w:rPr>
          <w:rFonts w:ascii="Times New Roman" w:hAnsi="Times New Roman" w:cs="Times New Roman"/>
          <w:lang w:val="en-CA"/>
        </w:rPr>
        <w:t>) (</w:t>
      </w:r>
      <w:r w:rsidR="00D07BC0" w:rsidRPr="005F1E8D">
        <w:rPr>
          <w:rFonts w:ascii="Times New Roman" w:hAnsi="Times New Roman" w:cs="Times New Roman"/>
          <w:highlight w:val="green"/>
          <w:lang w:val="en-CA"/>
        </w:rPr>
        <w:t>Fig. 4a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27"/>
      <w:r w:rsidR="00245F48" w:rsidRPr="005F1E8D">
        <w:rPr>
          <w:rFonts w:ascii="Times New Roman" w:hAnsi="Times New Roman" w:cs="Times New Roman"/>
          <w:lang w:val="en-CA"/>
        </w:rPr>
        <w:t xml:space="preserve">Shannon diversity </w:t>
      </w:r>
      <w:commentRangeEnd w:id="27"/>
      <w:r w:rsidR="00A067A6">
        <w:rPr>
          <w:rStyle w:val="CommentReference"/>
        </w:rPr>
        <w:commentReference w:id="27"/>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C673A5" w:rsidRPr="005F1E8D">
        <w:rPr>
          <w:rFonts w:ascii="Times New Roman" w:hAnsi="Times New Roman" w:cs="Times New Roman"/>
          <w:lang w:val="en-CA"/>
        </w:rPr>
        <w:t xml:space="preserve">We found evidence of a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w:t>
      </w:r>
      <w:r w:rsidR="00D07BC0">
        <w:rPr>
          <w:rFonts w:ascii="Times New Roman" w:hAnsi="Times New Roman" w:cs="Times New Roman"/>
          <w:lang w:val="en-CA"/>
        </w:rPr>
        <w:t>5</w:t>
      </w:r>
      <w:r w:rsidR="00677126" w:rsidRPr="005F1E8D">
        <w:rPr>
          <w:rFonts w:ascii="Times New Roman" w:hAnsi="Times New Roman" w:cs="Times New Roman"/>
          <w:lang w:val="en-CA"/>
        </w:rPr>
        <w:t xml:space="preserve"> ± 0.</w:t>
      </w:r>
      <w:r w:rsidR="00D07BC0">
        <w:rPr>
          <w:rFonts w:ascii="Times New Roman" w:hAnsi="Times New Roman" w:cs="Times New Roman"/>
          <w:lang w:val="en-CA"/>
        </w:rPr>
        <w:t>71</w:t>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(- 0.</w:t>
      </w:r>
      <w:r w:rsidR="00D07BC0">
        <w:rPr>
          <w:rFonts w:ascii="Times New Roman" w:hAnsi="Times New Roman" w:cs="Times New Roman"/>
          <w:lang w:val="en-CA"/>
        </w:rPr>
        <w:t>83</w:t>
      </w:r>
      <w:r w:rsidR="00222A9E">
        <w:rPr>
          <w:rFonts w:ascii="Times New Roman" w:hAnsi="Times New Roman" w:cs="Times New Roman"/>
          <w:lang w:val="en-CA"/>
        </w:rPr>
        <w:t xml:space="preserve"> ± 0.</w:t>
      </w:r>
      <w:r w:rsidR="00D07BC0">
        <w:rPr>
          <w:rFonts w:ascii="Times New Roman" w:hAnsi="Times New Roman" w:cs="Times New Roman"/>
          <w:lang w:val="en-CA"/>
        </w:rPr>
        <w:t>30</w:t>
      </w:r>
      <w:r w:rsidR="00222A9E">
        <w:rPr>
          <w:rFonts w:ascii="Times New Roman" w:hAnsi="Times New Roman" w:cs="Times New Roman"/>
          <w:lang w:val="en-CA"/>
        </w:rPr>
        <w:t>, p = 0.0</w:t>
      </w:r>
      <w:r w:rsidR="00D07BC0">
        <w:rPr>
          <w:rFonts w:ascii="Times New Roman" w:hAnsi="Times New Roman" w:cs="Times New Roman"/>
          <w:lang w:val="en-CA"/>
        </w:rPr>
        <w:t>06</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w:t>
      </w:r>
      <w:r w:rsidR="00D07BC0">
        <w:rPr>
          <w:rFonts w:ascii="Times New Roman" w:hAnsi="Times New Roman" w:cs="Times New Roman"/>
          <w:lang w:val="en-CA"/>
        </w:rPr>
        <w:t>- 4.23 ± 1.45</w:t>
      </w:r>
      <w:r w:rsidR="00A84F17">
        <w:rPr>
          <w:rFonts w:ascii="Times New Roman" w:hAnsi="Times New Roman" w:cs="Times New Roman"/>
          <w:lang w:val="en-CA"/>
        </w:rPr>
        <w:t>,</w:t>
      </w:r>
      <w:r w:rsidR="00D07BC0">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w:t>
      </w:r>
      <w:r w:rsidR="00846C5B">
        <w:rPr>
          <w:rFonts w:ascii="Times New Roman" w:hAnsi="Times New Roman" w:cs="Times New Roman"/>
          <w:lang w:val="en-CA"/>
        </w:rPr>
        <w:t>-0.24</w:t>
      </w:r>
      <w:r w:rsidR="00846C5B" w:rsidRPr="005F1E8D">
        <w:rPr>
          <w:rFonts w:ascii="Times New Roman" w:hAnsi="Times New Roman" w:cs="Times New Roman"/>
          <w:lang w:val="en-CA"/>
        </w:rPr>
        <w:t xml:space="preserve"> ± 0.</w:t>
      </w:r>
      <w:r w:rsidR="00846C5B">
        <w:rPr>
          <w:rFonts w:ascii="Times New Roman" w:hAnsi="Times New Roman" w:cs="Times New Roman"/>
          <w:lang w:val="en-CA"/>
        </w:rPr>
        <w:t xml:space="preserve">08 </w:t>
      </w:r>
      <w:proofErr w:type="spellStart"/>
      <w:r w:rsidR="00846C5B">
        <w:rPr>
          <w:rFonts w:ascii="Times New Roman" w:hAnsi="Times New Roman" w:cs="Times New Roman"/>
          <w:lang w:val="en-CA"/>
        </w:rPr>
        <w:t>μM</w:t>
      </w:r>
      <w:proofErr w:type="spellEnd"/>
      <w:r w:rsidR="00846C5B" w:rsidRPr="005F1E8D">
        <w:rPr>
          <w:rFonts w:ascii="Times New Roman" w:hAnsi="Times New Roman" w:cs="Times New Roman"/>
          <w:lang w:val="en-CA"/>
        </w:rPr>
        <w:t>,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Fig. 4a</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6D4E83CB"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w:t>
      </w:r>
      <w:r w:rsidR="00122300">
        <w:rPr>
          <w:rFonts w:ascii="Times New Roman" w:hAnsi="Times New Roman" w:cs="Times New Roman"/>
          <w:lang w:val="en-CA"/>
        </w:rPr>
        <w:t xml:space="preserve">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/hour</w:t>
      </w:r>
      <w:r w:rsidR="00122300">
        <w:rPr>
          <w:rFonts w:ascii="Times New Roman" w:hAnsi="Times New Roman" w:cs="Times New Roman"/>
          <w:lang w:val="en-CA"/>
        </w:rPr>
        <w:t xml:space="preserve">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/hour</w:t>
      </w:r>
      <w:r w:rsidR="00122300">
        <w:rPr>
          <w:rFonts w:ascii="Times New Roman" w:hAnsi="Times New Roman" w:cs="Times New Roman"/>
          <w:lang w:val="en-CA"/>
        </w:rPr>
        <w:t xml:space="preserve">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1F1DDA">
        <w:rPr>
          <w:rFonts w:ascii="Times New Roman" w:hAnsi="Times New Roman" w:cs="Times New Roman"/>
          <w:highlight w:val="green"/>
          <w:lang w:val="en-CA"/>
        </w:rPr>
        <w:t>5</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/hour</w:t>
      </w:r>
      <w:r w:rsidR="007C783C">
        <w:rPr>
          <w:rFonts w:ascii="Times New Roman" w:hAnsi="Times New Roman" w:cs="Times New Roman"/>
          <w:lang w:val="en-CA"/>
        </w:rPr>
        <w:t xml:space="preserve">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/hour</w:t>
      </w:r>
      <w:r w:rsidR="007C783C">
        <w:rPr>
          <w:rFonts w:ascii="Times New Roman" w:hAnsi="Times New Roman" w:cs="Times New Roman"/>
          <w:lang w:val="en-CA"/>
        </w:rPr>
        <w:t xml:space="preserve">.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r w:rsidRPr="00094986">
        <w:rPr>
          <w:rFonts w:ascii="Times New Roman" w:hAnsi="Times New Roman" w:cs="Times New Roman"/>
          <w:b/>
          <w:bCs/>
          <w:lang w:val="en-CA"/>
        </w:rPr>
        <w:t>Discussion</w:t>
      </w:r>
    </w:p>
    <w:p w14:paraId="3947080B" w14:textId="46D45A3F" w:rsidR="004934ED" w:rsidRPr="009A1C7A" w:rsidRDefault="00094986" w:rsidP="00623DD8">
      <w:pPr>
        <w:spacing w:line="480" w:lineRule="auto"/>
        <w:rPr>
          <w:rFonts w:ascii="Times New Roman" w:hAnsi="Times New Roman" w:cs="Times New Roman"/>
          <w:i/>
          <w:iCs/>
          <w:lang w:val="en-CA"/>
        </w:rPr>
      </w:pPr>
      <w:r w:rsidRPr="009A1C7A">
        <w:rPr>
          <w:rFonts w:ascii="Times New Roman" w:hAnsi="Times New Roman" w:cs="Times New Roman"/>
          <w:i/>
          <w:iCs/>
          <w:lang w:val="en-CA"/>
        </w:rPr>
        <w:t>Paragraph 1: restate results from each spatial scale and address hypotheses</w:t>
      </w:r>
      <w:r w:rsidR="00057B69" w:rsidRPr="009A1C7A">
        <w:rPr>
          <w:rFonts w:ascii="Times New Roman" w:hAnsi="Times New Roman" w:cs="Times New Roman"/>
          <w:i/>
          <w:iCs/>
          <w:lang w:val="en-CA"/>
        </w:rPr>
        <w:t>.</w:t>
      </w:r>
      <w:r w:rsidR="009F603D" w:rsidRPr="009A1C7A">
        <w:rPr>
          <w:rFonts w:ascii="Times New Roman" w:hAnsi="Times New Roman" w:cs="Times New Roman"/>
          <w:i/>
          <w:iCs/>
          <w:lang w:val="en-CA"/>
        </w:rPr>
        <w:t xml:space="preserve"> </w:t>
      </w:r>
      <w:r w:rsidR="002F18B0" w:rsidRPr="009A1C7A">
        <w:rPr>
          <w:rFonts w:ascii="Times New Roman" w:hAnsi="Times New Roman" w:cs="Times New Roman"/>
          <w:i/>
          <w:iCs/>
          <w:lang w:val="en-CA"/>
        </w:rPr>
        <w:t>We found evidence of meso-scale, small-scale, and very small-scale variation in NH</w:t>
      </w:r>
      <w:r w:rsidR="002F18B0" w:rsidRPr="009A1C7A">
        <w:rPr>
          <w:rFonts w:ascii="Cambria Math" w:hAnsi="Cambria Math" w:cs="Cambria Math"/>
          <w:i/>
          <w:iCs/>
          <w:lang w:val="en-CA"/>
        </w:rPr>
        <w:t>₄⁺</w:t>
      </w:r>
      <w:r w:rsidR="002F18B0" w:rsidRPr="009A1C7A">
        <w:rPr>
          <w:rFonts w:ascii="Times New Roman" w:hAnsi="Times New Roman" w:cs="Times New Roman"/>
          <w:i/>
          <w:iCs/>
          <w:lang w:val="en-CA"/>
        </w:rPr>
        <w:t xml:space="preserve">. </w:t>
      </w:r>
      <w:r w:rsidR="00947079" w:rsidRPr="009A1C7A">
        <w:rPr>
          <w:rFonts w:ascii="Times New Roman" w:hAnsi="Times New Roman" w:cs="Times New Roman"/>
          <w:i/>
          <w:iCs/>
          <w:lang w:val="en-CA"/>
        </w:rPr>
        <w:t>Flow and animals</w:t>
      </w:r>
      <w:r w:rsidR="00641243" w:rsidRPr="009A1C7A">
        <w:rPr>
          <w:rFonts w:ascii="Times New Roman" w:hAnsi="Times New Roman" w:cs="Times New Roman"/>
          <w:i/>
          <w:iCs/>
          <w:lang w:val="en-CA"/>
        </w:rPr>
        <w:t xml:space="preserve"> were important at all three scales. </w:t>
      </w:r>
      <w:r w:rsidR="00947079" w:rsidRPr="009A1C7A">
        <w:rPr>
          <w:rFonts w:ascii="Times New Roman" w:hAnsi="Times New Roman" w:cs="Times New Roman"/>
          <w:i/>
          <w:iCs/>
          <w:lang w:val="en-CA"/>
        </w:rPr>
        <w:t xml:space="preserve"> </w:t>
      </w:r>
      <w:r w:rsidR="002F18B0" w:rsidRPr="009A1C7A">
        <w:rPr>
          <w:rFonts w:ascii="Times New Roman" w:hAnsi="Times New Roman" w:cs="Times New Roman"/>
          <w:i/>
          <w:iCs/>
          <w:lang w:val="en-CA"/>
        </w:rPr>
        <w:t xml:space="preserve"> </w:t>
      </w:r>
    </w:p>
    <w:p w14:paraId="4CAE5107" w14:textId="52A7ACAF" w:rsidR="004934ED" w:rsidRDefault="004934ED" w:rsidP="009A1C7A">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We found evidence of meso- and small-scale variability, and mixed evidence for very small-scale variability of animal-regenerated nutrients. </w:t>
      </w:r>
      <w:r w:rsidR="004739F8">
        <w:rPr>
          <w:rFonts w:ascii="Times New Roman" w:hAnsi="Times New Roman" w:cs="Times New Roman"/>
          <w:lang w:val="en-CA"/>
        </w:rPr>
        <w:t xml:space="preserve">Ammonium varied up to </w:t>
      </w:r>
      <w:commentRangeStart w:id="28"/>
      <w:r w:rsidR="00D31F5B">
        <w:rPr>
          <w:rFonts w:ascii="Times New Roman" w:hAnsi="Times New Roman" w:cs="Times New Roman"/>
          <w:lang w:val="en-CA"/>
        </w:rPr>
        <w:t>1</w:t>
      </w:r>
      <w:r w:rsidR="00B23B37">
        <w:rPr>
          <w:rFonts w:ascii="Times New Roman" w:hAnsi="Times New Roman" w:cs="Times New Roman"/>
          <w:lang w:val="en-CA"/>
        </w:rPr>
        <w:t>6</w:t>
      </w:r>
      <w:commentRangeEnd w:id="28"/>
      <w:r w:rsidR="00B23B37">
        <w:rPr>
          <w:rFonts w:ascii="Times New Roman" w:hAnsi="Times New Roman" w:cs="Times New Roman"/>
          <w:lang w:val="en-CA"/>
        </w:rPr>
        <w:t>x</w:t>
      </w:r>
      <w:r w:rsidR="00A33386">
        <w:rPr>
          <w:rStyle w:val="CommentReference"/>
        </w:rPr>
        <w:commentReference w:id="28"/>
      </w:r>
      <w:r w:rsidR="004739F8">
        <w:rPr>
          <w:rFonts w:ascii="Times New Roman" w:hAnsi="Times New Roman" w:cs="Times New Roman"/>
          <w:lang w:val="en-CA"/>
        </w:rPr>
        <w:t xml:space="preserve"> between rocky reef sites, </w:t>
      </w:r>
      <w:commentRangeStart w:id="29"/>
      <w:r w:rsidR="00B23B37">
        <w:rPr>
          <w:rFonts w:ascii="Times New Roman" w:hAnsi="Times New Roman" w:cs="Times New Roman"/>
          <w:lang w:val="en-CA"/>
        </w:rPr>
        <w:t>1.9</w:t>
      </w:r>
      <w:commentRangeEnd w:id="29"/>
      <w:r w:rsidR="00B23B37">
        <w:rPr>
          <w:rFonts w:ascii="Times New Roman" w:hAnsi="Times New Roman" w:cs="Times New Roman"/>
          <w:lang w:val="en-CA"/>
        </w:rPr>
        <w:t>x</w:t>
      </w:r>
      <w:r w:rsidR="00F62DF9">
        <w:rPr>
          <w:rStyle w:val="CommentReference"/>
        </w:rPr>
        <w:commentReference w:id="29"/>
      </w:r>
      <w:r w:rsidR="004739F8">
        <w:rPr>
          <w:rFonts w:ascii="Times New Roman" w:hAnsi="Times New Roman" w:cs="Times New Roman"/>
          <w:lang w:val="en-CA"/>
        </w:rPr>
        <w:t xml:space="preserve"> inside vs outside kelp forests, and </w:t>
      </w:r>
      <w:commentRangeStart w:id="30"/>
      <w:r w:rsidR="00B23B37">
        <w:rPr>
          <w:rFonts w:ascii="Times New Roman" w:hAnsi="Times New Roman" w:cs="Times New Roman"/>
          <w:lang w:val="en-CA"/>
        </w:rPr>
        <w:t>4</w:t>
      </w:r>
      <w:r w:rsidR="00F1731A">
        <w:rPr>
          <w:rFonts w:ascii="Times New Roman" w:hAnsi="Times New Roman" w:cs="Times New Roman"/>
          <w:lang w:val="en-CA"/>
        </w:rPr>
        <w:t>0</w:t>
      </w:r>
      <w:commentRangeEnd w:id="30"/>
      <w:r w:rsidR="00B23B37">
        <w:rPr>
          <w:rFonts w:ascii="Times New Roman" w:hAnsi="Times New Roman" w:cs="Times New Roman"/>
          <w:lang w:val="en-CA"/>
        </w:rPr>
        <w:t>x</w:t>
      </w:r>
      <w:r w:rsidR="00F62DF9">
        <w:rPr>
          <w:rStyle w:val="CommentReference"/>
        </w:rPr>
        <w:commentReference w:id="30"/>
      </w:r>
      <w:r w:rsidR="004739F8">
        <w:rPr>
          <w:rFonts w:ascii="Times New Roman" w:hAnsi="Times New Roman" w:cs="Times New Roman"/>
          <w:lang w:val="en-CA"/>
        </w:rPr>
        <w:t xml:space="preserve"> between cages with </w:t>
      </w:r>
      <w:proofErr w:type="gramStart"/>
      <w:r w:rsidR="004739F8">
        <w:rPr>
          <w:rFonts w:ascii="Times New Roman" w:hAnsi="Times New Roman" w:cs="Times New Roman"/>
          <w:lang w:val="en-CA"/>
        </w:rPr>
        <w:t>crabs</w:t>
      </w:r>
      <w:proofErr w:type="gramEnd"/>
      <w:r w:rsidR="004739F8">
        <w:rPr>
          <w:rFonts w:ascii="Times New Roman" w:hAnsi="Times New Roman" w:cs="Times New Roman"/>
          <w:lang w:val="en-CA"/>
        </w:rPr>
        <w:t xml:space="preserve"> vs control cages which supports our hypothesis that animal-driven variability in nutrients is possible across all three spatial scales. </w:t>
      </w:r>
      <w:r>
        <w:rPr>
          <w:rFonts w:ascii="Times New Roman" w:hAnsi="Times New Roman" w:cs="Times New Roman"/>
          <w:lang w:val="en-CA"/>
        </w:rPr>
        <w:t>Across all three scales</w:t>
      </w:r>
      <w:r w:rsidR="004739F8">
        <w:rPr>
          <w:rFonts w:ascii="Times New Roman" w:hAnsi="Times New Roman" w:cs="Times New Roman"/>
          <w:lang w:val="en-CA"/>
        </w:rPr>
        <w:t>,</w:t>
      </w:r>
      <w:r>
        <w:rPr>
          <w:rFonts w:ascii="Times New Roman" w:hAnsi="Times New Roman" w:cs="Times New Roman"/>
          <w:lang w:val="en-CA"/>
        </w:rPr>
        <w:t xml:space="preserve"> water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xml:space="preserve">, but within sites moving water made kelps’ ability to slow flow and trap animal-regenerated nutrients more pronounced. In the very-small scale caging experiments we only detected an effect of animals in the protected, low flow inlet. </w:t>
      </w:r>
      <w:r w:rsidR="004739F8">
        <w:rPr>
          <w:rFonts w:ascii="Times New Roman" w:hAnsi="Times New Roman" w:cs="Times New Roman"/>
          <w:lang w:val="en-CA"/>
        </w:rPr>
        <w:t>--- conclusion ----</w:t>
      </w:r>
    </w:p>
    <w:p w14:paraId="7BD5CB5E" w14:textId="77777777" w:rsidR="00057B69" w:rsidRDefault="00057B69" w:rsidP="00623DD8">
      <w:pPr>
        <w:spacing w:line="480" w:lineRule="auto"/>
        <w:rPr>
          <w:rFonts w:ascii="Times New Roman" w:hAnsi="Times New Roman" w:cs="Times New Roman"/>
          <w:lang w:val="en-CA"/>
        </w:rPr>
      </w:pPr>
    </w:p>
    <w:p w14:paraId="7F6CB727" w14:textId="2F1C00DB" w:rsidR="00850D17" w:rsidRPr="00D5697E" w:rsidRDefault="00094986" w:rsidP="00850D17">
      <w:pPr>
        <w:spacing w:line="480" w:lineRule="auto"/>
        <w:rPr>
          <w:rFonts w:ascii="Times New Roman" w:hAnsi="Times New Roman" w:cs="Times New Roman"/>
          <w:i/>
          <w:iCs/>
          <w:lang w:val="en-CA"/>
        </w:rPr>
      </w:pPr>
      <w:r w:rsidRPr="00D5697E">
        <w:rPr>
          <w:rFonts w:ascii="Times New Roman" w:hAnsi="Times New Roman" w:cs="Times New Roman"/>
          <w:i/>
          <w:iCs/>
          <w:lang w:val="en-CA"/>
        </w:rPr>
        <w:t xml:space="preserve">Paragraph 2: Among-site. </w:t>
      </w:r>
      <w:r w:rsidR="00D5697E" w:rsidRPr="00D5697E">
        <w:rPr>
          <w:rFonts w:ascii="Times New Roman" w:hAnsi="Times New Roman" w:cs="Times New Roman"/>
          <w:i/>
          <w:iCs/>
          <w:lang w:val="en-CA"/>
        </w:rPr>
        <w:t xml:space="preserve">How does that measure up to other drivers of variability (nitrates from upwelling!) </w:t>
      </w:r>
    </w:p>
    <w:p w14:paraId="4C4DA8C3" w14:textId="48B89632" w:rsidR="00BA1DFE" w:rsidRPr="00BA1DFE" w:rsidRDefault="004036C6" w:rsidP="00BA1DFE">
      <w:pPr>
        <w:spacing w:line="480" w:lineRule="auto"/>
        <w:ind w:firstLine="360"/>
        <w:rPr>
          <w:rFonts w:ascii="Times New Roman" w:hAnsi="Times New Roman" w:cs="Times New Roman"/>
          <w:lang w:val="en-CA"/>
        </w:rPr>
      </w:pPr>
      <w:r w:rsidRPr="00BA1DFE">
        <w:rPr>
          <w:rFonts w:ascii="Times New Roman" w:hAnsi="Times New Roman" w:cs="Times New Roman"/>
          <w:lang w:val="en-CA"/>
        </w:rPr>
        <w:t xml:space="preserve">Among rocky reef sites, </w:t>
      </w:r>
      <w:r w:rsidR="002B53A4" w:rsidRPr="00BA1DFE">
        <w:rPr>
          <w:rFonts w:ascii="Times New Roman" w:hAnsi="Times New Roman" w:cs="Times New Roman"/>
          <w:lang w:val="en-CA"/>
        </w:rPr>
        <w:t xml:space="preserve">we detected a 15-fold difference in NH₄⁺ between the lowest and highest </w:t>
      </w:r>
      <w:commentRangeStart w:id="31"/>
      <w:r w:rsidR="002B53A4" w:rsidRPr="00BA1DFE">
        <w:rPr>
          <w:rFonts w:ascii="Times New Roman" w:hAnsi="Times New Roman" w:cs="Times New Roman"/>
          <w:lang w:val="en-CA"/>
        </w:rPr>
        <w:t>sites</w:t>
      </w:r>
      <w:commentRangeEnd w:id="31"/>
      <w:r w:rsidR="008955F6">
        <w:rPr>
          <w:rStyle w:val="CommentReference"/>
        </w:rPr>
        <w:commentReference w:id="31"/>
      </w:r>
      <w:r w:rsidR="002B53A4" w:rsidRPr="00BA1DFE">
        <w:rPr>
          <w:rFonts w:ascii="Times New Roman" w:hAnsi="Times New Roman" w:cs="Times New Roman"/>
          <w:lang w:val="en-CA"/>
        </w:rPr>
        <w:t xml:space="preserve">. </w:t>
      </w:r>
      <w:r w:rsidR="00E271AE">
        <w:rPr>
          <w:rFonts w:ascii="Times New Roman" w:hAnsi="Times New Roman" w:cs="Times New Roman"/>
          <w:lang w:val="en-CA"/>
        </w:rPr>
        <w:t xml:space="preserve">Interestingly, this doesn’t even represent the highest concentration of ammonium (x </w:t>
      </w:r>
      <w:proofErr w:type="spellStart"/>
      <w:r w:rsidR="00E271AE">
        <w:rPr>
          <w:rFonts w:ascii="Times New Roman" w:hAnsi="Times New Roman" w:cs="Times New Roman"/>
          <w:lang w:val="en-CA"/>
        </w:rPr>
        <w:t>uM</w:t>
      </w:r>
      <w:proofErr w:type="spellEnd"/>
      <w:r w:rsidR="00E271AE">
        <w:rPr>
          <w:rFonts w:ascii="Times New Roman" w:hAnsi="Times New Roman" w:cs="Times New Roman"/>
          <w:lang w:val="en-CA"/>
        </w:rPr>
        <w:t xml:space="preserve">) the authors have measured in this region so the variation may be even larger. </w:t>
      </w:r>
      <w:r w:rsidR="008955F6" w:rsidRPr="00BA1DFE">
        <w:rPr>
          <w:rFonts w:ascii="Times New Roman" w:hAnsi="Times New Roman" w:cs="Times New Roman"/>
          <w:lang w:val="en-CA"/>
        </w:rPr>
        <w:t>This is substantially larger than measurements of among-site variation in nitrate (3.7x and 6.5x differences</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BA1DFE" w:rsidRPr="00BA1DFE">
        <w:rPr>
          <w:rFonts w:ascii="Times New Roman" w:hAnsi="Times New Roman" w:cs="Times New Roman"/>
          <w:lang w:val="en-CA"/>
        </w:rPr>
        <w:t xml:space="preserve">. This is also larger than among-site NH₄⁺ differences measured in a nearby region (1.1x)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We found an interaction between tide exchange and animal abundance, whereby animal excretions may enrich the seawater when the tide is going out and standing still, but when the tide comes in it washes away the effect of animal abundance.</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 xml:space="preserve">or microbial regeneration, which are additional sources of NH₄⁺. </w:t>
      </w:r>
      <w:r w:rsidR="00525526">
        <w:rPr>
          <w:rFonts w:ascii="Times New Roman" w:hAnsi="Times New Roman" w:cs="Times New Roman"/>
          <w:lang w:val="en-CA"/>
        </w:rPr>
        <w:lastRenderedPageBreak/>
        <w:t>However, given the positive relationship between animal abundance and NH₄⁺, we propose animal-regenerated nutrients likely contribute to meso-scale</w:t>
      </w:r>
      <w:r w:rsidR="00A9700D">
        <w:rPr>
          <w:rFonts w:ascii="Times New Roman" w:hAnsi="Times New Roman" w:cs="Times New Roman"/>
          <w:lang w:val="en-CA"/>
        </w:rPr>
        <w:t xml:space="preserve"> variation in NH₄⁺ 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270F3ED3" w14:textId="77777777" w:rsidR="008955F6" w:rsidRDefault="008955F6" w:rsidP="008955F6">
      <w:pPr>
        <w:spacing w:line="480" w:lineRule="auto"/>
        <w:rPr>
          <w:rFonts w:ascii="Times New Roman" w:hAnsi="Times New Roman" w:cs="Times New Roman"/>
          <w:lang w:val="en-CA"/>
        </w:rPr>
      </w:pPr>
    </w:p>
    <w:p w14:paraId="0B6C7069" w14:textId="77777777" w:rsidR="00057B69" w:rsidRDefault="00057B69" w:rsidP="00623DD8">
      <w:pPr>
        <w:spacing w:line="480" w:lineRule="auto"/>
        <w:rPr>
          <w:rFonts w:ascii="Times New Roman" w:hAnsi="Times New Roman" w:cs="Times New Roman"/>
          <w:lang w:val="en-CA"/>
        </w:rPr>
      </w:pPr>
    </w:p>
    <w:p w14:paraId="11BCF007" w14:textId="53A223CB" w:rsidR="0078518E" w:rsidRDefault="00057B69" w:rsidP="00D5697E">
      <w:pPr>
        <w:spacing w:line="480" w:lineRule="auto"/>
        <w:rPr>
          <w:rFonts w:ascii="Times New Roman" w:hAnsi="Times New Roman" w:cs="Times New Roman"/>
          <w:lang w:val="en-CA"/>
        </w:rPr>
      </w:pPr>
      <w:r>
        <w:rPr>
          <w:rFonts w:ascii="Times New Roman" w:hAnsi="Times New Roman" w:cs="Times New Roman"/>
          <w:lang w:val="en-CA"/>
        </w:rPr>
        <w:t xml:space="preserve">Paragraph 3. Within-site. </w:t>
      </w:r>
      <w:r w:rsidR="00C524A5">
        <w:rPr>
          <w:rFonts w:ascii="Times New Roman" w:hAnsi="Times New Roman" w:cs="Times New Roman"/>
          <w:lang w:val="en-CA"/>
        </w:rPr>
        <w:t>Kelp forests impacted small-scale variation in nutrients by retaining NH₄⁺</w:t>
      </w:r>
    </w:p>
    <w:p w14:paraId="1D3E4C1F" w14:textId="52F1BBE4" w:rsidR="0078518E" w:rsidRDefault="00E738EE" w:rsidP="008B2197">
      <w:pPr>
        <w:spacing w:line="480" w:lineRule="auto"/>
        <w:ind w:firstLine="720"/>
        <w:rPr>
          <w:rFonts w:ascii="Times New Roman" w:hAnsi="Times New Roman" w:cs="Times New Roman"/>
          <w:lang w:val="en-CA"/>
        </w:rPr>
      </w:pPr>
      <w:r>
        <w:rPr>
          <w:rFonts w:ascii="Times New Roman" w:hAnsi="Times New Roman" w:cs="Times New Roman"/>
          <w:lang w:val="en-CA"/>
        </w:rPr>
        <w:t>We are not the first to record increased NH₄⁺ inside kelp forests</w:t>
      </w:r>
      <w:r w:rsidR="0078518E">
        <w:rPr>
          <w:rFonts w:ascii="Times New Roman" w:hAnsi="Times New Roman" w:cs="Times New Roman"/>
          <w:lang w:val="en-CA"/>
        </w:rPr>
        <w:t xml:space="preserve"> (Pfister)</w:t>
      </w:r>
      <w:r>
        <w:rPr>
          <w:rFonts w:ascii="Times New Roman" w:hAnsi="Times New Roman" w:cs="Times New Roman"/>
          <w:lang w:val="en-CA"/>
        </w:rPr>
        <w:t xml:space="preserve">, but </w:t>
      </w:r>
      <w:r w:rsidR="00C524A5">
        <w:rPr>
          <w:rFonts w:ascii="Times New Roman" w:hAnsi="Times New Roman" w:cs="Times New Roman"/>
          <w:lang w:val="en-CA"/>
        </w:rPr>
        <w:t>by</w:t>
      </w:r>
      <w:r>
        <w:rPr>
          <w:rFonts w:ascii="Times New Roman" w:hAnsi="Times New Roman" w:cs="Times New Roman"/>
          <w:lang w:val="en-CA"/>
        </w:rPr>
        <w:t xml:space="preserve"> measuring this effect across a gradient of kelp densities </w:t>
      </w:r>
      <w:r w:rsidR="00C524A5">
        <w:rPr>
          <w:rFonts w:ascii="Times New Roman" w:hAnsi="Times New Roman" w:cs="Times New Roman"/>
          <w:lang w:val="en-CA"/>
        </w:rPr>
        <w:t xml:space="preserve">we </w:t>
      </w:r>
      <w:r>
        <w:rPr>
          <w:rFonts w:ascii="Times New Roman" w:hAnsi="Times New Roman" w:cs="Times New Roman"/>
          <w:lang w:val="en-CA"/>
        </w:rPr>
        <w:t>demonstrate</w:t>
      </w:r>
      <w:r w:rsidR="00C524A5">
        <w:rPr>
          <w:rFonts w:ascii="Times New Roman" w:hAnsi="Times New Roman" w:cs="Times New Roman"/>
          <w:lang w:val="en-CA"/>
        </w:rPr>
        <w:t xml:space="preserve"> a positive relationship between kelp biomass and NH₄⁺ retention. </w:t>
      </w:r>
      <w:r w:rsidR="0078518E">
        <w:rPr>
          <w:rFonts w:ascii="Times New Roman" w:hAnsi="Times New Roman" w:cs="Times New Roman"/>
          <w:lang w:val="en-CA"/>
        </w:rPr>
        <w:t>Because kelps slow water flow (cite), and the effect of kelps on NH₄⁺ retention was more pronounced on a flooding tide (water coming in), NH₄⁺ retention was likely mediated by hydrodynamics.</w:t>
      </w:r>
      <w:r w:rsidR="0039086A">
        <w:rPr>
          <w:rFonts w:ascii="Times New Roman" w:hAnsi="Times New Roman" w:cs="Times New Roman"/>
          <w:lang w:val="en-CA"/>
        </w:rPr>
        <w:t xml:space="preserve"> Other studies found nitrate was reduced </w:t>
      </w:r>
      <w:r w:rsidR="00655502">
        <w:rPr>
          <w:rFonts w:ascii="Times New Roman" w:hAnsi="Times New Roman" w:cs="Times New Roman"/>
          <w:lang w:val="en-CA"/>
        </w:rPr>
        <w:t xml:space="preserve">or unchanged </w:t>
      </w:r>
      <w:r w:rsidR="0039086A">
        <w:rPr>
          <w:rFonts w:ascii="Times New Roman" w:hAnsi="Times New Roman" w:cs="Times New Roman"/>
          <w:lang w:val="en-CA"/>
        </w:rPr>
        <w:t xml:space="preserve">within kelp forests </w:t>
      </w:r>
      <w:r w:rsidR="00655502">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{"citationID":"z1LWOBvd","properties":{"formattedCitation":"(Pfister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655502">
        <w:rPr>
          <w:rFonts w:ascii="Times New Roman" w:hAnsi="Times New Roman" w:cs="Times New Roman"/>
          <w:lang w:val="en-CA"/>
        </w:rPr>
        <w:fldChar w:fldCharType="separate"/>
      </w:r>
      <w:r w:rsidR="00655502">
        <w:rPr>
          <w:rFonts w:ascii="Times New Roman" w:hAnsi="Times New Roman" w:cs="Times New Roman"/>
          <w:noProof/>
          <w:lang w:val="en-CA"/>
        </w:rPr>
        <w:t>(Pfister et al., 2019; Stewart et al., 2009)</w:t>
      </w:r>
      <w:r w:rsidR="00655502">
        <w:rPr>
          <w:rFonts w:ascii="Times New Roman" w:hAnsi="Times New Roman" w:cs="Times New Roman"/>
          <w:lang w:val="en-CA"/>
        </w:rPr>
        <w:fldChar w:fldCharType="end"/>
      </w:r>
      <w:r w:rsidR="0039086A">
        <w:rPr>
          <w:rFonts w:ascii="Times New Roman" w:hAnsi="Times New Roman" w:cs="Times New Roman"/>
          <w:lang w:val="en-CA"/>
        </w:rPr>
        <w:t xml:space="preserve">, but this form of nitrogen is externally sourced (via upwelling or runoff) and is likely depleted as it flows through forests unlike NH₄⁺, which is regenerated </w:t>
      </w:r>
      <w:r w:rsidR="0078518E">
        <w:rPr>
          <w:rFonts w:ascii="Times New Roman" w:hAnsi="Times New Roman" w:cs="Times New Roman"/>
          <w:lang w:val="en-CA"/>
        </w:rPr>
        <w:t>by</w:t>
      </w:r>
      <w:r w:rsidR="0039086A">
        <w:rPr>
          <w:rFonts w:ascii="Times New Roman" w:hAnsi="Times New Roman" w:cs="Times New Roman"/>
          <w:lang w:val="en-CA"/>
        </w:rPr>
        <w:t xml:space="preserve"> </w:t>
      </w:r>
      <w:r w:rsidR="0078518E">
        <w:rPr>
          <w:rFonts w:ascii="Times New Roman" w:hAnsi="Times New Roman" w:cs="Times New Roman"/>
          <w:lang w:val="en-CA"/>
        </w:rPr>
        <w:t xml:space="preserve">animals </w:t>
      </w:r>
      <w:r w:rsidR="0039086A">
        <w:rPr>
          <w:rFonts w:ascii="Times New Roman" w:hAnsi="Times New Roman" w:cs="Times New Roman"/>
          <w:lang w:val="en-CA"/>
        </w:rPr>
        <w:t xml:space="preserve">within and around the forest, and then retained there. </w:t>
      </w:r>
      <w:commentRangeStart w:id="32"/>
      <w:r w:rsidR="0078518E">
        <w:rPr>
          <w:rFonts w:ascii="Times New Roman" w:hAnsi="Times New Roman" w:cs="Times New Roman"/>
          <w:lang w:val="en-CA"/>
        </w:rPr>
        <w:t xml:space="preserve">Kelp </w:t>
      </w:r>
      <w:commentRangeEnd w:id="32"/>
      <w:r w:rsidR="0078518E">
        <w:rPr>
          <w:rStyle w:val="CommentReference"/>
        </w:rPr>
        <w:commentReference w:id="32"/>
      </w:r>
      <w:r w:rsidR="0078518E">
        <w:rPr>
          <w:rFonts w:ascii="Times New Roman" w:hAnsi="Times New Roman" w:cs="Times New Roman"/>
          <w:lang w:val="en-CA"/>
        </w:rPr>
        <w:t xml:space="preserve">forests attract dense aggregations of fishes and invertebrates, which could account for the increased delta NH₄⁺ at higher density sites, but </w:t>
      </w:r>
      <w:commentRangeStart w:id="33"/>
      <w:r w:rsidR="0078518E">
        <w:rPr>
          <w:rFonts w:ascii="Times New Roman" w:hAnsi="Times New Roman" w:cs="Times New Roman"/>
          <w:lang w:val="en-CA"/>
        </w:rPr>
        <w:t>we didn’t find a relationship between kelp biomass and animal abundance or biomass</w:t>
      </w:r>
      <w:commentRangeEnd w:id="33"/>
      <w:r w:rsidR="003F22F7">
        <w:rPr>
          <w:rStyle w:val="CommentReference"/>
        </w:rPr>
        <w:commentReference w:id="33"/>
      </w:r>
      <w:r w:rsidR="00655502">
        <w:rPr>
          <w:rFonts w:ascii="Times New Roman" w:hAnsi="Times New Roman" w:cs="Times New Roman"/>
          <w:lang w:val="en-CA"/>
        </w:rPr>
        <w:t xml:space="preserve"> (throw this mod in the supp? Cite Claire?), and the positive relationship between animal biomass and delta NH₄⁺ was weak and mediated by water flow.</w:t>
      </w:r>
      <w:r w:rsidR="008B2197">
        <w:rPr>
          <w:rFonts w:ascii="Times New Roman" w:hAnsi="Times New Roman" w:cs="Times New Roman"/>
          <w:lang w:val="en-CA"/>
        </w:rPr>
        <w:t xml:space="preserve"> Unfortunately, we never sampled on ebbing tides, so we can only contrast slack and flooding tides. Nevertheless, we found evidence that kelps mediate small-scale, within site variability in nutrient availability, and water flow due to tide exchange enhance this variability instead of masking it. </w:t>
      </w:r>
    </w:p>
    <w:p w14:paraId="7E16386E" w14:textId="77777777" w:rsidR="00D5697E" w:rsidRDefault="00D5697E" w:rsidP="008B2197">
      <w:pPr>
        <w:spacing w:line="480" w:lineRule="auto"/>
        <w:ind w:firstLine="720"/>
        <w:rPr>
          <w:rFonts w:ascii="Times New Roman" w:hAnsi="Times New Roman" w:cs="Times New Roman"/>
          <w:lang w:val="en-CA"/>
        </w:rPr>
      </w:pPr>
    </w:p>
    <w:p w14:paraId="15813CF6" w14:textId="017A1DC6" w:rsidR="00D5697E" w:rsidRDefault="00D5697E" w:rsidP="00D5697E">
      <w:pPr>
        <w:spacing w:line="480" w:lineRule="auto"/>
        <w:rPr>
          <w:rFonts w:ascii="Times New Roman" w:hAnsi="Times New Roman" w:cs="Times New Roman"/>
          <w:lang w:val="en-CA"/>
        </w:rPr>
      </w:pPr>
      <w:r>
        <w:rPr>
          <w:rFonts w:ascii="Times New Roman" w:hAnsi="Times New Roman" w:cs="Times New Roman"/>
          <w:lang w:val="en-CA"/>
        </w:rPr>
        <w:t xml:space="preserve">Paragraph 2: Among </w:t>
      </w:r>
      <w:proofErr w:type="gramStart"/>
      <w:r>
        <w:rPr>
          <w:rFonts w:ascii="Times New Roman" w:hAnsi="Times New Roman" w:cs="Times New Roman"/>
          <w:lang w:val="en-CA"/>
        </w:rPr>
        <w:t>site</w:t>
      </w:r>
      <w:proofErr w:type="gramEnd"/>
    </w:p>
    <w:p w14:paraId="6FAF31CA" w14:textId="77777777" w:rsidR="00D5697E" w:rsidRDefault="00D5697E" w:rsidP="00D5697E">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2F1603E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{"citationID":"Us6xT3vP","properties":{"formattedCitation":"(Pfister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2014)</w:t>
      </w:r>
      <w:r>
        <w:rPr>
          <w:rFonts w:ascii="Times New Roman" w:hAnsi="Times New Roman" w:cs="Times New Roman"/>
          <w:lang w:val="en-CA"/>
        </w:rPr>
        <w:fldChar w:fldCharType="end"/>
      </w:r>
    </w:p>
    <w:p w14:paraId="7AA06F95" w14:textId="77777777" w:rsidR="00D5697E"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110% (2.607-1.238) variation between onshore sites in NH₄⁺</w:t>
      </w:r>
    </w:p>
    <w:p w14:paraId="77E5AFF2" w14:textId="77777777" w:rsidR="00D5697E" w:rsidRPr="00562CDF"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725% (2.607-0.316) onshore vs offshore</w:t>
      </w:r>
    </w:p>
    <w:p w14:paraId="419BCAAE"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Nitrates varied 24% between sites (</w:t>
      </w:r>
      <w:r w:rsidRPr="000127E5">
        <w:rPr>
          <w:rFonts w:ascii="Times New Roman" w:hAnsi="Times New Roman" w:cs="Times New Roman"/>
          <w:lang w:val="en-CA"/>
        </w:rPr>
        <w:t>24.665-19.868</w:t>
      </w:r>
      <w:r>
        <w:rPr>
          <w:rFonts w:ascii="Times New Roman" w:hAnsi="Times New Roman" w:cs="Times New Roman"/>
          <w:lang w:val="en-CA"/>
        </w:rPr>
        <w:t>)</w:t>
      </w:r>
    </w:p>
    <w:p w14:paraId="10BB411E"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{"citationID":"hKoVp5lW","properties":{"formattedCitation":"(Hurd et al., 2000)","plainCitation":"(Hurd et al., 2000)","noteIndex":0},"citationItems":[{"id":1900,"uris":["http://zotero.org/users/local/idKDtb7T/items/WCSMHBU2"],"itemData":{"id":1900,"type":"article-journal","container-title":"Phycologia","DOI":"10.2216/i0031-8884-39-5-435.1","ISSN":"0031-8884,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(Hurd et al., 2000)</w:t>
      </w:r>
      <w:r>
        <w:rPr>
          <w:rFonts w:ascii="Times New Roman" w:hAnsi="Times New Roman" w:cs="Times New Roman"/>
          <w:lang w:val="en-CA"/>
        </w:rPr>
        <w:fldChar w:fldCharType="end"/>
      </w:r>
    </w:p>
    <w:p w14:paraId="7ABDCF72"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370% (1.17-5.5)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nitrate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p>
    <w:p w14:paraId="5ECC476A"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40% (2.25-3.15)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ammonium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r>
        <w:rPr>
          <w:rFonts w:ascii="Times New Roman" w:hAnsi="Times New Roman" w:cs="Times New Roman"/>
          <w:lang w:val="en-CA"/>
        </w:rPr>
        <w:t xml:space="preserve"> </w:t>
      </w:r>
    </w:p>
    <w:p w14:paraId="5DDCA937" w14:textId="77777777" w:rsidR="00D5697E" w:rsidRDefault="00D5697E" w:rsidP="00D5697E">
      <w:pPr>
        <w:pStyle w:val="ListParagraph"/>
        <w:numPr>
          <w:ilvl w:val="1"/>
          <w:numId w:val="8"/>
        </w:numPr>
        <w:spacing w:line="480" w:lineRule="auto"/>
        <w:rPr>
          <w:rFonts w:ascii="Times New Roman" w:hAnsi="Times New Roman" w:cs="Times New Roman"/>
          <w:lang w:val="en-CA"/>
        </w:rPr>
      </w:pPr>
      <w:proofErr w:type="spellStart"/>
      <w:r>
        <w:rPr>
          <w:rFonts w:ascii="Times New Roman" w:hAnsi="Times New Roman" w:cs="Times New Roman"/>
          <w:lang w:val="en-CA"/>
        </w:rPr>
        <w:t>Druehl</w:t>
      </w:r>
      <w:proofErr w:type="spellEnd"/>
      <w:r>
        <w:rPr>
          <w:rFonts w:ascii="Times New Roman" w:hAnsi="Times New Roman" w:cs="Times New Roman"/>
          <w:lang w:val="en-CA"/>
        </w:rPr>
        <w:t xml:space="preserve"> et al 1989</w:t>
      </w:r>
    </w:p>
    <w:p w14:paraId="7554788C"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650% (</w:t>
      </w:r>
      <w:r w:rsidRPr="008A67F3">
        <w:rPr>
          <w:rFonts w:ascii="Times New Roman" w:hAnsi="Times New Roman" w:cs="Times New Roman"/>
          <w:lang w:val="en-CA"/>
        </w:rPr>
        <w:t>0.6</w:t>
      </w:r>
      <w:r>
        <w:rPr>
          <w:rFonts w:ascii="Times New Roman" w:hAnsi="Times New Roman" w:cs="Times New Roman"/>
          <w:lang w:val="en-CA"/>
        </w:rPr>
        <w:t xml:space="preserve">-4.5 </w:t>
      </w:r>
      <w:proofErr w:type="spellStart"/>
      <w:r>
        <w:rPr>
          <w:rFonts w:ascii="Times New Roman" w:hAnsi="Times New Roman" w:cs="Times New Roman"/>
          <w:lang w:val="en-CA"/>
        </w:rPr>
        <w:t>uM</w:t>
      </w:r>
      <w:proofErr w:type="spellEnd"/>
      <w:r>
        <w:rPr>
          <w:rFonts w:ascii="Times New Roman" w:hAnsi="Times New Roman" w:cs="Times New Roman"/>
          <w:lang w:val="en-CA"/>
        </w:rPr>
        <w:t>) surface nitrate site vs site in summer</w:t>
      </w:r>
    </w:p>
    <w:p w14:paraId="44A17D55" w14:textId="77777777" w:rsidR="00D5697E" w:rsidRPr="008A67F3"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83% (</w:t>
      </w:r>
      <w:r w:rsidRPr="008A67F3">
        <w:rPr>
          <w:rFonts w:ascii="Times New Roman" w:hAnsi="Times New Roman" w:cs="Times New Roman"/>
          <w:lang w:val="en-CA"/>
        </w:rPr>
        <w:t>0.6</w:t>
      </w:r>
      <w:r>
        <w:rPr>
          <w:rFonts w:ascii="Times New Roman" w:hAnsi="Times New Roman" w:cs="Times New Roman"/>
          <w:lang w:val="en-CA"/>
        </w:rPr>
        <w:t xml:space="preserve"> - </w:t>
      </w:r>
      <w:r w:rsidRPr="008A67F3">
        <w:rPr>
          <w:rFonts w:ascii="Times New Roman" w:hAnsi="Times New Roman" w:cs="Times New Roman"/>
          <w:lang w:val="en-CA"/>
        </w:rPr>
        <w:t>1.1</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surface ammonium site vs site in summer</w:t>
      </w:r>
    </w:p>
    <w:p w14:paraId="015290CD" w14:textId="77777777" w:rsidR="00E738EE" w:rsidRDefault="00E738EE" w:rsidP="00623DD8">
      <w:pPr>
        <w:spacing w:line="480" w:lineRule="auto"/>
        <w:rPr>
          <w:rFonts w:ascii="Times New Roman" w:hAnsi="Times New Roman" w:cs="Times New Roman"/>
          <w:lang w:val="en-CA"/>
        </w:rPr>
      </w:pPr>
    </w:p>
    <w:p w14:paraId="26A2F132" w14:textId="330ECD78" w:rsidR="00D5697E" w:rsidRDefault="00D5697E" w:rsidP="00623DD8">
      <w:pPr>
        <w:spacing w:line="480" w:lineRule="auto"/>
        <w:rPr>
          <w:rFonts w:ascii="Times New Roman" w:hAnsi="Times New Roman" w:cs="Times New Roman"/>
          <w:lang w:val="en-CA"/>
        </w:rPr>
      </w:pPr>
      <w:r>
        <w:rPr>
          <w:rFonts w:ascii="Times New Roman" w:hAnsi="Times New Roman" w:cs="Times New Roman"/>
          <w:lang w:val="en-CA"/>
        </w:rPr>
        <w:t>Paragraph 3: within site</w:t>
      </w:r>
    </w:p>
    <w:p w14:paraId="3CA1CECD" w14:textId="77777777"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Magnitude of variability vs differences found in other in vs out kelp forests. Cite those kelp slows flow of water papers. </w:t>
      </w:r>
    </w:p>
    <w:p w14:paraId="5B96D14F" w14:textId="52D14A37"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{"citationID":"P1mVNVxS","properties":{"formattedCitation":"(Pfister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0050DAD7" w14:textId="7C468F59" w:rsidR="000127E5" w:rsidRDefault="000127E5"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{"citationID":"xDFCo8qE","properties":{"formattedCitation":"(Stewart et al., 2009)","plainCitation":"(Stewart et al., 2009)","noteIndex":0},"citationItems":[{"id":2702,"uris":["http://zotero.org/users/local/idKDtb7T/items/N7ZVQRTY"],"itemData":{"id":2702,"type":"article-journal","abstract":"To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(Stewart et al., 2009)</w:t>
      </w:r>
      <w:r>
        <w:rPr>
          <w:rFonts w:ascii="Times New Roman" w:hAnsi="Times New Roman" w:cs="Times New Roman"/>
          <w:lang w:val="en-CA"/>
        </w:rPr>
        <w:fldChar w:fldCharType="end"/>
      </w:r>
      <w:r>
        <w:rPr>
          <w:rFonts w:ascii="Times New Roman" w:hAnsi="Times New Roman" w:cs="Times New Roman"/>
          <w:lang w:val="en-CA"/>
        </w:rPr>
        <w:t xml:space="preserve"> similar nitrate in vs out</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lastRenderedPageBreak/>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Pr="007A68CB"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36360EEA"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commentRangeStart w:id="34"/>
      <w:commentRangeStart w:id="35"/>
      <w:r w:rsidR="00622296">
        <w:rPr>
          <w:rFonts w:ascii="Times New Roman" w:hAnsi="Times New Roman" w:cs="Times New Roman"/>
          <w:b/>
          <w:lang w:val="en-CA"/>
        </w:rPr>
        <w:t>Figure</w:t>
      </w:r>
      <w:commentRangeEnd w:id="34"/>
      <w:r w:rsidR="00D16571">
        <w:rPr>
          <w:rStyle w:val="CommentReference"/>
        </w:rPr>
        <w:commentReference w:id="34"/>
      </w:r>
      <w:commentRangeEnd w:id="35"/>
      <w:r w:rsidR="00AC09CD">
        <w:rPr>
          <w:rStyle w:val="CommentReference"/>
        </w:rPr>
        <w:commentReference w:id="35"/>
      </w:r>
      <w:r w:rsidR="00622296">
        <w:rPr>
          <w:rFonts w:ascii="Times New Roman" w:hAnsi="Times New Roman" w:cs="Times New Roman"/>
          <w:b/>
          <w:lang w:val="en-CA"/>
        </w:rPr>
        <w:t xml:space="preserv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36"/>
      <w:r w:rsidR="00C826A7">
        <w:rPr>
          <w:rFonts w:ascii="Times New Roman" w:hAnsi="Times New Roman" w:cs="Times New Roman"/>
          <w:lang w:val="en-CA"/>
        </w:rPr>
        <w:t>ammonium</w:t>
      </w:r>
      <w:commentRangeEnd w:id="36"/>
      <w:r w:rsidR="000C156B">
        <w:rPr>
          <w:rStyle w:val="CommentReference"/>
        </w:rPr>
        <w:commentReference w:id="36"/>
      </w:r>
      <w:r w:rsidR="00C826A7">
        <w:rPr>
          <w:rFonts w:ascii="Times New Roman" w:hAnsi="Times New Roman" w:cs="Times New Roman"/>
          <w:lang w:val="en-CA"/>
        </w:rPr>
        <w:t>.</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commentRangeStart w:id="37"/>
      <w:commentRangeStart w:id="38"/>
      <w:commentRangeStart w:id="39"/>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4">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commentRangeEnd w:id="37"/>
      <w:r w:rsidR="00D16571">
        <w:rPr>
          <w:rStyle w:val="CommentReference"/>
        </w:rPr>
        <w:commentReference w:id="37"/>
      </w:r>
      <w:commentRangeEnd w:id="38"/>
      <w:r w:rsidR="00D16571">
        <w:rPr>
          <w:rStyle w:val="CommentReference"/>
        </w:rPr>
        <w:commentReference w:id="38"/>
      </w:r>
      <w:commentRangeEnd w:id="39"/>
      <w:r w:rsidR="00F25230">
        <w:rPr>
          <w:rStyle w:val="CommentReference"/>
        </w:rPr>
        <w:commentReference w:id="39"/>
      </w:r>
    </w:p>
    <w:p w14:paraId="380F603E" w14:textId="7BEE3E68" w:rsidR="00641243" w:rsidRDefault="00641243" w:rsidP="006C6F43">
      <w:pPr>
        <w:rPr>
          <w:rFonts w:ascii="Times New Roman" w:hAnsi="Times New Roman" w:cs="Times New Roman"/>
          <w:b/>
          <w:lang w:val="en-CA"/>
        </w:rPr>
      </w:pPr>
      <w:r>
        <w:rPr>
          <w:noProof/>
        </w:rPr>
        <w:drawing>
          <wp:inline distT="0" distB="0" distL="0" distR="0" wp14:anchorId="36B555C9" wp14:editId="0B139C44">
            <wp:extent cx="1863893" cy="1835041"/>
            <wp:effectExtent l="0" t="0" r="3175" b="0"/>
            <wp:docPr id="10650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1333" name=""/>
                    <pic:cNvPicPr/>
                  </pic:nvPicPr>
                  <pic:blipFill>
                    <a:blip r:embed="rId15"/>
                    <a:stretch>
                      <a:fillRect/>
                    </a:stretch>
                  </pic:blipFill>
                  <pic:spPr>
                    <a:xfrm>
                      <a:off x="0" y="0"/>
                      <a:ext cx="1894953" cy="1865620"/>
                    </a:xfrm>
                    <a:prstGeom prst="rect">
                      <a:avLst/>
                    </a:prstGeom>
                  </pic:spPr>
                </pic:pic>
              </a:graphicData>
            </a:graphic>
          </wp:inline>
        </w:drawing>
      </w:r>
      <w:r w:rsidRPr="00641243">
        <w:rPr>
          <w:noProof/>
        </w:rPr>
        <w:t xml:space="preserve"> </w:t>
      </w:r>
      <w:r>
        <w:rPr>
          <w:noProof/>
        </w:rPr>
        <w:drawing>
          <wp:inline distT="0" distB="0" distL="0" distR="0" wp14:anchorId="6AB2484F" wp14:editId="49FDDC9A">
            <wp:extent cx="1882588" cy="1876705"/>
            <wp:effectExtent l="0" t="0" r="0" b="3175"/>
            <wp:docPr id="54598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448" name=""/>
                    <pic:cNvPicPr/>
                  </pic:nvPicPr>
                  <pic:blipFill>
                    <a:blip r:embed="rId16"/>
                    <a:stretch>
                      <a:fillRect/>
                    </a:stretch>
                  </pic:blipFill>
                  <pic:spPr>
                    <a:xfrm>
                      <a:off x="0" y="0"/>
                      <a:ext cx="1898524" cy="1892591"/>
                    </a:xfrm>
                    <a:prstGeom prst="rect">
                      <a:avLst/>
                    </a:prstGeom>
                  </pic:spPr>
                </pic:pic>
              </a:graphicData>
            </a:graphic>
          </wp:inline>
        </w:drawing>
      </w:r>
      <w:r>
        <w:rPr>
          <w:noProof/>
        </w:rPr>
        <w:drawing>
          <wp:inline distT="0" distB="0" distL="0" distR="0" wp14:anchorId="7DDD0341" wp14:editId="004B3ACB">
            <wp:extent cx="1874807" cy="1828800"/>
            <wp:effectExtent l="0" t="0" r="0" b="0"/>
            <wp:docPr id="15000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37241" name=""/>
                    <pic:cNvPicPr/>
                  </pic:nvPicPr>
                  <pic:blipFill>
                    <a:blip r:embed="rId17"/>
                    <a:stretch>
                      <a:fillRect/>
                    </a:stretch>
                  </pic:blipFill>
                  <pic:spPr>
                    <a:xfrm>
                      <a:off x="0" y="0"/>
                      <a:ext cx="1894874" cy="1848375"/>
                    </a:xfrm>
                    <a:prstGeom prst="rect">
                      <a:avLst/>
                    </a:prstGeom>
                  </pic:spPr>
                </pic:pic>
              </a:graphicData>
            </a:graphic>
          </wp:inline>
        </w:drawing>
      </w:r>
    </w:p>
    <w:p w14:paraId="16B043C8" w14:textId="0F2AABF3" w:rsidR="006C6F43" w:rsidRDefault="006C6F43" w:rsidP="006C6F43">
      <w:pPr>
        <w:rPr>
          <w:rFonts w:ascii="Times New Roman" w:hAnsi="Times New Roman" w:cs="Times New Roman"/>
          <w:lang w:val="en-CA"/>
        </w:rPr>
      </w:pPr>
      <w:commentRangeStart w:id="40"/>
      <w:commentRangeStart w:id="41"/>
      <w:commentRangeStart w:id="42"/>
      <w:r>
        <w:rPr>
          <w:rFonts w:ascii="Times New Roman" w:hAnsi="Times New Roman" w:cs="Times New Roman"/>
          <w:b/>
          <w:lang w:val="en-CA"/>
        </w:rPr>
        <w:t xml:space="preserve">Figure </w:t>
      </w:r>
      <w:commentRangeEnd w:id="40"/>
      <w:r w:rsidR="001A65DD">
        <w:rPr>
          <w:rFonts w:ascii="Times New Roman" w:hAnsi="Times New Roman" w:cs="Times New Roman"/>
          <w:b/>
          <w:lang w:val="en-CA"/>
        </w:rPr>
        <w:t>2</w:t>
      </w:r>
      <w:r w:rsidR="00930939">
        <w:rPr>
          <w:rStyle w:val="CommentReference"/>
        </w:rPr>
        <w:commentReference w:id="40"/>
      </w:r>
      <w:commentRangeEnd w:id="41"/>
      <w:r w:rsidR="00930939">
        <w:rPr>
          <w:rStyle w:val="CommentReference"/>
        </w:rPr>
        <w:commentReference w:id="41"/>
      </w:r>
      <w:commentRangeEnd w:id="42"/>
      <w:r w:rsidR="00930939">
        <w:rPr>
          <w:rStyle w:val="CommentReference"/>
        </w:rPr>
        <w:commentReference w:id="42"/>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r w:rsidR="00864DC0">
        <w:rPr>
          <w:rFonts w:ascii="Times New Roman" w:hAnsi="Times New Roman" w:cs="Times New Roman"/>
          <w:lang w:val="en-CA"/>
        </w:rPr>
        <w:t xml:space="preserve"> Add &gt; 500 m to first circle, 5 m to middle circle, and 2 m for 3</w:t>
      </w:r>
      <w:r w:rsidR="00864DC0" w:rsidRPr="00864DC0">
        <w:rPr>
          <w:rFonts w:ascii="Times New Roman" w:hAnsi="Times New Roman" w:cs="Times New Roman"/>
          <w:vertAlign w:val="superscript"/>
          <w:lang w:val="en-CA"/>
        </w:rPr>
        <w:t>rd</w:t>
      </w:r>
      <w:r w:rsidR="00864DC0">
        <w:rPr>
          <w:rFonts w:ascii="Times New Roman" w:hAnsi="Times New Roman" w:cs="Times New Roman"/>
          <w:lang w:val="en-CA"/>
        </w:rPr>
        <w:t>. or add scale bar with diff units.</w:t>
      </w:r>
    </w:p>
    <w:p w14:paraId="2F0D6ED4" w14:textId="5CC340C4"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5A5239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43"/>
      <w:commentRangeEnd w:id="43"/>
      <w:r w:rsidR="00FF474D">
        <w:rPr>
          <w:rStyle w:val="CommentReference"/>
        </w:rPr>
        <w:commentReference w:id="43"/>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generated predictions for the investigation of 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44"/>
      <w:commentRangeStart w:id="45"/>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44"/>
      <w:r w:rsidR="0041279D">
        <w:rPr>
          <w:rStyle w:val="CommentReference"/>
        </w:rPr>
        <w:commentReference w:id="44"/>
      </w:r>
      <w:commentRangeEnd w:id="45"/>
      <w:r w:rsidR="00532560">
        <w:rPr>
          <w:rStyle w:val="CommentReference"/>
        </w:rPr>
        <w:commentReference w:id="45"/>
      </w:r>
    </w:p>
    <w:p w14:paraId="72A51E40" w14:textId="6DAA46E4"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within-site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5831C54"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1F1DDA">
        <w:rPr>
          <w:rFonts w:ascii="Times New Roman" w:hAnsi="Times New Roman" w:cs="Times New Roman"/>
          <w:b/>
          <w:lang w:val="en-CA"/>
        </w:rPr>
        <w:t>5</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est</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Hailey Davis</w:t>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4600395C" w14:textId="6D178EBD"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46"/>
      <w:r w:rsidR="00E83D6E">
        <w:rPr>
          <w:rFonts w:ascii="Times New Roman" w:hAnsi="Times New Roman" w:cs="Times New Roman"/>
          <w:lang w:val="en-CA"/>
        </w:rPr>
        <w:t>survey</w:t>
      </w:r>
      <w:commentRangeEnd w:id="46"/>
      <w:r w:rsidR="00250785">
        <w:rPr>
          <w:rStyle w:val="CommentReference"/>
        </w:rPr>
        <w:commentReference w:id="46"/>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47"/>
            <w:proofErr w:type="spellStart"/>
            <w:r>
              <w:rPr>
                <w:rFonts w:ascii="Times New Roman" w:hAnsi="Times New Roman" w:cs="Times New Roman"/>
                <w:b/>
              </w:rPr>
              <w:t>df</w:t>
            </w:r>
            <w:commentRangeEnd w:id="47"/>
            <w:proofErr w:type="spellEnd"/>
            <w:r w:rsidR="00815249">
              <w:rPr>
                <w:rStyle w:val="CommentReference"/>
              </w:rPr>
              <w:commentReference w:id="47"/>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48"/>
      <w:r w:rsidR="00792779" w:rsidRPr="00A15B36">
        <w:rPr>
          <w:rFonts w:ascii="Times New Roman" w:hAnsi="Times New Roman" w:cs="Times New Roman"/>
          <w:b/>
          <w:lang w:val="en-CA"/>
        </w:rPr>
        <w:t xml:space="preserve">Table </w:t>
      </w:r>
      <w:commentRangeEnd w:id="48"/>
      <w:r w:rsidR="00792779">
        <w:rPr>
          <w:rStyle w:val="CommentReference"/>
        </w:rPr>
        <w:commentReference w:id="48"/>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49"/>
      <w:commentRangeStart w:id="50"/>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49"/>
      <w:r w:rsidR="00580B22">
        <w:rPr>
          <w:rStyle w:val="CommentReference"/>
        </w:rPr>
        <w:commentReference w:id="49"/>
      </w:r>
      <w:commentRangeEnd w:id="50"/>
      <w:r w:rsidR="002B081F">
        <w:rPr>
          <w:rStyle w:val="CommentReference"/>
        </w:rPr>
        <w:commentReference w:id="50"/>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51"/>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51"/>
      <w:r w:rsidR="00F10A37">
        <w:rPr>
          <w:rStyle w:val="CommentReference"/>
        </w:rPr>
        <w:commentReference w:id="51"/>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52"/>
      <w:r>
        <w:rPr>
          <w:rFonts w:ascii="Times New Roman" w:hAnsi="Times New Roman" w:cs="Times New Roman"/>
          <w:lang w:val="en-CA"/>
        </w:rPr>
        <w:t xml:space="preserve">We </w:t>
      </w:r>
      <w:commentRangeEnd w:id="52"/>
      <w:r>
        <w:rPr>
          <w:rStyle w:val="CommentReference"/>
        </w:rPr>
        <w:commentReference w:id="52"/>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53"/>
      <w:r>
        <w:rPr>
          <w:rFonts w:ascii="Times New Roman" w:hAnsi="Times New Roman" w:cs="Times New Roman"/>
          <w:lang w:val="en-CA"/>
        </w:rPr>
        <w:t xml:space="preserve">LMM </w:t>
      </w:r>
      <w:commentRangeEnd w:id="53"/>
      <w:r>
        <w:rPr>
          <w:rStyle w:val="CommentReference"/>
        </w:rPr>
        <w:commentReference w:id="53"/>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4"/>
      <w:r w:rsidRPr="00281EEC">
        <w:rPr>
          <w:rFonts w:ascii="Times New Roman" w:hAnsi="Times New Roman" w:cs="Times New Roman"/>
          <w:b/>
          <w:lang w:val="en-CA"/>
        </w:rPr>
        <w:t xml:space="preserve">Figure </w:t>
      </w:r>
      <w:commentRangeEnd w:id="54"/>
      <w:r>
        <w:rPr>
          <w:rStyle w:val="CommentReference"/>
        </w:rPr>
        <w:commentReference w:id="54"/>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55"/>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55"/>
      <w:r w:rsidR="005200FA">
        <w:rPr>
          <w:rStyle w:val="CommentReference"/>
        </w:rPr>
        <w:commentReference w:id="55"/>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65D17F0E" w14:textId="77777777" w:rsidR="00655502" w:rsidRPr="00655502" w:rsidRDefault="00EC101B" w:rsidP="00655502">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655502" w:rsidRPr="00655502">
        <w:t>Allgeier, J.E., Burkepile, D.E., Layman, C.A., 2017. Animal pee in the sea: consumer-mediated nutrient dynamics in the world’s changing oceans. Glob Change Biol 23, 2166–2178. https://doi.org/10.1111/gcb.13625</w:t>
      </w:r>
    </w:p>
    <w:p w14:paraId="31042AC2" w14:textId="77777777" w:rsidR="00655502" w:rsidRPr="00655502" w:rsidRDefault="00655502" w:rsidP="00655502">
      <w:pPr>
        <w:pStyle w:val="Bibliography"/>
      </w:pPr>
      <w:r w:rsidRPr="00655502">
        <w:t>Allgeier, J.E., Yeager, L.A., Layman, C.A., 2013. Consumers regulate nutrient limitation regimes and primary production in seagrass ecosystems. Ecology 94, 521–529. https://doi.org/10.1890/12-1122.1</w:t>
      </w:r>
    </w:p>
    <w:p w14:paraId="07E912D2" w14:textId="77777777" w:rsidR="00655502" w:rsidRPr="00655502" w:rsidRDefault="00655502" w:rsidP="00655502">
      <w:pPr>
        <w:pStyle w:val="Bibliography"/>
      </w:pPr>
      <w:r w:rsidRPr="00655502">
        <w:t>Aquilino, K.M., Bracken, M.E.S., Faubel, M.N., Stachowicz, J.J., 2009. Local-scale nutrient regeneration facilitates seaweed growth on wave-exposed rocky shores in an upwelling system. Limnol Oceanogr 54, 309–317. https://doi.org/10.4319/lo.2009.54.1.0309</w:t>
      </w:r>
    </w:p>
    <w:p w14:paraId="1383BA90" w14:textId="77777777" w:rsidR="00655502" w:rsidRPr="00655502" w:rsidRDefault="00655502" w:rsidP="00655502">
      <w:pPr>
        <w:pStyle w:val="Bibliography"/>
      </w:pPr>
      <w:r w:rsidRPr="00655502">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F98E999" w14:textId="77777777" w:rsidR="00655502" w:rsidRPr="00655502" w:rsidRDefault="00655502" w:rsidP="00655502">
      <w:pPr>
        <w:pStyle w:val="Bibliography"/>
      </w:pPr>
      <w:r w:rsidRPr="00655502">
        <w:t>Attridge, C.M., Cox, K.D., Maher, B., Gross, S., Lim, E.G., Kattler, K.R., Côté, I.M., 2024. Studying Kelp Forests of Today to Forecast Ecosystems of the Future. Fisheries 49, 181–187. https://doi.org/10.1002/fsh.11065</w:t>
      </w:r>
    </w:p>
    <w:p w14:paraId="684670C4" w14:textId="77777777" w:rsidR="00655502" w:rsidRPr="00655502" w:rsidRDefault="00655502" w:rsidP="00655502">
      <w:pPr>
        <w:pStyle w:val="Bibliography"/>
      </w:pPr>
      <w:r w:rsidRPr="00655502">
        <w:t>Benkwitt, C.E., Wilson, S.K., Graham, N.A.J., 2019. Seabird nutrient subsidies alter patterns of algal abundance and fish biomass on coral reefs following a bleaching event. Glob Change Biol 25, 2619–2632. https://doi.org/10.1111/gcb.14643</w:t>
      </w:r>
    </w:p>
    <w:p w14:paraId="7160F567" w14:textId="77777777" w:rsidR="00655502" w:rsidRPr="00655502" w:rsidRDefault="00655502" w:rsidP="00655502">
      <w:pPr>
        <w:pStyle w:val="Bibliography"/>
      </w:pPr>
      <w:r w:rsidRPr="00655502">
        <w:t>Brooks, M.E., Kristensen, K., van Benthem, K.J., Magnusson, A., Berg, C.W., Nielsen, A., Skaug, H.J., Mächler, M., Bolker, B.M., 2017. glmmTMB balances speed and flexibility among packages for zero-inflated generalized linear mixed modeling. The R Journal 9, 378. https://doi.org/10.32614/RJ-2017-066</w:t>
      </w:r>
    </w:p>
    <w:p w14:paraId="2FB36755" w14:textId="77777777" w:rsidR="00655502" w:rsidRPr="00655502" w:rsidRDefault="00655502" w:rsidP="00655502">
      <w:pPr>
        <w:pStyle w:val="Bibliography"/>
      </w:pPr>
      <w:r w:rsidRPr="00655502">
        <w:t>Brzezinksi, M., Reed, D., Harrer, S., Rassweiler, A., Melack, J., Goodridge, B., Dugan, J., 2013. Multiple sources and forms of nitrogen sustain year-round kelp growth on the inner continental shelf of the Santa Barbara Channel. Oceanog 26, 114–123. https://doi.org/10.5670/oceanog.2013.53</w:t>
      </w:r>
    </w:p>
    <w:p w14:paraId="108FE58C" w14:textId="77777777" w:rsidR="00655502" w:rsidRPr="00655502" w:rsidRDefault="00655502" w:rsidP="00655502">
      <w:pPr>
        <w:pStyle w:val="Bibliography"/>
      </w:pPr>
      <w:r w:rsidRPr="00655502">
        <w:t>Dayton, P.K., Tegner, M.J., Edwards, P.B., Riser, K.L., 1999. Temporal and Spatial Scales of Kelp Demography: The Role of Oceanographic Climate. Ecological Monographs 69, 219–250. https://doi.org/10.1890/0012-9615(1999)069[0219:TASSOK]2.0.CO;2</w:t>
      </w:r>
    </w:p>
    <w:p w14:paraId="7B65F224" w14:textId="77777777" w:rsidR="00655502" w:rsidRPr="00655502" w:rsidRDefault="00655502" w:rsidP="00655502">
      <w:pPr>
        <w:pStyle w:val="Bibliography"/>
      </w:pPr>
      <w:r w:rsidRPr="00655502">
        <w:t>Doughty, C.E., Roman, J., Faurby, S., Wolf, A., Haque, A., Bakker, E.S., Malhi, Y., Dunning, J.B., Svenning, J.-C., 2016. Global nutrient transport in a world of giants. Proceedings of the National Academy of Sciences 113, 868–873. https://doi.org/10.1073/pnas.1502549112</w:t>
      </w:r>
    </w:p>
    <w:p w14:paraId="11073775" w14:textId="77777777" w:rsidR="00655502" w:rsidRPr="00655502" w:rsidRDefault="00655502" w:rsidP="00655502">
      <w:pPr>
        <w:pStyle w:val="Bibliography"/>
      </w:pPr>
      <w:r w:rsidRPr="00655502">
        <w:t>Druehl, L.D., Harrison, P.J., Lloyd, K.E., Thompson, P.A., 1989. Phenotypic variation in N uptake by Laminaria groenlandica Rosenvinge (Laminariales, Phaeophyta). Journal of Experimental Marine Biology and Ecology 127, 155–164. https://doi.org/10.1016/0022-0981(89)90181-0</w:t>
      </w:r>
    </w:p>
    <w:p w14:paraId="5CE73807" w14:textId="77777777" w:rsidR="00655502" w:rsidRPr="00655502" w:rsidRDefault="00655502" w:rsidP="00655502">
      <w:pPr>
        <w:pStyle w:val="Bibliography"/>
      </w:pPr>
      <w:r w:rsidRPr="00655502">
        <w:t>Edgar, G., Stuart-Smith, R., 2009. Ecological effects of marine protected areas on rocky reef communities—a continental-scale analysis. Mar. Ecol. Prog. Ser. 388, 51–62. https://doi.org/10.3354/meps08149</w:t>
      </w:r>
    </w:p>
    <w:p w14:paraId="2D5D4B0C" w14:textId="77777777" w:rsidR="00655502" w:rsidRPr="00655502" w:rsidRDefault="00655502" w:rsidP="00655502">
      <w:pPr>
        <w:pStyle w:val="Bibliography"/>
      </w:pPr>
      <w:r w:rsidRPr="00655502">
        <w:t xml:space="preserve">Edgar, G.J., Cooper, A., Baker, S.C., Barker, W., Barrett, N.S., Becerro, M.A., Bates, A.E., Brock, D., Ceccarelli, D.M., Clausius, E., Davey, M., Davis, T.R., Day, P.B., Green, A., Griffiths, </w:t>
      </w:r>
      <w:r w:rsidRPr="00655502">
        <w:lastRenderedPageBreak/>
        <w:t>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6F14D16A" w14:textId="77777777" w:rsidR="00655502" w:rsidRPr="00655502" w:rsidRDefault="00655502" w:rsidP="00655502">
      <w:pPr>
        <w:pStyle w:val="Bibliography"/>
      </w:pPr>
      <w:r w:rsidRPr="00655502">
        <w:t>Francis, F.T., Côté, I.M., 2018. Fish movement drives spatial and temporal patterns of nutrient provisioning on coral reef patches. Ecosphere 9, e02225. https://doi.org/10.1002/ecs2.2225</w:t>
      </w:r>
    </w:p>
    <w:p w14:paraId="0CB2C958" w14:textId="77777777" w:rsidR="00655502" w:rsidRPr="00655502" w:rsidRDefault="00655502" w:rsidP="00655502">
      <w:pPr>
        <w:pStyle w:val="Bibliography"/>
      </w:pPr>
      <w:r w:rsidRPr="00655502">
        <w:t>Froese, R., Thorson, J.T., Reyes Jr, R.B., 2014. A Bayesian approach for estimating length-weight relationships in fishes. Journal of Applied Ichthyology 30, 78–85. https://doi.org/10.1111/jai.12299</w:t>
      </w:r>
    </w:p>
    <w:p w14:paraId="41E2F5C8" w14:textId="77777777" w:rsidR="00655502" w:rsidRPr="00655502" w:rsidRDefault="00655502" w:rsidP="00655502">
      <w:pPr>
        <w:pStyle w:val="Bibliography"/>
      </w:pPr>
      <w:r w:rsidRPr="00655502">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AFBD811" w14:textId="77777777" w:rsidR="00655502" w:rsidRPr="00655502" w:rsidRDefault="00655502" w:rsidP="00655502">
      <w:pPr>
        <w:pStyle w:val="Bibliography"/>
      </w:pPr>
      <w:r w:rsidRPr="00655502">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A9CD8EB" w14:textId="77777777" w:rsidR="00655502" w:rsidRPr="00655502" w:rsidRDefault="00655502" w:rsidP="00655502">
      <w:pPr>
        <w:pStyle w:val="Bibliography"/>
      </w:pPr>
      <w:r w:rsidRPr="00655502">
        <w:t>Hartig, F., 2022. DHARMa: Residual Diagnostics for Hierarchical (Multi-Level / Mixed) Regression Models. R package version 0.4.6.</w:t>
      </w:r>
    </w:p>
    <w:p w14:paraId="1E3A99EC" w14:textId="77777777" w:rsidR="00655502" w:rsidRPr="00655502" w:rsidRDefault="00655502" w:rsidP="00655502">
      <w:pPr>
        <w:pStyle w:val="Bibliography"/>
      </w:pPr>
      <w:r w:rsidRPr="00655502">
        <w:t>Holbrook, S.J., Brooks, A.J., Schmitt, R.J., Stewart, H.L., 2008. Effects of sheltering fish on growth of their host corals. Mar Biol 155, 521–530. https://doi.org/10.1007/s00227-008-1051-7</w:t>
      </w:r>
    </w:p>
    <w:p w14:paraId="492FB173" w14:textId="77777777" w:rsidR="00655502" w:rsidRPr="00655502" w:rsidRDefault="00655502" w:rsidP="00655502">
      <w:pPr>
        <w:pStyle w:val="Bibliography"/>
      </w:pPr>
      <w:r w:rsidRPr="00655502">
        <w:t>Holmes, R.M., Aminot, A., Kerouel, R., Hooker, B.A., Peterson, B.J., 1999. A simple and precise method for measuring ammonium in marine and freshwater ecosystems. Canadian Journal of Fisheries and Aquatic Sciences 56, 1801–1808. https://doi.org/10.1139/f99-128</w:t>
      </w:r>
    </w:p>
    <w:p w14:paraId="45B763E4" w14:textId="77777777" w:rsidR="00655502" w:rsidRPr="00655502" w:rsidRDefault="00655502" w:rsidP="00655502">
      <w:pPr>
        <w:pStyle w:val="Bibliography"/>
      </w:pPr>
      <w:r w:rsidRPr="00655502">
        <w:t>Howard, B.R., Francis, F.T., Côté, I.M., Therriault, T.W., 2019. Habitat alteration by invasive European green crab (Carcinus maenas) causes eelgrass loss in British Columbia, Canada. Biol Invasions 21, 3607–3618. https://doi.org/10.1007/s10530-019-02072-z</w:t>
      </w:r>
    </w:p>
    <w:p w14:paraId="277FF6E0" w14:textId="77777777" w:rsidR="00655502" w:rsidRPr="00655502" w:rsidRDefault="00655502" w:rsidP="00655502">
      <w:pPr>
        <w:pStyle w:val="Bibliography"/>
      </w:pPr>
      <w:r w:rsidRPr="00655502">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732EA911" w14:textId="77777777" w:rsidR="00655502" w:rsidRPr="00655502" w:rsidRDefault="00655502" w:rsidP="00655502">
      <w:pPr>
        <w:pStyle w:val="Bibliography"/>
      </w:pPr>
      <w:r w:rsidRPr="00655502">
        <w:t>Layman, C.A., Allgeier, J.E., Montaña, C.G., 2016. Mechanistic evidence of enhanced production on artificial reefs: A case study in a Bahamian seagrass ecosystem. Ecol Eng 95, 574–579. https://doi.org/10.1016/j.ecoleng.2016.06.109</w:t>
      </w:r>
    </w:p>
    <w:p w14:paraId="6018EC22" w14:textId="77777777" w:rsidR="00655502" w:rsidRPr="00655502" w:rsidRDefault="00655502" w:rsidP="00655502">
      <w:pPr>
        <w:pStyle w:val="Bibliography"/>
      </w:pPr>
      <w:r w:rsidRPr="00655502">
        <w:t>Leibold, M.A., 1991. Biodiversity and nutrient enrichment in pond plankton communities. Evol. Ecol. Res 1, 73–95.</w:t>
      </w:r>
    </w:p>
    <w:p w14:paraId="3727B10A" w14:textId="77777777" w:rsidR="00655502" w:rsidRPr="00655502" w:rsidRDefault="00655502" w:rsidP="00655502">
      <w:pPr>
        <w:pStyle w:val="Bibliography"/>
      </w:pPr>
      <w:r w:rsidRPr="00655502">
        <w:t>Lobban, C.S., Harrison, P.J., 1994. Seaweed Ecology and Physiology. Cambridge University Press.</w:t>
      </w:r>
    </w:p>
    <w:p w14:paraId="08BF9A90" w14:textId="77777777" w:rsidR="00655502" w:rsidRPr="00655502" w:rsidRDefault="00655502" w:rsidP="00655502">
      <w:pPr>
        <w:pStyle w:val="Bibliography"/>
      </w:pPr>
      <w:r w:rsidRPr="00655502">
        <w:t xml:space="preserve">Lowman, H.E., Hirsch, M.E., Brzezinski, M.A., Melack, J.M., 2023. Examining the Potential of Sandy Marine Sediments Surrounding Giant Kelp Forests to Provide Recycled Nutrients </w:t>
      </w:r>
      <w:r w:rsidRPr="00655502">
        <w:lastRenderedPageBreak/>
        <w:t>for Growth. Journal of Coastal Research 39, 442–454. https://doi.org/10.2112/JCOASTRES-D-22-00035.1</w:t>
      </w:r>
    </w:p>
    <w:p w14:paraId="39993631" w14:textId="77777777" w:rsidR="00655502" w:rsidRPr="00655502" w:rsidRDefault="00655502" w:rsidP="00655502">
      <w:pPr>
        <w:pStyle w:val="Bibliography"/>
      </w:pPr>
      <w:r w:rsidRPr="00655502">
        <w:t>Mann, K.H., 1973. Seaweeds: Their Productivity and Strategy for Growth. Science 182, 975–981. https://doi.org/10.1126/science.182.4116.975</w:t>
      </w:r>
    </w:p>
    <w:p w14:paraId="45C0D243" w14:textId="77777777" w:rsidR="00655502" w:rsidRPr="00655502" w:rsidRDefault="00655502" w:rsidP="00655502">
      <w:pPr>
        <w:pStyle w:val="Bibliography"/>
      </w:pPr>
      <w:r w:rsidRPr="00655502">
        <w:t>McInturf, A.G., Pollack, L., Yang, L.H., Spiegel, O., 2019. Vectors with autonomy: what distinguishes animal-mediated nutrient transport from abiotic vectors? Biological Reviews 94, 1761–1773. https://doi.org/10.1111/brv.12525</w:t>
      </w:r>
    </w:p>
    <w:p w14:paraId="114F33BA" w14:textId="77777777" w:rsidR="00655502" w:rsidRPr="00655502" w:rsidRDefault="00655502" w:rsidP="00655502">
      <w:pPr>
        <w:pStyle w:val="Bibliography"/>
      </w:pPr>
      <w:r w:rsidRPr="00655502">
        <w:t>Menge, B.A., 1992. Community Regulation: Under What Conditions Are Bottom-Up Factors Important on Rocky Shores? Ecology 73, 755–765. https://doi.org/10.2307/1940155</w:t>
      </w:r>
    </w:p>
    <w:p w14:paraId="268022D1" w14:textId="77777777" w:rsidR="00655502" w:rsidRPr="00655502" w:rsidRDefault="00655502" w:rsidP="00655502">
      <w:pPr>
        <w:pStyle w:val="Bibliography"/>
      </w:pPr>
      <w:r w:rsidRPr="00655502">
        <w:t>Meyer, J.L., Schultz, E.T., 1985. Migrating haemulid fishes as a source of nutrients and organic matter on coral reefs. Limnol Oceanogr 30, 146–156.</w:t>
      </w:r>
    </w:p>
    <w:p w14:paraId="1CC460E7" w14:textId="77777777" w:rsidR="00655502" w:rsidRPr="00655502" w:rsidRDefault="00655502" w:rsidP="00655502">
      <w:pPr>
        <w:pStyle w:val="Bibliography"/>
      </w:pPr>
      <w:r w:rsidRPr="00655502">
        <w:t>Meyer, J.L., Schultz, E.T., Helfman, G.S., 1983. Fish schools: An asset to corals. Science 220, 1047–1049. https://doi.org/10.1126/science.220.4601.1047</w:t>
      </w:r>
    </w:p>
    <w:p w14:paraId="34C64181" w14:textId="77777777" w:rsidR="00655502" w:rsidRPr="00655502" w:rsidRDefault="00655502" w:rsidP="00655502">
      <w:pPr>
        <w:pStyle w:val="Bibliography"/>
      </w:pPr>
      <w:r w:rsidRPr="00655502">
        <w:t>Nielsen, K.J., Navarrete, S.A., 2004. Mesoscale regulation comes from the bottom-up: intertidal interactions between consumers and upwelling. Ecology Letters 7, 31–41. https://doi.org/10.1046/j.1461-0248.2003.00542.x</w:t>
      </w:r>
    </w:p>
    <w:p w14:paraId="34CBC58F" w14:textId="77777777" w:rsidR="00655502" w:rsidRPr="00655502" w:rsidRDefault="00655502" w:rsidP="00655502">
      <w:pPr>
        <w:pStyle w:val="Bibliography"/>
      </w:pPr>
      <w:r w:rsidRPr="00655502">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0866D4AC" w14:textId="77777777" w:rsidR="00655502" w:rsidRPr="00655502" w:rsidRDefault="00655502" w:rsidP="00655502">
      <w:pPr>
        <w:pStyle w:val="Bibliography"/>
      </w:pPr>
      <w:r w:rsidRPr="00655502">
        <w:t>Paine, R.T., 1986. Benthic community—water column coupling during the 1982-1983 El Niño. Are community changes at high latitudes attributable to cause or coincidence?1. Limnology and Oceanography 31, 351–360. https://doi.org/10.4319/lo.1986.31.2.0351</w:t>
      </w:r>
    </w:p>
    <w:p w14:paraId="6BF9762A" w14:textId="77777777" w:rsidR="00655502" w:rsidRPr="00655502" w:rsidRDefault="00655502" w:rsidP="00655502">
      <w:pPr>
        <w:pStyle w:val="Bibliography"/>
      </w:pPr>
      <w:r w:rsidRPr="00655502">
        <w:t>Pawlowicz, R., 2017. Seasonal cycles, hypoxia, and renewal in a coastal fjord (Barkley Sound, British Columbia). Atmosphere-Ocean 55, 264–283. https://doi.org/10.1080/07055900.2017.1374240</w:t>
      </w:r>
    </w:p>
    <w:p w14:paraId="5C37257D" w14:textId="77777777" w:rsidR="00655502" w:rsidRPr="00655502" w:rsidRDefault="00655502" w:rsidP="00655502">
      <w:pPr>
        <w:pStyle w:val="Bibliography"/>
      </w:pPr>
      <w:r w:rsidRPr="00655502">
        <w:t>Pfister, C.A., Altabet, M.A., Post, D., 2014. Animal regeneration and microbial retention of nitrogen along coastal rocky shores. Ecology 95, 2803–2814. https://doi.org/10.1890/13-1825.1</w:t>
      </w:r>
    </w:p>
    <w:p w14:paraId="4AA60C65" w14:textId="77777777" w:rsidR="00655502" w:rsidRPr="00655502" w:rsidRDefault="00655502" w:rsidP="00655502">
      <w:pPr>
        <w:pStyle w:val="Bibliography"/>
      </w:pPr>
      <w:r w:rsidRPr="00655502">
        <w:t>Pfister, C.A., Altabet, M.A., Weigel, B.L., 2019. Kelp beds and their local effects on seawater chemistry, productivity, and microbial communities. Ecology 100, e02798. https://doi.org/10.1002/ecy.2798</w:t>
      </w:r>
    </w:p>
    <w:p w14:paraId="5F364C51" w14:textId="77777777" w:rsidR="00655502" w:rsidRPr="00655502" w:rsidRDefault="00655502" w:rsidP="00655502">
      <w:pPr>
        <w:pStyle w:val="Bibliography"/>
      </w:pPr>
      <w:r w:rsidRPr="00655502">
        <w:t>Phillips, J.C., Hurd, C.L., 2004. Kinetics of nitrate, ammonium, and urea uptake by four intertidal seaweeds from New Zealand. J Phycol 40, 534–545. https://doi.org/10.1111/j.1529-8817.2004.03157.x</w:t>
      </w:r>
    </w:p>
    <w:p w14:paraId="411AA029" w14:textId="77777777" w:rsidR="00655502" w:rsidRPr="00655502" w:rsidRDefault="00655502" w:rsidP="00655502">
      <w:pPr>
        <w:pStyle w:val="Bibliography"/>
      </w:pPr>
      <w:r w:rsidRPr="00655502">
        <w:t>Probyn, T.A., Chapman, A.R.O., 1983. Summer growth of Chordaria flagelliformis (O.F. Muell.) C. Ag.: Physiological strategies in a nutrient stressed environment. Journal of Experimental Marine Biology and Ecology 73, 243–271. https://doi.org/10.1016/0022-0981(83)90050-3</w:t>
      </w:r>
    </w:p>
    <w:p w14:paraId="357F0B7A" w14:textId="77777777" w:rsidR="00655502" w:rsidRPr="00655502" w:rsidRDefault="00655502" w:rsidP="00655502">
      <w:pPr>
        <w:pStyle w:val="Bibliography"/>
      </w:pPr>
      <w:r w:rsidRPr="00655502">
        <w:t>R Core Team, 2019. R: A language and environment for statistical computing.</w:t>
      </w:r>
    </w:p>
    <w:p w14:paraId="65E82534" w14:textId="77777777" w:rsidR="00655502" w:rsidRPr="00655502" w:rsidRDefault="00655502" w:rsidP="00655502">
      <w:pPr>
        <w:pStyle w:val="Bibliography"/>
      </w:pPr>
      <w:r w:rsidRPr="00655502">
        <w:lastRenderedPageBreak/>
        <w:t>Roman, J., McCarthy, J.J., 2010. The Whale Pump: Marine Mammals Enhance Primary Productivity in a Coastal Basin. PLoS ONE 5, e13255. https://doi.org/10.1371/journal.pone.0013255</w:t>
      </w:r>
    </w:p>
    <w:p w14:paraId="15E82C96" w14:textId="77777777" w:rsidR="00655502" w:rsidRPr="00655502" w:rsidRDefault="00655502" w:rsidP="00655502">
      <w:pPr>
        <w:pStyle w:val="Bibliography"/>
      </w:pPr>
      <w:r w:rsidRPr="00655502">
        <w:t>RStudio Team, 2016. RStudio: Integrated development for R.</w:t>
      </w:r>
    </w:p>
    <w:p w14:paraId="0703312A" w14:textId="77777777" w:rsidR="00655502" w:rsidRPr="00655502" w:rsidRDefault="00655502" w:rsidP="00655502">
      <w:pPr>
        <w:pStyle w:val="Bibliography"/>
      </w:pPr>
      <w:r w:rsidRPr="00655502">
        <w:t>Sellers, A.J., Leung, B., Torchin, M.E., 2020. Global meta-analysis of how marine upwelling affects herbivory. Global Ecology and Biogeography 29, 370–383. https://doi.org/10.1111/geb.13023</w:t>
      </w:r>
    </w:p>
    <w:p w14:paraId="2081D45A" w14:textId="77777777" w:rsidR="00655502" w:rsidRPr="00655502" w:rsidRDefault="00655502" w:rsidP="00655502">
      <w:pPr>
        <w:pStyle w:val="Bibliography"/>
      </w:pPr>
      <w:r w:rsidRPr="00655502">
        <w:t>Shantz, A.A., Ladd, M.C., Schrack, E., Burkepile, D.E., 2015. Fish-derived nutrient hotspots shape coral reef benthic communities. Ecological Applications 25, 2142–2152. https://doi.org/10.1890/14-2209.1</w:t>
      </w:r>
    </w:p>
    <w:p w14:paraId="2FBC4E19" w14:textId="77777777" w:rsidR="00655502" w:rsidRPr="00655502" w:rsidRDefault="00655502" w:rsidP="00655502">
      <w:pPr>
        <w:pStyle w:val="Bibliography"/>
      </w:pPr>
      <w:r w:rsidRPr="00655502">
        <w:t>Starko, S., Neufeld, C.J., Gendall, L., Timmer, B., Campbell, L., Yakimishyn, J., Druehl, L., Baum, J.K., 2022. Microclimate predicts kelp forest extinction in the face of direct and indirect marine heatwave effects. Ecological Applications 32, e2673. https://doi.org/10.1002/eap.2673</w:t>
      </w:r>
    </w:p>
    <w:p w14:paraId="660CE0E8" w14:textId="77777777" w:rsidR="00655502" w:rsidRPr="00655502" w:rsidRDefault="00655502" w:rsidP="00655502">
      <w:pPr>
        <w:pStyle w:val="Bibliography"/>
      </w:pPr>
      <w:r w:rsidRPr="00655502">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71D1D98" w14:textId="77777777" w:rsidR="00655502" w:rsidRPr="00655502" w:rsidRDefault="00655502" w:rsidP="00655502">
      <w:pPr>
        <w:pStyle w:val="Bibliography"/>
      </w:pPr>
      <w:r w:rsidRPr="00655502">
        <w:t>Steneck, R.S., Graham, M.H., Bourque, B.J., Corbett, D., Erlandson, J.M., Estes, J.A., Tegner, M.J., 2002. Kelp forest ecosystems: biodiversity, stability, resilience and future. Environmental Conservation 29, 436–459. https://doi.org/10.1017/S0376892902000322</w:t>
      </w:r>
    </w:p>
    <w:p w14:paraId="5305069E" w14:textId="77777777" w:rsidR="00655502" w:rsidRPr="00655502" w:rsidRDefault="00655502" w:rsidP="00655502">
      <w:pPr>
        <w:pStyle w:val="Bibliography"/>
      </w:pPr>
      <w:r w:rsidRPr="00655502">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02DBB04C" w14:textId="77777777" w:rsidR="00655502" w:rsidRPr="00655502" w:rsidRDefault="00655502" w:rsidP="00655502">
      <w:pPr>
        <w:pStyle w:val="Bibliography"/>
      </w:pPr>
      <w:r w:rsidRPr="00655502">
        <w:t>Tanasichuk, R., 1998. Interannual variations in the population biology and productivity of Euphausia pacifica in Barkley Sound, Canada, with special reference to the 1992 and 1993 warm ocean years. Mar. Ecol. Prog. Ser. 173, 163–180. https://doi.org/10.3354/meps173163</w:t>
      </w:r>
    </w:p>
    <w:p w14:paraId="4106FF5E" w14:textId="77777777" w:rsidR="00655502" w:rsidRPr="00655502" w:rsidRDefault="00655502" w:rsidP="00655502">
      <w:pPr>
        <w:pStyle w:val="Bibliography"/>
      </w:pPr>
      <w:r w:rsidRPr="00655502">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447F95FD" w14:textId="77777777" w:rsidR="00655502" w:rsidRPr="00655502" w:rsidRDefault="00655502" w:rsidP="00655502">
      <w:pPr>
        <w:pStyle w:val="Bibliography"/>
      </w:pPr>
      <w:r w:rsidRPr="00655502">
        <w:t>Tilman, G.D., 1984. Plant Dominance Along an Experimental Nutrient Gradient. Ecology 65, 1445–1453. https://doi.org/10.2307/1939125</w:t>
      </w:r>
    </w:p>
    <w:p w14:paraId="6DA9D769" w14:textId="77777777" w:rsidR="00655502" w:rsidRPr="00655502" w:rsidRDefault="00655502" w:rsidP="00655502">
      <w:pPr>
        <w:pStyle w:val="Bibliography"/>
      </w:pPr>
      <w:r w:rsidRPr="00655502">
        <w:t>Uthicke, S., 2001. Nutrient regeneration by abundant coral reef holothurians. J. Exp. Mar. Biol. Ecol. 265, 153–170. https://doi.org/10.1016/S0022-0981(01)00329-X</w:t>
      </w:r>
    </w:p>
    <w:p w14:paraId="27B9C272" w14:textId="77777777" w:rsidR="00655502" w:rsidRPr="00655502" w:rsidRDefault="00655502" w:rsidP="00655502">
      <w:pPr>
        <w:pStyle w:val="Bibliography"/>
      </w:pPr>
      <w:r w:rsidRPr="00655502">
        <w:t>Vanni, M.J., 2002. Nutrient cycling by animals in freshwater ecosystems. Annu Rev Ecol Syst 33, 341–370. https://doi.org/10.1146/annurev.ecolsys.33.010802.150519</w:t>
      </w:r>
    </w:p>
    <w:p w14:paraId="1C654717" w14:textId="77777777" w:rsidR="00655502" w:rsidRPr="00655502" w:rsidRDefault="00655502" w:rsidP="00655502">
      <w:pPr>
        <w:pStyle w:val="Bibliography"/>
      </w:pPr>
      <w:r w:rsidRPr="00655502">
        <w:t xml:space="preserve">Wickham, H., Averick, M., Bryan, J., Chang, W., McGowan, L.D., François, R., Grolemund, G., Hayes, A., Henry, L., Hester, J., Kuhn, M., Pedersen, T.L., Miller, E., Bache, S.M., Müller, K., Ooms, J., Robinson, D., Seidel, D.P., Spinu, V., Takahashi, K., Vaughan, D., Wilke, C., </w:t>
      </w:r>
      <w:r w:rsidRPr="00655502">
        <w:lastRenderedPageBreak/>
        <w:t>Woo, K., Yutani, H., 2019. Welcome to the Tidyverse. Journal of Open Source Software 4, 1686. https://doi.org/10.21105/joss.01686</w:t>
      </w:r>
    </w:p>
    <w:p w14:paraId="0DC6D553" w14:textId="23D75EBC"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6-10T11:28:00Z" w:initials="EL">
    <w:p w14:paraId="4BFDD7D3" w14:textId="77777777"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1" w:author="Isabelle Cote" w:date="2024-02-07T10:58:00Z" w:initials="IC">
    <w:p w14:paraId="40C93B3D" w14:textId="77777777" w:rsidR="005831E6" w:rsidRDefault="005831E6" w:rsidP="00CE5810">
      <w:pPr>
        <w:pStyle w:val="CommentText"/>
      </w:pPr>
      <w:r>
        <w:rPr>
          <w:rStyle w:val="CommentReference"/>
        </w:rPr>
        <w:annotationRef/>
      </w:r>
      <w:r>
        <w:t>I will read this once the MS is complete</w:t>
      </w:r>
    </w:p>
  </w:comment>
  <w:comment w:id="2" w:author="Kieran Cox" w:date="2024-03-21T11:31:00Z" w:initials="KC">
    <w:p w14:paraId="5AAB2810" w14:textId="12D94B5D"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3"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4"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5" w:author="Isabelle Cote" w:date="2024-07-22T11:49:00Z" w:initials="IC">
    <w:p w14:paraId="08D131CF" w14:textId="77777777" w:rsidR="00B61844" w:rsidRDefault="00B61844" w:rsidP="00B61844">
      <w:pPr>
        <w:pStyle w:val="CommentText"/>
      </w:pPr>
      <w:r>
        <w:rPr>
          <w:rStyle w:val="CommentReference"/>
        </w:rPr>
        <w:annotationRef/>
      </w:r>
      <w:r>
        <w:t xml:space="preserve"> This sentence doesn’t quite work. Needs something about scale</w:t>
      </w:r>
    </w:p>
  </w:comment>
  <w:comment w:id="6" w:author="Isabelle Cote" w:date="2024-07-23T09:44:00Z" w:initials="IC">
    <w:p w14:paraId="377D4F44" w14:textId="77777777" w:rsidR="002216A4" w:rsidRDefault="002216A4" w:rsidP="002216A4">
      <w:pPr>
        <w:pStyle w:val="CommentText"/>
      </w:pPr>
      <w:r>
        <w:rPr>
          <w:rStyle w:val="CommentReference"/>
        </w:rPr>
        <w:annotationRef/>
      </w:r>
      <w:r>
        <w:t>Primary productivity or nutrient concentrations?</w:t>
      </w:r>
    </w:p>
  </w:comment>
  <w:comment w:id="7" w:author="Em Lim" w:date="2024-06-17T11:23:00Z" w:initials="EL">
    <w:p w14:paraId="59D54C52" w14:textId="77777777"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8" w:author="Isabelle Cote" w:date="2024-07-23T09:49:00Z" w:initials="IC">
    <w:p w14:paraId="4C4333DD" w14:textId="77777777" w:rsidR="00B62F21" w:rsidRDefault="00B62F21" w:rsidP="00B62F21">
      <w:pPr>
        <w:pStyle w:val="CommentText"/>
      </w:pPr>
      <w:r>
        <w:rPr>
          <w:rStyle w:val="CommentReference"/>
        </w:rPr>
        <w:annotationRef/>
      </w:r>
      <w:r>
        <w:t>Cite Broitman in the parenthesis</w:t>
      </w:r>
    </w:p>
  </w:comment>
  <w:comment w:id="9" w:author="Kieran Cox" w:date="2024-03-21T16:37:00Z" w:initials="KC">
    <w:p w14:paraId="106FF508" w14:textId="49BE6461"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Isabelle Cote" w:date="2024-07-23T10:04:00Z" w:initials="IC">
    <w:p w14:paraId="4B66C07D" w14:textId="77777777" w:rsidR="009962D6" w:rsidRDefault="009962D6" w:rsidP="009962D6">
      <w:pPr>
        <w:pStyle w:val="CommentText"/>
      </w:pPr>
      <w:r>
        <w:rPr>
          <w:rStyle w:val="CommentReference"/>
        </w:rPr>
        <w:annotationRef/>
      </w:r>
      <w:r>
        <w:t>This doesn’t quite jive with the argument you made in the third paragraph about the potential for small-scale variability above mussel beds...</w:t>
      </w:r>
    </w:p>
  </w:comment>
  <w:comment w:id="13" w:author="Kieran Cox" w:date="2024-03-22T07:51:00Z" w:initials="KC">
    <w:p w14:paraId="0D4D4846" w14:textId="6377A944" w:rsidR="005831E6" w:rsidRDefault="005831E6"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14" w:author="Isabelle Cote" w:date="2024-07-23T10:41:00Z" w:initials="IC">
    <w:p w14:paraId="749A1E21" w14:textId="77777777" w:rsidR="00250785" w:rsidRDefault="00250785" w:rsidP="00250785">
      <w:pPr>
        <w:pStyle w:val="CommentText"/>
      </w:pPr>
      <w:r>
        <w:rPr>
          <w:rStyle w:val="CommentReference"/>
        </w:rPr>
        <w:annotationRef/>
      </w:r>
      <w:r>
        <w:t>Good idea!</w:t>
      </w:r>
    </w:p>
  </w:comment>
  <w:comment w:id="15" w:author="Kieran Cox" w:date="2024-03-22T08:46:00Z" w:initials="KC">
    <w:p w14:paraId="005215D3" w14:textId="0DFE1520"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6"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 w:author="Em Lim" w:date="2024-02-15T16:49:00Z" w:initials="EL">
    <w:p w14:paraId="53EF394E" w14:textId="3D955652" w:rsidR="005831E6" w:rsidRDefault="005831E6">
      <w:pPr>
        <w:pStyle w:val="CommentText"/>
      </w:pPr>
      <w:r>
        <w:rPr>
          <w:rStyle w:val="CommentReference"/>
        </w:rPr>
        <w:annotationRef/>
      </w:r>
      <w:r>
        <w:t xml:space="preserve">Sample depths ranged from 0.7 – 5 m deep, but each pair was collected at the same depth </w:t>
      </w:r>
    </w:p>
  </w:comment>
  <w:comment w:id="18" w:author="Kieran Cox" w:date="2024-03-22T09:49:00Z" w:initials="KC">
    <w:p w14:paraId="750B71F8" w14:textId="77777777"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9"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0"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1"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2"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23" w:author="Em Lim" w:date="2024-08-19T15:24:00Z" w:initials="EL">
    <w:p w14:paraId="1065BB48" w14:textId="77777777" w:rsidR="0026774C" w:rsidRDefault="0026774C" w:rsidP="0026774C">
      <w:r>
        <w:rPr>
          <w:rStyle w:val="CommentReference"/>
        </w:rPr>
        <w:annotationRef/>
      </w:r>
      <w:r>
        <w:rPr>
          <w:sz w:val="20"/>
          <w:szCs w:val="20"/>
        </w:rPr>
        <w:t>Should I put the weight, length, girth, excretion data in the supplement? Or just say it’s in the GitHub? Do I need to say more here?</w:t>
      </w:r>
    </w:p>
  </w:comment>
  <w:comment w:id="24" w:author="Em Lim" w:date="2024-08-07T11:11:00Z" w:initials="EL">
    <w:p w14:paraId="45883B77" w14:textId="77777777" w:rsidR="00137407" w:rsidRDefault="00137407" w:rsidP="00137407">
      <w:r>
        <w:rPr>
          <w:rStyle w:val="CommentReference"/>
        </w:rPr>
        <w:annotationRef/>
      </w:r>
      <w:r>
        <w:rPr>
          <w:sz w:val="20"/>
          <w:szCs w:val="20"/>
        </w:rPr>
        <w:t xml:space="preserve">Tide exchange is actually measured in percent change, not m/s </w:t>
      </w:r>
    </w:p>
  </w:comment>
  <w:comment w:id="25" w:author="Em Lim" w:date="2024-07-02T10:45:00Z" w:initials="EL">
    <w:p w14:paraId="22BF149A" w14:textId="212C139D" w:rsidR="00A067A6" w:rsidRDefault="00A067A6">
      <w:pPr>
        <w:pStyle w:val="CommentText"/>
      </w:pPr>
      <w:r>
        <w:rPr>
          <w:rStyle w:val="CommentReference"/>
        </w:rPr>
        <w:annotationRef/>
      </w:r>
      <w:r>
        <w:rPr>
          <w:rFonts w:ascii="Times New Roman" w:hAnsi="Times New Roman" w:cs="Times New Roman"/>
          <w:lang w:val="en-CA"/>
        </w:rPr>
        <w:t>0.37 ± 0.20 μM/kg animal biomass</w:t>
      </w:r>
    </w:p>
  </w:comment>
  <w:comment w:id="26"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27"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28" w:author="Em Lim" w:date="2024-08-14T12:59:00Z" w:initials="EL">
    <w:p w14:paraId="0EC025A0" w14:textId="77777777" w:rsidR="00B23B37" w:rsidRDefault="00A33386" w:rsidP="00B23B37">
      <w:r>
        <w:rPr>
          <w:rStyle w:val="CommentReference"/>
        </w:rPr>
        <w:annotationRef/>
      </w:r>
      <w:r w:rsidR="00B23B37">
        <w:rPr>
          <w:sz w:val="20"/>
          <w:szCs w:val="20"/>
        </w:rPr>
        <w:t>Max site level nh4/min nh4 for each year, this is the max of all years</w:t>
      </w:r>
    </w:p>
  </w:comment>
  <w:comment w:id="29" w:author="Em Lim" w:date="2024-08-14T12:59:00Z" w:initials="EL">
    <w:p w14:paraId="642FCDA3" w14:textId="1BB98B37" w:rsidR="00B23B37" w:rsidRDefault="00F62DF9" w:rsidP="00B23B37">
      <w:r>
        <w:rPr>
          <w:rStyle w:val="CommentReference"/>
        </w:rPr>
        <w:annotationRef/>
      </w:r>
      <w:r w:rsidR="00B23B37">
        <w:rPr>
          <w:sz w:val="20"/>
          <w:szCs w:val="20"/>
        </w:rPr>
        <w:t>Site level inside nh4-/outside nh4 for each site, this is the max of all sites</w:t>
      </w:r>
    </w:p>
  </w:comment>
  <w:comment w:id="30" w:author="Em Lim" w:date="2024-08-14T13:01:00Z" w:initials="EL">
    <w:p w14:paraId="3697E87F" w14:textId="1BA5F1DF" w:rsidR="00B23B37" w:rsidRDefault="00F62DF9" w:rsidP="00B23B37">
      <w:r>
        <w:rPr>
          <w:rStyle w:val="CommentReference"/>
        </w:rPr>
        <w:annotationRef/>
      </w:r>
      <w:r w:rsidR="00B23B37">
        <w:rPr>
          <w:sz w:val="20"/>
          <w:szCs w:val="20"/>
        </w:rPr>
        <w:t>Max mean cage nh4/min nh4 for each week, this is max of 2 weeks</w:t>
      </w:r>
    </w:p>
  </w:comment>
  <w:comment w:id="31" w:author="Em Lim" w:date="2024-08-16T15:02:00Z" w:initials="EL">
    <w:p w14:paraId="18DAFAE8" w14:textId="1786DF80" w:rsidR="008955F6" w:rsidRDefault="008955F6" w:rsidP="008955F6">
      <w:r>
        <w:rPr>
          <w:rStyle w:val="CommentReference"/>
        </w:rPr>
        <w:annotationRef/>
      </w:r>
      <w:r>
        <w:rPr>
          <w:sz w:val="20"/>
          <w:szCs w:val="20"/>
        </w:rPr>
        <w:t>Interestingly, the highest and lowest NH₄⁺ measurements both came from the same site: the South side of Wizard Islet, but in different years.</w:t>
      </w:r>
    </w:p>
  </w:comment>
  <w:comment w:id="32" w:author="Em Lim" w:date="2024-08-19T10:30:00Z" w:initials="EL">
    <w:p w14:paraId="7C84EED2" w14:textId="77777777" w:rsidR="0078518E" w:rsidRDefault="0078518E" w:rsidP="0078518E">
      <w:r>
        <w:rPr>
          <w:rStyle w:val="CommentReference"/>
        </w:rPr>
        <w:annotationRef/>
      </w:r>
      <w:r>
        <w:rPr>
          <w:sz w:val="20"/>
          <w:szCs w:val="20"/>
        </w:rPr>
        <w:t>Alt: This link to water flow further demonstrates than the positive effect of kelp on delta NH₄⁺ may be due to flow-mediation, instead of denser forests simply attracting larger abundances of NH₄⁺-excreting animals (we did not find a relationship between animals and kelp).</w:t>
      </w:r>
    </w:p>
  </w:comment>
  <w:comment w:id="33" w:author="Em Lim" w:date="2024-08-19T10:54:00Z" w:initials="EL">
    <w:p w14:paraId="1CAD8F46" w14:textId="77777777" w:rsidR="003F22F7" w:rsidRDefault="003F22F7" w:rsidP="003F22F7">
      <w:r>
        <w:rPr>
          <w:rStyle w:val="CommentReference"/>
        </w:rPr>
        <w:annotationRef/>
      </w:r>
      <w:r>
        <w:rPr>
          <w:sz w:val="20"/>
          <w:szCs w:val="20"/>
        </w:rPr>
        <w:t>I checked, there’s no animal ~ kelp relationship. We also didn’t find more animals at the kelp sites vs the rls blitz sites. BUT. Species richness was higher at kelp sites</w:t>
      </w:r>
    </w:p>
  </w:comment>
  <w:comment w:id="34" w:author="Jasmin Schuster" w:date="2024-07-05T12:26:00Z" w:initials="JS">
    <w:p w14:paraId="2D9C5BA7" w14:textId="5A56E73B" w:rsidR="00D16571" w:rsidRDefault="00D16571" w:rsidP="00D16571">
      <w:r>
        <w:rPr>
          <w:rStyle w:val="CommentReference"/>
        </w:rPr>
        <w:annotationRef/>
      </w:r>
      <w:r>
        <w:rPr>
          <w:color w:val="000000"/>
          <w:sz w:val="20"/>
          <w:szCs w:val="20"/>
        </w:rPr>
        <w:t>Some points totally overlap so hard to interpret. Could you jitter/scatter?</w:t>
      </w:r>
    </w:p>
    <w:p w14:paraId="6274D02F" w14:textId="77777777" w:rsidR="00D16571" w:rsidRDefault="00D16571" w:rsidP="00D16571"/>
    <w:p w14:paraId="5428C492" w14:textId="77777777" w:rsidR="00D16571" w:rsidRDefault="00D16571" w:rsidP="00D16571">
      <w:r>
        <w:rPr>
          <w:color w:val="000000"/>
          <w:sz w:val="20"/>
          <w:szCs w:val="20"/>
        </w:rPr>
        <w:t>Or add zoomed-in insets for site-dense areas?</w:t>
      </w:r>
    </w:p>
  </w:comment>
  <w:comment w:id="35" w:author="Em Lim" w:date="2024-07-16T14:41:00Z" w:initials="EL">
    <w:p w14:paraId="33E02D7D" w14:textId="77777777" w:rsidR="00AC09CD" w:rsidRDefault="00AC09CD" w:rsidP="00AC09CD">
      <w:r>
        <w:rPr>
          <w:rStyle w:val="CommentReference"/>
        </w:rPr>
        <w:annotationRef/>
      </w:r>
      <w:r>
        <w:rPr>
          <w:sz w:val="20"/>
          <w:szCs w:val="20"/>
        </w:rPr>
        <w:t>Working on this!</w:t>
      </w:r>
    </w:p>
  </w:comment>
  <w:comment w:id="36"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37" w:author="Jasmin Schuster" w:date="2024-07-05T12:30:00Z" w:initials="JS">
    <w:p w14:paraId="79040004" w14:textId="545793A5" w:rsidR="00D16571" w:rsidRDefault="00D16571" w:rsidP="00D16571">
      <w:r>
        <w:rPr>
          <w:rStyle w:val="CommentReference"/>
        </w:rPr>
        <w:annotationRef/>
      </w:r>
      <w:r>
        <w:rPr>
          <w:color w:val="000000"/>
          <w:sz w:val="20"/>
          <w:szCs w:val="20"/>
        </w:rPr>
        <w:t>If you’re going to make a methods illustration or conceptual figure, I think one that illustrates all 3 stages/scales of the approach would be cool…</w:t>
      </w:r>
    </w:p>
    <w:p w14:paraId="29818BB8" w14:textId="77777777" w:rsidR="00D16571" w:rsidRDefault="00D16571" w:rsidP="00D16571"/>
    <w:p w14:paraId="69D9EBD5" w14:textId="77777777" w:rsidR="00D16571" w:rsidRDefault="00D16571" w:rsidP="00D16571">
      <w:r>
        <w:rPr>
          <w:color w:val="000000"/>
          <w:sz w:val="20"/>
          <w:szCs w:val="20"/>
        </w:rPr>
        <w:t>1) reef scale</w:t>
      </w:r>
    </w:p>
    <w:p w14:paraId="683929FC" w14:textId="77777777" w:rsidR="00D16571" w:rsidRDefault="00D16571" w:rsidP="00D16571">
      <w:r>
        <w:rPr>
          <w:color w:val="000000"/>
          <w:sz w:val="20"/>
          <w:szCs w:val="20"/>
        </w:rPr>
        <w:t>2) mesh-scale kelp</w:t>
      </w:r>
    </w:p>
    <w:p w14:paraId="740CA00E" w14:textId="77777777" w:rsidR="00D16571" w:rsidRDefault="00D16571" w:rsidP="00D16571">
      <w:r>
        <w:rPr>
          <w:color w:val="000000"/>
          <w:sz w:val="20"/>
          <w:szCs w:val="20"/>
        </w:rPr>
        <w:t>3) small scale experiment</w:t>
      </w:r>
    </w:p>
    <w:p w14:paraId="23652E6D" w14:textId="77777777" w:rsidR="00D16571" w:rsidRDefault="00D16571" w:rsidP="00D16571"/>
    <w:p w14:paraId="1E191D94" w14:textId="77777777" w:rsidR="00D16571" w:rsidRDefault="00D16571" w:rsidP="00D16571">
      <w:r>
        <w:rPr>
          <w:color w:val="000000"/>
          <w:sz w:val="20"/>
          <w:szCs w:val="20"/>
        </w:rPr>
        <w:t>The fact that you consider all three levels here is impressive and an illustration would be a nice way to drive that home and remind the reader visually how much is in here</w:t>
      </w:r>
    </w:p>
  </w:comment>
  <w:comment w:id="38" w:author="Jasmin Schuster" w:date="2024-07-05T12:30:00Z" w:initials="JS">
    <w:p w14:paraId="059A3945" w14:textId="77777777" w:rsidR="00D16571" w:rsidRDefault="00D16571" w:rsidP="00D16571">
      <w:r>
        <w:rPr>
          <w:rStyle w:val="CommentReference"/>
        </w:rPr>
        <w:annotationRef/>
      </w:r>
      <w:r>
        <w:rPr>
          <w:color w:val="000000"/>
          <w:sz w:val="20"/>
          <w:szCs w:val="20"/>
        </w:rPr>
        <w:t>Would need to be much simplified from this so it doesn’t become overwhelming</w:t>
      </w:r>
    </w:p>
  </w:comment>
  <w:comment w:id="39" w:author="Em Lim" w:date="2024-07-12T16:37:00Z" w:initials="EL">
    <w:p w14:paraId="3228B177" w14:textId="77777777" w:rsidR="00F25230" w:rsidRDefault="00F25230" w:rsidP="00F25230">
      <w:r>
        <w:rPr>
          <w:rStyle w:val="CommentReference"/>
        </w:rPr>
        <w:annotationRef/>
      </w:r>
      <w:r>
        <w:rPr>
          <w:sz w:val="20"/>
          <w:szCs w:val="20"/>
        </w:rPr>
        <w:t>Maybe I’ll try to make something similar to the schematic I made for my presentations???</w:t>
      </w:r>
    </w:p>
  </w:comment>
  <w:comment w:id="40" w:author="Kieran Cox" w:date="2024-03-21T07:54:00Z" w:initials="KC">
    <w:p w14:paraId="5188AD0A" w14:textId="2CCFAF95" w:rsidR="005831E6" w:rsidRDefault="005831E6" w:rsidP="00930939">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03633912" w14:textId="77777777" w:rsidR="005831E6" w:rsidRDefault="005831E6" w:rsidP="00930939"/>
    <w:p w14:paraId="1F56115F" w14:textId="77777777" w:rsidR="005831E6" w:rsidRDefault="005831E6" w:rsidP="00930939">
      <w:r>
        <w:rPr>
          <w:color w:val="000000"/>
          <w:sz w:val="20"/>
          <w:szCs w:val="20"/>
        </w:rPr>
        <w:t>If you do this, you may need to move the concentration and site type legend into the map, but it looks like it could fit in the bottom left</w:t>
      </w:r>
    </w:p>
  </w:comment>
  <w:comment w:id="41" w:author="Kieran Cox" w:date="2024-03-21T08:02:00Z" w:initials="KC">
    <w:p w14:paraId="097F1C04" w14:textId="77777777" w:rsidR="005831E6" w:rsidRDefault="005831E6"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42" w:author="Kieran Cox" w:date="2024-03-21T08:03:00Z" w:initials="KC">
    <w:p w14:paraId="6248F20C" w14:textId="77777777" w:rsidR="005831E6" w:rsidRDefault="005831E6"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43"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44"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45"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6"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47"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48"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49"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50" w:author="Isabelle Cote" w:date="2024-07-23T11:23:00Z" w:initials="IC">
    <w:p w14:paraId="214C3337" w14:textId="77777777" w:rsidR="002B081F" w:rsidRDefault="002B081F" w:rsidP="002B081F">
      <w:pPr>
        <w:pStyle w:val="CommentText"/>
      </w:pPr>
      <w:r>
        <w:rPr>
          <w:rStyle w:val="CommentReference"/>
        </w:rPr>
        <w:annotationRef/>
      </w:r>
      <w:r>
        <w:t>Yep</w:t>
      </w:r>
    </w:p>
  </w:comment>
  <w:comment w:id="51"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52"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53"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4"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55"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CA4B35" w15:done="0"/>
  <w15:commentEx w15:paraId="40C93B3D" w15:done="0"/>
  <w15:commentEx w15:paraId="5AAB2810" w15:done="0"/>
  <w15:commentEx w15:paraId="37A9109E" w15:paraIdParent="5AAB2810" w15:done="0"/>
  <w15:commentEx w15:paraId="125D4431" w15:paraIdParent="5AAB2810" w15:done="0"/>
  <w15:commentEx w15:paraId="08D131CF" w15:done="0"/>
  <w15:commentEx w15:paraId="377D4F44" w15:done="0"/>
  <w15:commentEx w15:paraId="5CA930B3" w15:done="0"/>
  <w15:commentEx w15:paraId="4C4333DD" w15:paraIdParent="5CA930B3" w15:done="0"/>
  <w15:commentEx w15:paraId="2F749496" w15:done="0"/>
  <w15:commentEx w15:paraId="4B66C07D" w15:done="0"/>
  <w15:commentEx w15:paraId="0D4D4846" w15:done="0"/>
  <w15:commentEx w15:paraId="749A1E21" w15:paraIdParent="0D4D4846" w15:done="0"/>
  <w15:commentEx w15:paraId="005215D3" w15:done="0"/>
  <w15:commentEx w15:paraId="17D38A3B" w15:paraIdParent="005215D3" w15:done="0"/>
  <w15:commentEx w15:paraId="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1065BB48" w15:done="0"/>
  <w15:commentEx w15:paraId="45883B77" w15:done="0"/>
  <w15:commentEx w15:paraId="22BF149A" w15:done="0"/>
  <w15:commentEx w15:paraId="179F601D" w15:done="0"/>
  <w15:commentEx w15:paraId="10643720" w15:done="0"/>
  <w15:commentEx w15:paraId="0EC025A0" w15:done="0"/>
  <w15:commentEx w15:paraId="642FCDA3" w15:done="0"/>
  <w15:commentEx w15:paraId="3697E87F" w15:done="0"/>
  <w15:commentEx w15:paraId="18DAFAE8" w15:done="0"/>
  <w15:commentEx w15:paraId="7C84EED2" w15:done="0"/>
  <w15:commentEx w15:paraId="1CAD8F46" w15:done="0"/>
  <w15:commentEx w15:paraId="5428C492" w15:done="0"/>
  <w15:commentEx w15:paraId="33E02D7D" w15:paraIdParent="5428C492" w15:done="0"/>
  <w15:commentEx w15:paraId="7BD2D752" w15:done="0"/>
  <w15:commentEx w15:paraId="1E191D94" w15:done="0"/>
  <w15:commentEx w15:paraId="059A3945" w15:paraIdParent="1E191D94" w15:done="0"/>
  <w15:commentEx w15:paraId="3228B177" w15:paraIdParent="1E191D94" w15:done="0"/>
  <w15:commentEx w15:paraId="1F56115F" w15:done="0"/>
  <w15:commentEx w15:paraId="097F1C04" w15:paraIdParent="1F56115F" w15:done="0"/>
  <w15:commentEx w15:paraId="6248F20C" w15:paraIdParent="1F56115F" w15:done="0"/>
  <w15:commentEx w15:paraId="6417C75B" w15:done="0"/>
  <w15:commentEx w15:paraId="5A99A513" w15:done="0"/>
  <w15:commentEx w15:paraId="1F298D4A" w15:paraIdParent="5A99A513"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85A84B1" w16cex:dateUtc="2024-02-07T18:58:00Z"/>
  <w16cex:commentExtensible w16cex:durableId="70C1F963" w16cex:dateUtc="2024-03-21T18:31:00Z"/>
  <w16cex:commentExtensible w16cex:durableId="57DBCCA9" w16cex:dateUtc="2024-03-21T18:32:00Z"/>
  <w16cex:commentExtensible w16cex:durableId="6710A97F" w16cex:dateUtc="2024-03-21T18:32:00Z"/>
  <w16cex:commentExtensible w16cex:durableId="1B863DFD" w16cex:dateUtc="2024-07-22T18:49:00Z"/>
  <w16cex:commentExtensible w16cex:durableId="1412179C" w16cex:dateUtc="2024-07-23T16:44:00Z"/>
  <w16cex:commentExtensible w16cex:durableId="251DD98F" w16cex:dateUtc="2024-07-23T16:49:00Z"/>
  <w16cex:commentExtensible w16cex:durableId="31093E64" w16cex:dateUtc="2024-03-21T23:37:00Z"/>
  <w16cex:commentExtensible w16cex:durableId="773A7939" w16cex:dateUtc="2024-07-23T17:04:00Z"/>
  <w16cex:commentExtensible w16cex:durableId="571A093A" w16cex:dateUtc="2024-03-22T14:51:00Z"/>
  <w16cex:commentExtensible w16cex:durableId="751C4471" w16cex:dateUtc="2024-07-23T17:41:00Z"/>
  <w16cex:commentExtensible w16cex:durableId="60760F53" w16cex:dateUtc="2024-03-22T15:46: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1278F64F" w16cex:dateUtc="2024-08-19T22:24:00Z"/>
  <w16cex:commentExtensible w16cex:durableId="14071914" w16cex:dateUtc="2024-08-07T18:11:00Z"/>
  <w16cex:commentExtensible w16cex:durableId="388252A7" w16cex:dateUtc="2024-08-14T19:59:00Z"/>
  <w16cex:commentExtensible w16cex:durableId="7864B242" w16cex:dateUtc="2024-08-14T19:59:00Z"/>
  <w16cex:commentExtensible w16cex:durableId="3AD972D1" w16cex:dateUtc="2024-08-14T20:01:00Z"/>
  <w16cex:commentExtensible w16cex:durableId="372DB13A" w16cex:dateUtc="2024-08-16T22:02:00Z"/>
  <w16cex:commentExtensible w16cex:durableId="499DA9AE" w16cex:dateUtc="2024-08-19T17:30:00Z"/>
  <w16cex:commentExtensible w16cex:durableId="36017D3A" w16cex:dateUtc="2024-08-19T17:54:00Z"/>
  <w16cex:commentExtensible w16cex:durableId="4F57C760" w16cex:dateUtc="2024-07-05T19:26:00Z"/>
  <w16cex:commentExtensible w16cex:durableId="37DF9A14" w16cex:dateUtc="2024-07-16T21:41:00Z"/>
  <w16cex:commentExtensible w16cex:durableId="30B9E16C" w16cex:dateUtc="2024-07-23T18:01:00Z"/>
  <w16cex:commentExtensible w16cex:durableId="4676C56D" w16cex:dateUtc="2024-07-05T19:30:00Z"/>
  <w16cex:commentExtensible w16cex:durableId="42CD58B9" w16cex:dateUtc="2024-07-05T19:30:00Z"/>
  <w16cex:commentExtensible w16cex:durableId="0C438392" w16cex:dateUtc="2024-07-12T23:37:00Z"/>
  <w16cex:commentExtensible w16cex:durableId="1B9972EF" w16cex:dateUtc="2024-03-21T14:54:00Z"/>
  <w16cex:commentExtensible w16cex:durableId="258AFB3A" w16cex:dateUtc="2024-03-21T15:02:00Z"/>
  <w16cex:commentExtensible w16cex:durableId="05349D56" w16cex:dateUtc="2024-03-21T15:03:00Z"/>
  <w16cex:commentExtensible w16cex:durableId="1364E7C1" w16cex:dateUtc="2024-07-23T18:58:00Z"/>
  <w16cex:commentExtensible w16cex:durableId="459C4B33" w16cex:dateUtc="2024-07-05T19:37:00Z"/>
  <w16cex:commentExtensible w16cex:durableId="18982704" w16cex:dateUtc="2024-07-16T21:14: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CA4B35" w16cid:durableId="2A11621D"/>
  <w16cid:commentId w16cid:paraId="40C93B3D" w16cid:durableId="685A84B1"/>
  <w16cid:commentId w16cid:paraId="5AAB2810" w16cid:durableId="70C1F963"/>
  <w16cid:commentId w16cid:paraId="37A9109E" w16cid:durableId="57DBCCA9"/>
  <w16cid:commentId w16cid:paraId="125D4431" w16cid:durableId="6710A97F"/>
  <w16cid:commentId w16cid:paraId="08D131CF" w16cid:durableId="1B863DFD"/>
  <w16cid:commentId w16cid:paraId="377D4F44" w16cid:durableId="1412179C"/>
  <w16cid:commentId w16cid:paraId="5CA930B3" w16cid:durableId="2A1A9B22"/>
  <w16cid:commentId w16cid:paraId="4C4333DD" w16cid:durableId="251DD98F"/>
  <w16cid:commentId w16cid:paraId="2F749496" w16cid:durableId="31093E64"/>
  <w16cid:commentId w16cid:paraId="4B66C07D" w16cid:durableId="773A7939"/>
  <w16cid:commentId w16cid:paraId="0D4D4846" w16cid:durableId="571A093A"/>
  <w16cid:commentId w16cid:paraId="749A1E21" w16cid:durableId="751C4471"/>
  <w16cid:commentId w16cid:paraId="005215D3" w16cid:durableId="60760F53"/>
  <w16cid:commentId w16cid:paraId="17D38A3B" w16cid:durableId="29AD30AD"/>
  <w16cid:commentId w16cid:paraId="53EF394E" w16cid:durableId="2978BF19"/>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1065BB48" w16cid:durableId="1278F64F"/>
  <w16cid:commentId w16cid:paraId="45883B77" w16cid:durableId="14071914"/>
  <w16cid:commentId w16cid:paraId="22BF149A" w16cid:durableId="2A2E58E4"/>
  <w16cid:commentId w16cid:paraId="179F601D" w16cid:durableId="2A2E58F6"/>
  <w16cid:commentId w16cid:paraId="10643720" w16cid:durableId="2A2E591D"/>
  <w16cid:commentId w16cid:paraId="0EC025A0" w16cid:durableId="388252A7"/>
  <w16cid:commentId w16cid:paraId="642FCDA3" w16cid:durableId="7864B242"/>
  <w16cid:commentId w16cid:paraId="3697E87F" w16cid:durableId="3AD972D1"/>
  <w16cid:commentId w16cid:paraId="18DAFAE8" w16cid:durableId="372DB13A"/>
  <w16cid:commentId w16cid:paraId="7C84EED2" w16cid:durableId="499DA9AE"/>
  <w16cid:commentId w16cid:paraId="1CAD8F46" w16cid:durableId="36017D3A"/>
  <w16cid:commentId w16cid:paraId="5428C492" w16cid:durableId="4F57C760"/>
  <w16cid:commentId w16cid:paraId="33E02D7D" w16cid:durableId="37DF9A14"/>
  <w16cid:commentId w16cid:paraId="7BD2D752" w16cid:durableId="30B9E16C"/>
  <w16cid:commentId w16cid:paraId="1E191D94" w16cid:durableId="4676C56D"/>
  <w16cid:commentId w16cid:paraId="059A3945" w16cid:durableId="42CD58B9"/>
  <w16cid:commentId w16cid:paraId="3228B177" w16cid:durableId="0C438392"/>
  <w16cid:commentId w16cid:paraId="1F56115F" w16cid:durableId="1B9972EF"/>
  <w16cid:commentId w16cid:paraId="097F1C04" w16cid:durableId="258AFB3A"/>
  <w16cid:commentId w16cid:paraId="6248F20C" w16cid:durableId="05349D56"/>
  <w16cid:commentId w16cid:paraId="6417C75B" w16cid:durableId="1364E7C1"/>
  <w16cid:commentId w16cid:paraId="5A99A513" w16cid:durableId="459C4B33"/>
  <w16cid:commentId w16cid:paraId="1F298D4A" w16cid:durableId="18982704"/>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4BEBB" w14:textId="77777777" w:rsidR="005F5807" w:rsidRDefault="005F5807" w:rsidP="009B4C2B">
      <w:r>
        <w:separator/>
      </w:r>
    </w:p>
  </w:endnote>
  <w:endnote w:type="continuationSeparator" w:id="0">
    <w:p w14:paraId="77EDC250" w14:textId="77777777" w:rsidR="005F5807" w:rsidRDefault="005F5807"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DC9EE" w14:textId="77777777" w:rsidR="005F5807" w:rsidRDefault="005F5807" w:rsidP="009B4C2B">
      <w:r>
        <w:separator/>
      </w:r>
    </w:p>
  </w:footnote>
  <w:footnote w:type="continuationSeparator" w:id="0">
    <w:p w14:paraId="27F399FA" w14:textId="77777777" w:rsidR="005F5807" w:rsidRDefault="005F5807"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1"/>
  </w:num>
  <w:num w:numId="2" w16cid:durableId="823005314">
    <w:abstractNumId w:val="2"/>
  </w:num>
  <w:num w:numId="3" w16cid:durableId="360740267">
    <w:abstractNumId w:val="5"/>
  </w:num>
  <w:num w:numId="4" w16cid:durableId="969171322">
    <w:abstractNumId w:val="0"/>
  </w:num>
  <w:num w:numId="5" w16cid:durableId="1478454110">
    <w:abstractNumId w:val="3"/>
  </w:num>
  <w:num w:numId="6" w16cid:durableId="1226066904">
    <w:abstractNumId w:val="6"/>
  </w:num>
  <w:num w:numId="7" w16cid:durableId="2111776711">
    <w:abstractNumId w:val="4"/>
  </w:num>
  <w:num w:numId="8" w16cid:durableId="166829040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27E5"/>
    <w:rsid w:val="0001775B"/>
    <w:rsid w:val="0002013E"/>
    <w:rsid w:val="000227FF"/>
    <w:rsid w:val="00026365"/>
    <w:rsid w:val="00026433"/>
    <w:rsid w:val="000300C1"/>
    <w:rsid w:val="0003350D"/>
    <w:rsid w:val="00034975"/>
    <w:rsid w:val="000358C8"/>
    <w:rsid w:val="00042896"/>
    <w:rsid w:val="00043001"/>
    <w:rsid w:val="00056973"/>
    <w:rsid w:val="00057B69"/>
    <w:rsid w:val="00057BA8"/>
    <w:rsid w:val="000642CC"/>
    <w:rsid w:val="00064FCF"/>
    <w:rsid w:val="00066613"/>
    <w:rsid w:val="0007080D"/>
    <w:rsid w:val="0007282D"/>
    <w:rsid w:val="00080452"/>
    <w:rsid w:val="00094986"/>
    <w:rsid w:val="00095C26"/>
    <w:rsid w:val="000A1681"/>
    <w:rsid w:val="000A1A31"/>
    <w:rsid w:val="000A63B7"/>
    <w:rsid w:val="000A6D26"/>
    <w:rsid w:val="000C156B"/>
    <w:rsid w:val="000C2453"/>
    <w:rsid w:val="000C6AA6"/>
    <w:rsid w:val="000D41B2"/>
    <w:rsid w:val="000D4769"/>
    <w:rsid w:val="000D685F"/>
    <w:rsid w:val="000E0C25"/>
    <w:rsid w:val="000E1A71"/>
    <w:rsid w:val="000E3FA6"/>
    <w:rsid w:val="000E691F"/>
    <w:rsid w:val="000E74A0"/>
    <w:rsid w:val="000F79B3"/>
    <w:rsid w:val="00101984"/>
    <w:rsid w:val="00105516"/>
    <w:rsid w:val="0011523B"/>
    <w:rsid w:val="001175F9"/>
    <w:rsid w:val="001211D2"/>
    <w:rsid w:val="00122300"/>
    <w:rsid w:val="001313BD"/>
    <w:rsid w:val="0013326D"/>
    <w:rsid w:val="00134966"/>
    <w:rsid w:val="00136DB7"/>
    <w:rsid w:val="00137407"/>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9076A"/>
    <w:rsid w:val="00195ECF"/>
    <w:rsid w:val="0019777D"/>
    <w:rsid w:val="001A0C35"/>
    <w:rsid w:val="001A65DD"/>
    <w:rsid w:val="001B22A8"/>
    <w:rsid w:val="001B79C7"/>
    <w:rsid w:val="001D13C5"/>
    <w:rsid w:val="001D3701"/>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D40ED"/>
    <w:rsid w:val="002D7263"/>
    <w:rsid w:val="002E1265"/>
    <w:rsid w:val="002E537D"/>
    <w:rsid w:val="002E568B"/>
    <w:rsid w:val="002E7BDB"/>
    <w:rsid w:val="002F0A6D"/>
    <w:rsid w:val="002F0DB3"/>
    <w:rsid w:val="002F18B0"/>
    <w:rsid w:val="00314A5D"/>
    <w:rsid w:val="00315B05"/>
    <w:rsid w:val="00334ADF"/>
    <w:rsid w:val="00337794"/>
    <w:rsid w:val="003509B8"/>
    <w:rsid w:val="00352B3A"/>
    <w:rsid w:val="00355A76"/>
    <w:rsid w:val="0035683A"/>
    <w:rsid w:val="00356E7A"/>
    <w:rsid w:val="00363EDC"/>
    <w:rsid w:val="003665DF"/>
    <w:rsid w:val="00367076"/>
    <w:rsid w:val="003717AA"/>
    <w:rsid w:val="003733DE"/>
    <w:rsid w:val="00375CD0"/>
    <w:rsid w:val="003801C9"/>
    <w:rsid w:val="00380F24"/>
    <w:rsid w:val="003859F6"/>
    <w:rsid w:val="0039086A"/>
    <w:rsid w:val="003922EB"/>
    <w:rsid w:val="00392DBC"/>
    <w:rsid w:val="00396449"/>
    <w:rsid w:val="00397B9C"/>
    <w:rsid w:val="003A204B"/>
    <w:rsid w:val="003B4768"/>
    <w:rsid w:val="003B6CDD"/>
    <w:rsid w:val="003C7B94"/>
    <w:rsid w:val="003D17AC"/>
    <w:rsid w:val="003D5A5B"/>
    <w:rsid w:val="003E0CA3"/>
    <w:rsid w:val="003E0D14"/>
    <w:rsid w:val="003E741B"/>
    <w:rsid w:val="003F22F7"/>
    <w:rsid w:val="003F627B"/>
    <w:rsid w:val="003F63B3"/>
    <w:rsid w:val="0040085E"/>
    <w:rsid w:val="004036C6"/>
    <w:rsid w:val="00403CB4"/>
    <w:rsid w:val="00405356"/>
    <w:rsid w:val="00406F74"/>
    <w:rsid w:val="0041279D"/>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39F8"/>
    <w:rsid w:val="00477D12"/>
    <w:rsid w:val="00480B9F"/>
    <w:rsid w:val="00481673"/>
    <w:rsid w:val="00486C53"/>
    <w:rsid w:val="00487ED1"/>
    <w:rsid w:val="004934ED"/>
    <w:rsid w:val="00494CBA"/>
    <w:rsid w:val="00495B22"/>
    <w:rsid w:val="004A19AE"/>
    <w:rsid w:val="004A6A89"/>
    <w:rsid w:val="004B0146"/>
    <w:rsid w:val="004C10EB"/>
    <w:rsid w:val="004C7077"/>
    <w:rsid w:val="004D08E1"/>
    <w:rsid w:val="004D42BB"/>
    <w:rsid w:val="004E5C73"/>
    <w:rsid w:val="004E6F16"/>
    <w:rsid w:val="004F5624"/>
    <w:rsid w:val="005110F5"/>
    <w:rsid w:val="00512CBD"/>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70DF"/>
    <w:rsid w:val="005933DD"/>
    <w:rsid w:val="005A129F"/>
    <w:rsid w:val="005A1F03"/>
    <w:rsid w:val="005A498B"/>
    <w:rsid w:val="005B26B9"/>
    <w:rsid w:val="005B3F6C"/>
    <w:rsid w:val="005B5A3A"/>
    <w:rsid w:val="005C511E"/>
    <w:rsid w:val="005C6C7A"/>
    <w:rsid w:val="005E0538"/>
    <w:rsid w:val="005E0A73"/>
    <w:rsid w:val="005E0EEE"/>
    <w:rsid w:val="005E2C00"/>
    <w:rsid w:val="005E2FEE"/>
    <w:rsid w:val="005E6D58"/>
    <w:rsid w:val="005F0597"/>
    <w:rsid w:val="005F1E8D"/>
    <w:rsid w:val="005F39D0"/>
    <w:rsid w:val="005F422E"/>
    <w:rsid w:val="005F580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1F9"/>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95175"/>
    <w:rsid w:val="006B016A"/>
    <w:rsid w:val="006B4882"/>
    <w:rsid w:val="006C360E"/>
    <w:rsid w:val="006C4A83"/>
    <w:rsid w:val="006C6F43"/>
    <w:rsid w:val="006D152A"/>
    <w:rsid w:val="006D3066"/>
    <w:rsid w:val="006D5284"/>
    <w:rsid w:val="006D7F06"/>
    <w:rsid w:val="006E0C18"/>
    <w:rsid w:val="006E54C4"/>
    <w:rsid w:val="006F3E6B"/>
    <w:rsid w:val="006F584C"/>
    <w:rsid w:val="00700CA8"/>
    <w:rsid w:val="00701637"/>
    <w:rsid w:val="00701EB0"/>
    <w:rsid w:val="007025A9"/>
    <w:rsid w:val="0070501D"/>
    <w:rsid w:val="00705FE1"/>
    <w:rsid w:val="00712A56"/>
    <w:rsid w:val="00715D18"/>
    <w:rsid w:val="00715D27"/>
    <w:rsid w:val="00716377"/>
    <w:rsid w:val="007256B0"/>
    <w:rsid w:val="0072610A"/>
    <w:rsid w:val="007268C2"/>
    <w:rsid w:val="00731EA5"/>
    <w:rsid w:val="00761A9D"/>
    <w:rsid w:val="00765FE9"/>
    <w:rsid w:val="0077211F"/>
    <w:rsid w:val="0077441C"/>
    <w:rsid w:val="00782EA1"/>
    <w:rsid w:val="0078518E"/>
    <w:rsid w:val="00792779"/>
    <w:rsid w:val="00796F8D"/>
    <w:rsid w:val="007A1A08"/>
    <w:rsid w:val="007A1A41"/>
    <w:rsid w:val="007A283D"/>
    <w:rsid w:val="007A68CB"/>
    <w:rsid w:val="007B5406"/>
    <w:rsid w:val="007B580F"/>
    <w:rsid w:val="007C03DE"/>
    <w:rsid w:val="007C042F"/>
    <w:rsid w:val="007C0A44"/>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13785"/>
    <w:rsid w:val="00815249"/>
    <w:rsid w:val="00816A13"/>
    <w:rsid w:val="00817AD8"/>
    <w:rsid w:val="00817D31"/>
    <w:rsid w:val="00824BD5"/>
    <w:rsid w:val="00826808"/>
    <w:rsid w:val="008307A0"/>
    <w:rsid w:val="00830E20"/>
    <w:rsid w:val="008335BF"/>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47079"/>
    <w:rsid w:val="009500AF"/>
    <w:rsid w:val="0095043F"/>
    <w:rsid w:val="00950C3D"/>
    <w:rsid w:val="009529BF"/>
    <w:rsid w:val="00956033"/>
    <w:rsid w:val="009569DD"/>
    <w:rsid w:val="009609CF"/>
    <w:rsid w:val="0096667C"/>
    <w:rsid w:val="00967589"/>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4B41"/>
    <w:rsid w:val="00A15663"/>
    <w:rsid w:val="00A15B36"/>
    <w:rsid w:val="00A166C5"/>
    <w:rsid w:val="00A213FF"/>
    <w:rsid w:val="00A33386"/>
    <w:rsid w:val="00A36A0B"/>
    <w:rsid w:val="00A44D01"/>
    <w:rsid w:val="00A565ED"/>
    <w:rsid w:val="00A56CF1"/>
    <w:rsid w:val="00A7066E"/>
    <w:rsid w:val="00A71A32"/>
    <w:rsid w:val="00A76702"/>
    <w:rsid w:val="00A8076B"/>
    <w:rsid w:val="00A81C25"/>
    <w:rsid w:val="00A82539"/>
    <w:rsid w:val="00A84F17"/>
    <w:rsid w:val="00A91086"/>
    <w:rsid w:val="00A92411"/>
    <w:rsid w:val="00A9541C"/>
    <w:rsid w:val="00A9700D"/>
    <w:rsid w:val="00AA20C8"/>
    <w:rsid w:val="00AA2419"/>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1A9A"/>
    <w:rsid w:val="00B547A8"/>
    <w:rsid w:val="00B61844"/>
    <w:rsid w:val="00B62619"/>
    <w:rsid w:val="00B62EEA"/>
    <w:rsid w:val="00B62F21"/>
    <w:rsid w:val="00B654FE"/>
    <w:rsid w:val="00B71E47"/>
    <w:rsid w:val="00B825DD"/>
    <w:rsid w:val="00B826DC"/>
    <w:rsid w:val="00B861DC"/>
    <w:rsid w:val="00B866D6"/>
    <w:rsid w:val="00B874D2"/>
    <w:rsid w:val="00B8757C"/>
    <w:rsid w:val="00B928B9"/>
    <w:rsid w:val="00B96AAE"/>
    <w:rsid w:val="00BA1DF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5F43"/>
    <w:rsid w:val="00BF1FB2"/>
    <w:rsid w:val="00BF7831"/>
    <w:rsid w:val="00C01950"/>
    <w:rsid w:val="00C05930"/>
    <w:rsid w:val="00C05A5A"/>
    <w:rsid w:val="00C06EC1"/>
    <w:rsid w:val="00C12458"/>
    <w:rsid w:val="00C12D3F"/>
    <w:rsid w:val="00C146F7"/>
    <w:rsid w:val="00C21D82"/>
    <w:rsid w:val="00C2208A"/>
    <w:rsid w:val="00C246F4"/>
    <w:rsid w:val="00C25CFD"/>
    <w:rsid w:val="00C26711"/>
    <w:rsid w:val="00C27CC6"/>
    <w:rsid w:val="00C31EA3"/>
    <w:rsid w:val="00C43285"/>
    <w:rsid w:val="00C45043"/>
    <w:rsid w:val="00C459A2"/>
    <w:rsid w:val="00C45F40"/>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07BC0"/>
    <w:rsid w:val="00D10B17"/>
    <w:rsid w:val="00D1548C"/>
    <w:rsid w:val="00D16152"/>
    <w:rsid w:val="00D16571"/>
    <w:rsid w:val="00D16B00"/>
    <w:rsid w:val="00D20127"/>
    <w:rsid w:val="00D27E15"/>
    <w:rsid w:val="00D31F5B"/>
    <w:rsid w:val="00D351C1"/>
    <w:rsid w:val="00D37004"/>
    <w:rsid w:val="00D37C4A"/>
    <w:rsid w:val="00D40247"/>
    <w:rsid w:val="00D41147"/>
    <w:rsid w:val="00D4585B"/>
    <w:rsid w:val="00D51B90"/>
    <w:rsid w:val="00D5697E"/>
    <w:rsid w:val="00D56988"/>
    <w:rsid w:val="00D57AB2"/>
    <w:rsid w:val="00D71E1B"/>
    <w:rsid w:val="00D768B7"/>
    <w:rsid w:val="00D823F4"/>
    <w:rsid w:val="00D85A41"/>
    <w:rsid w:val="00D93294"/>
    <w:rsid w:val="00D96F75"/>
    <w:rsid w:val="00D9775A"/>
    <w:rsid w:val="00DA10C2"/>
    <w:rsid w:val="00DB029A"/>
    <w:rsid w:val="00DB5A3B"/>
    <w:rsid w:val="00DC0493"/>
    <w:rsid w:val="00DC4A52"/>
    <w:rsid w:val="00DC5B5B"/>
    <w:rsid w:val="00DD6988"/>
    <w:rsid w:val="00DE0CED"/>
    <w:rsid w:val="00DE151A"/>
    <w:rsid w:val="00DE4185"/>
    <w:rsid w:val="00DE493D"/>
    <w:rsid w:val="00DE63E7"/>
    <w:rsid w:val="00DF22E5"/>
    <w:rsid w:val="00DF4B83"/>
    <w:rsid w:val="00DF5087"/>
    <w:rsid w:val="00DF59A5"/>
    <w:rsid w:val="00E01F00"/>
    <w:rsid w:val="00E0267E"/>
    <w:rsid w:val="00E02E63"/>
    <w:rsid w:val="00E0703E"/>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6AC"/>
    <w:rsid w:val="00E639BB"/>
    <w:rsid w:val="00E63D93"/>
    <w:rsid w:val="00E6472E"/>
    <w:rsid w:val="00E6680F"/>
    <w:rsid w:val="00E738EE"/>
    <w:rsid w:val="00E763F3"/>
    <w:rsid w:val="00E83D6E"/>
    <w:rsid w:val="00E85990"/>
    <w:rsid w:val="00E85DC2"/>
    <w:rsid w:val="00E86B3F"/>
    <w:rsid w:val="00E914E6"/>
    <w:rsid w:val="00EA2D98"/>
    <w:rsid w:val="00EA4716"/>
    <w:rsid w:val="00EB3BC7"/>
    <w:rsid w:val="00EB7CB2"/>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3E40"/>
    <w:rsid w:val="00F36798"/>
    <w:rsid w:val="00F37657"/>
    <w:rsid w:val="00F62DF9"/>
    <w:rsid w:val="00F64AEB"/>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17D"/>
    <w:rsid w:val="00FE153F"/>
    <w:rsid w:val="00FE62AB"/>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bone.biol.sc.edu/tide/tideshow.cgi?site=Bamfield%2C+British+Columbia"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46</Pages>
  <Words>33956</Words>
  <Characters>193553</Characters>
  <Application>Microsoft Office Word</Application>
  <DocSecurity>0</DocSecurity>
  <Lines>1612</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76</cp:revision>
  <dcterms:created xsi:type="dcterms:W3CDTF">2024-07-09T22:34:00Z</dcterms:created>
  <dcterms:modified xsi:type="dcterms:W3CDTF">2024-08-20T23:16:00Z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