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commentRangeStart w:id="1"/>
      <w:commentRangeStart w:id="2"/>
      <w:r w:rsidRPr="005F1E8D">
        <w:rPr>
          <w:b/>
          <w:bCs/>
        </w:rPr>
        <w:t xml:space="preserve">Spatial </w:t>
      </w:r>
      <w:commentRangeEnd w:id="0"/>
      <w:r w:rsidR="00AF52A3">
        <w:rPr>
          <w:rStyle w:val="CommentReference"/>
        </w:rPr>
        <w:commentReference w:id="0"/>
      </w:r>
      <w:commentRangeEnd w:id="1"/>
      <w:r w:rsidR="00AD03E0">
        <w:rPr>
          <w:rStyle w:val="CommentReference"/>
        </w:rPr>
        <w:commentReference w:id="1"/>
      </w:r>
      <w:commentRangeEnd w:id="2"/>
      <w:r w:rsidR="001E1BD6">
        <w:rPr>
          <w:rStyle w:val="CommentReference"/>
        </w:rPr>
        <w:commentReference w:id="2"/>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5D2466DC" w:rsidR="00217D47" w:rsidRPr="005F1E8D" w:rsidRDefault="00217D47" w:rsidP="00217D47">
      <w:pPr>
        <w:spacing w:line="480" w:lineRule="auto"/>
        <w:jc w:val="center"/>
      </w:pPr>
      <w:r w:rsidRPr="005F1E8D">
        <w:br/>
        <w:t>Em G Lim</w:t>
      </w:r>
      <w:r w:rsidRPr="005F1E8D">
        <w:rPr>
          <w:vertAlign w:val="superscript"/>
        </w:rPr>
        <w:t>1</w:t>
      </w:r>
      <w:r w:rsidR="006214D6">
        <w:rPr>
          <w:vertAlign w:val="superscript"/>
        </w:rPr>
        <w:t>*</w:t>
      </w:r>
      <w:r w:rsidRPr="005F1E8D">
        <w:t>, Claire M Attridge</w:t>
      </w:r>
      <w:r w:rsidRPr="005F1E8D">
        <w:rPr>
          <w:vertAlign w:val="superscript"/>
        </w:rPr>
        <w:t>1</w:t>
      </w:r>
      <w:r w:rsidRPr="005F1E8D">
        <w:t>, Jasmin M Schuster</w:t>
      </w:r>
      <w:r w:rsidRPr="005F1E8D">
        <w:rPr>
          <w:vertAlign w:val="superscript"/>
        </w:rPr>
        <w:t>2,3</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Pr="005F1E8D">
        <w:rPr>
          <w:vertAlign w:val="superscript"/>
        </w:rPr>
        <w:t>2</w:t>
      </w:r>
      <w:r w:rsidRPr="005F1E8D">
        <w:t>, Andrew L Bickell</w:t>
      </w:r>
      <w:r w:rsidRPr="005F1E8D">
        <w:rPr>
          <w:vertAlign w:val="superscript"/>
        </w:rPr>
        <w:t>2</w:t>
      </w:r>
      <w:r w:rsidRPr="005F1E8D">
        <w:t>, Francis Juanes</w:t>
      </w:r>
      <w:r w:rsidRPr="005F1E8D">
        <w:rPr>
          <w:vertAlign w:val="superscript"/>
        </w:rPr>
        <w:t>2</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77777777" w:rsidR="00CE7337" w:rsidRPr="005F1E8D" w:rsidRDefault="00CE7337" w:rsidP="00CE7337">
      <w:pPr>
        <w:spacing w:line="480" w:lineRule="auto"/>
      </w:pPr>
    </w:p>
    <w:p w14:paraId="266CA33B" w14:textId="77777777" w:rsidR="008307A0" w:rsidRPr="005F1E8D" w:rsidRDefault="008307A0" w:rsidP="00CE7337">
      <w:pPr>
        <w:spacing w:line="480" w:lineRule="auto"/>
      </w:pPr>
      <w:r w:rsidRPr="005F1E8D">
        <w:rPr>
          <w:vertAlign w:val="superscript"/>
        </w:rPr>
        <w:t>1</w:t>
      </w:r>
      <w:r w:rsidRPr="005F1E8D">
        <w:t>Department of Biological Sciences, Simon Fraser University, Burnaby, British Columbia, Canada</w:t>
      </w:r>
    </w:p>
    <w:p w14:paraId="30BEE07B" w14:textId="77777777" w:rsidR="008307A0" w:rsidRPr="005F1E8D" w:rsidRDefault="008307A0" w:rsidP="00CE7337">
      <w:pPr>
        <w:spacing w:line="480" w:lineRule="auto"/>
      </w:pPr>
      <w:r w:rsidRPr="005F1E8D">
        <w:rPr>
          <w:vertAlign w:val="superscript"/>
        </w:rPr>
        <w:t>2</w:t>
      </w:r>
      <w:r w:rsidRPr="005F1E8D">
        <w:t>Department of Biology, University of Victoria, Victoria, British Columbia, Canada</w:t>
      </w:r>
    </w:p>
    <w:p w14:paraId="25B6A48E" w14:textId="77777777" w:rsidR="008307A0" w:rsidRPr="005F1E8D" w:rsidRDefault="008307A0" w:rsidP="00CE7337">
      <w:pPr>
        <w:spacing w:line="480" w:lineRule="auto"/>
        <w:rPr>
          <w:color w:val="202124"/>
        </w:rPr>
      </w:pPr>
      <w:r w:rsidRPr="005F1E8D">
        <w:rPr>
          <w:vertAlign w:val="superscript"/>
        </w:rPr>
        <w:t>3</w:t>
      </w:r>
      <w:r w:rsidRPr="005F1E8D">
        <w:t xml:space="preserve">Hakai Institute, </w:t>
      </w:r>
      <w:r w:rsidRPr="005F1E8D">
        <w:rPr>
          <w:color w:val="202124"/>
        </w:rPr>
        <w:t>Campbell River, British Columbia, Canada</w:t>
      </w:r>
    </w:p>
    <w:p w14:paraId="6AD39534" w14:textId="266CF740" w:rsidR="008307A0" w:rsidRPr="005F1E8D" w:rsidRDefault="006214D6" w:rsidP="00CE7337">
      <w:pPr>
        <w:spacing w:line="480" w:lineRule="auto"/>
      </w:pPr>
      <w:r>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4C88A945"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and 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080452">
        <w:t xml:space="preserve">was </w:t>
      </w:r>
      <w:r w:rsidRPr="005F1E8D">
        <w:t xml:space="preserve">weakly positive at slack and ebb tides, </w:t>
      </w:r>
      <w:r w:rsidR="003C6B73">
        <w:t xml:space="preserve">indicating local enrichment at these times, </w:t>
      </w:r>
      <w:r w:rsidRPr="005F1E8D">
        <w:t xml:space="preserve">but weakly negative at flood tide. Ammonium was significantly higher within than </w:t>
      </w:r>
      <w:r w:rsidR="003C6B73">
        <w:t>at the edge of</w:t>
      </w:r>
      <w:r w:rsidR="00B61844" w:rsidRPr="005F1E8D">
        <w:t xml:space="preserve"> </w:t>
      </w:r>
      <w:r w:rsidRPr="005F1E8D">
        <w:t>kelp forests</w:t>
      </w:r>
      <w:r w:rsidR="003C6B73">
        <w:t>, ~ 5 m away</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w:t>
      </w:r>
      <w:commentRangeStart w:id="3"/>
      <w:commentRangeStart w:id="4"/>
      <w:commentRangeStart w:id="5"/>
      <w:r w:rsidRPr="005F1E8D">
        <w:rPr>
          <w:iCs/>
        </w:rPr>
        <w:t>.</w:t>
      </w:r>
      <w:commentRangeEnd w:id="3"/>
      <w:r w:rsidR="00813785">
        <w:rPr>
          <w:rStyle w:val="CommentReference"/>
        </w:rPr>
        <w:commentReference w:id="3"/>
      </w:r>
      <w:commentRangeEnd w:id="4"/>
      <w:r w:rsidR="00813785">
        <w:rPr>
          <w:rStyle w:val="CommentReference"/>
        </w:rPr>
        <w:commentReference w:id="4"/>
      </w:r>
      <w:commentRangeEnd w:id="5"/>
      <w:r w:rsidR="00813785">
        <w:rPr>
          <w:rStyle w:val="CommentReference"/>
        </w:rPr>
        <w:commentReference w:id="5"/>
      </w:r>
      <w:r w:rsidRPr="005F1E8D">
        <w:rPr>
          <w:iCs/>
        </w:rPr>
        <w:t xml:space="preserve">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a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r w:rsidR="003C6B73" w:rsidRPr="003C6B73">
        <w:t>Consumer-mediated nutrient dynamics</w:t>
      </w:r>
      <w:r w:rsidR="00B527B0">
        <w:t xml:space="preserve"> could therefore drive spatial variation in primary productivity at a range of scale</w:t>
      </w:r>
      <w:r w:rsidR="001E1BD6">
        <w:t>s</w:t>
      </w:r>
      <w:r w:rsidR="00B527B0">
        <w:t xml:space="preserve"> in a way that was previously thought possible </w:t>
      </w:r>
      <w:r w:rsidR="001E1BD6">
        <w:t xml:space="preserve">only </w:t>
      </w:r>
      <w:r w:rsidR="00B527B0">
        <w:t>in tropical marine environments.</w:t>
      </w:r>
      <w:r w:rsidR="003C6B73" w:rsidRPr="003C6B73">
        <w:t xml:space="preserve"> </w:t>
      </w:r>
      <w:r w:rsidR="005E0538" w:rsidRPr="000F66F1">
        <w:t xml:space="preserve"> </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7EDF911A"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 xml:space="preserve">is under bottom-up control, i.e.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2216A4">
        <w:rPr>
          <w:color w:val="000000"/>
        </w:rPr>
        <w:t>,</w:t>
      </w:r>
      <w:r w:rsidR="00CE5810" w:rsidRPr="005F1E8D">
        <w:rPr>
          <w:color w:val="000000"/>
        </w:rPr>
        <w:t xml:space="preserve"> such as upwelling</w:t>
      </w:r>
      <w:r w:rsidR="002216A4">
        <w:rPr>
          <w:color w:val="000000"/>
        </w:rPr>
        <w:t>,</w:t>
      </w:r>
      <w:r w:rsidR="002142F2" w:rsidRPr="005F1E8D">
        <w:rPr>
          <w:color w:val="000000"/>
        </w:rPr>
        <w:t xml:space="preserve"> as drivers of variability in nutrient availability, </w:t>
      </w:r>
      <w:r w:rsidR="00F33E40" w:rsidRPr="005F1E8D">
        <w:rPr>
          <w:color w:val="000000"/>
        </w:rPr>
        <w:t>there is now substantial evidence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02D7A573" w:rsidR="00676581" w:rsidRPr="005F1E8D" w:rsidRDefault="004317DC" w:rsidP="00BC463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 source of temporal 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travel from their </w:t>
      </w:r>
      <w:r w:rsidR="00B16FBC" w:rsidRPr="005F1E8D">
        <w:rPr>
          <w:color w:val="000000"/>
        </w:rPr>
        <w:t>nighttime</w:t>
      </w:r>
      <w:r w:rsidR="003D17AC" w:rsidRPr="005F1E8D">
        <w:rPr>
          <w:color w:val="000000"/>
        </w:rPr>
        <w:t xml:space="preserve"> </w:t>
      </w:r>
      <w:r w:rsidR="00F92DAE" w:rsidRPr="005F1E8D">
        <w:rPr>
          <w:color w:val="000000"/>
        </w:rPr>
        <w:lastRenderedPageBreak/>
        <w:t xml:space="preserve">feeding grounds to </w:t>
      </w:r>
      <w:r w:rsidR="00B16FBC" w:rsidRPr="005F1E8D">
        <w:rPr>
          <w:color w:val="000000"/>
        </w:rPr>
        <w:t>daytime</w:t>
      </w:r>
      <w:r w:rsidR="00F92DAE" w:rsidRPr="005F1E8D">
        <w:rPr>
          <w:color w:val="000000"/>
        </w:rPr>
        <w:t xml:space="preserve"> hiding spots, transporting substantial quantities of </w:t>
      </w:r>
      <w:r w:rsidR="00A213FF" w:rsidRPr="005F1E8D">
        <w:rPr>
          <w:color w:val="000000"/>
        </w:rPr>
        <w:t>nitrogen</w:t>
      </w:r>
      <w:r w:rsidR="00AF1C1D">
        <w:rPr>
          <w:color w:val="000000"/>
        </w:rPr>
        <w:t xml:space="preserve"> in their tissues</w:t>
      </w:r>
      <w:r w:rsidR="00F92DAE" w:rsidRPr="005F1E8D">
        <w:rPr>
          <w:color w:val="000000"/>
        </w:rPr>
        <w:t xml:space="preserve"> with </w:t>
      </w:r>
      <w:commentRangeStart w:id="6"/>
      <w:commentRangeStart w:id="7"/>
      <w:r w:rsidR="00F92DAE" w:rsidRPr="005F1E8D">
        <w:rPr>
          <w:color w:val="000000"/>
        </w:rPr>
        <w:t>them</w:t>
      </w:r>
      <w:commentRangeEnd w:id="6"/>
      <w:r w:rsidR="00752F86">
        <w:rPr>
          <w:rStyle w:val="CommentReference"/>
        </w:rPr>
        <w:commentReference w:id="6"/>
      </w:r>
      <w:commentRangeEnd w:id="7"/>
      <w:r w:rsidR="002624C3">
        <w:rPr>
          <w:rStyle w:val="CommentReference"/>
        </w:rPr>
        <w:commentReference w:id="7"/>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temporal and spatial 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0F1D99B0" w:rsidR="00237ED0" w:rsidRDefault="00237ED0" w:rsidP="00E53B33">
      <w:pPr>
        <w:pBdr>
          <w:top w:val="nil"/>
          <w:left w:val="nil"/>
          <w:bottom w:val="nil"/>
          <w:right w:val="nil"/>
          <w:between w:val="nil"/>
        </w:pBdr>
        <w:spacing w:line="480" w:lineRule="auto"/>
        <w:ind w:firstLine="720"/>
        <w:rPr>
          <w:color w:val="000000"/>
        </w:rPr>
      </w:pPr>
      <w:r w:rsidRPr="005F1E8D">
        <w:rPr>
          <w:color w:val="000000"/>
        </w:rPr>
        <w:t>In temperate waters,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thought to </w:t>
      </w:r>
      <w:r w:rsidR="00E6680F" w:rsidRPr="005F1E8D">
        <w:rPr>
          <w:color w:val="000000"/>
        </w:rPr>
        <w:t xml:space="preserve">be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benthic</w:t>
      </w:r>
      <w:r w:rsidR="0067125A">
        <w:rPr>
          <w:color w:val="000000"/>
        </w:rPr>
        <w:t xml:space="preserve"> and pelagic</w:t>
      </w:r>
      <w:r w:rsidR="00290BF1" w:rsidRPr="005F1E8D">
        <w:rPr>
          <w:color w:val="000000"/>
        </w:rPr>
        <w:t xml:space="preserve">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r w:rsidR="00E53B33" w:rsidRPr="00E53B33">
        <w:rPr>
          <w:color w:val="000000"/>
        </w:rPr>
        <w:t>For example,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xml:space="preserve">, mussels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scales by increasing the concentration of nitrogen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ammonium concentration in the water </w:t>
      </w:r>
      <w:r w:rsidR="00FA0E9B" w:rsidRPr="005F1E8D">
        <w:rPr>
          <w:color w:val="000000"/>
        </w:rPr>
        <w:lastRenderedPageBreak/>
        <w:t xml:space="preserve">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two charismatic 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AD64D7" w:rsidRPr="005F1E8D">
        <w:rPr>
          <w:color w:val="000000"/>
        </w:rPr>
        <w:t>These animals excrete metabolic waste in the form of ammonium (NH</w:t>
      </w:r>
      <w:r w:rsidR="00AD64D7" w:rsidRPr="005F1E8D">
        <w:rPr>
          <w:rFonts w:ascii="Cambria Math" w:hAnsi="Cambria Math" w:cs="Cambria Math"/>
          <w:color w:val="000000"/>
        </w:rPr>
        <w:t>₄⁺</w:t>
      </w:r>
      <w:r w:rsidR="00AD64D7" w:rsidRPr="005F1E8D">
        <w:rPr>
          <w:color w:val="000000"/>
        </w:rPr>
        <w:t>), which is preferentially taken up by primary producers over other forms of nitrogen like nitrate and nitrite</w:t>
      </w:r>
      <w:r w:rsidR="00677F1B" w:rsidRPr="005F1E8D">
        <w:rPr>
          <w:color w:val="000000"/>
        </w:rPr>
        <w:t xml:space="preserve"> </w:t>
      </w:r>
      <w:r w:rsidR="00677F1B" w:rsidRPr="005F1E8D">
        <w:rPr>
          <w:color w:val="000000"/>
        </w:rPr>
        <w:fldChar w:fldCharType="begin"/>
      </w:r>
      <w:r w:rsidR="00677F1B"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color w:val="000000"/>
        </w:rPr>
        <w:fldChar w:fldCharType="separate"/>
      </w:r>
      <w:r w:rsidR="00677F1B" w:rsidRPr="005F1E8D">
        <w:rPr>
          <w:noProof/>
          <w:color w:val="000000"/>
        </w:rPr>
        <w:t>(Lobban and Harrison, 1994; Phillips and Hurd, 2004)</w:t>
      </w:r>
      <w:r w:rsidR="00677F1B" w:rsidRPr="005F1E8D">
        <w:rPr>
          <w:color w:val="000000"/>
        </w:rPr>
        <w:fldChar w:fldCharType="end"/>
      </w:r>
      <w:r w:rsidR="00AD64D7" w:rsidRPr="005F1E8D">
        <w:rPr>
          <w:color w:val="000000"/>
        </w:rPr>
        <w:t xml:space="preserve">. </w:t>
      </w:r>
      <w:r w:rsidR="00E53B33" w:rsidRPr="00E53B33">
        <w:rPr>
          <w:color w:val="000000"/>
        </w:rPr>
        <w:t xml:space="preserve">The </w:t>
      </w:r>
      <w:r w:rsidR="00752F86">
        <w:rPr>
          <w:color w:val="000000"/>
        </w:rPr>
        <w:t>high</w:t>
      </w:r>
      <w:r w:rsidR="00752F86" w:rsidRPr="00E53B33">
        <w:rPr>
          <w:color w:val="000000"/>
        </w:rPr>
        <w:t xml:space="preserve"> </w:t>
      </w:r>
      <w:r w:rsidR="00E53B33" w:rsidRPr="00E53B33">
        <w:rPr>
          <w:color w:val="000000"/>
        </w:rPr>
        <w:t xml:space="preserve">biomass and biodiversity </w:t>
      </w:r>
      <w:r w:rsidR="00752F86">
        <w:rPr>
          <w:color w:val="000000"/>
        </w:rPr>
        <w:t>found</w:t>
      </w:r>
      <w:r w:rsidR="00E53B33" w:rsidRPr="00E53B33">
        <w:rPr>
          <w:color w:val="000000"/>
        </w:rPr>
        <w:t xml:space="preserve"> within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These kelps,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 </w:t>
      </w:r>
      <w:r w:rsidR="008B1EB6" w:rsidRPr="005F1E8D">
        <w:rPr>
          <w:color w:val="000000"/>
        </w:rPr>
        <w:t xml:space="preserve">also contributing to </w:t>
      </w:r>
      <w:r w:rsidR="00043001" w:rsidRPr="005F1E8D">
        <w:rPr>
          <w:color w:val="000000"/>
        </w:rPr>
        <w:t xml:space="preserve">small-scale </w:t>
      </w:r>
      <w:r w:rsidR="008B1EB6" w:rsidRPr="005F1E8D">
        <w:rPr>
          <w:color w:val="000000"/>
        </w:rPr>
        <w:t>spatial heterogeneity</w:t>
      </w:r>
      <w:r w:rsidR="002C320F" w:rsidRPr="005F1E8D">
        <w:rPr>
          <w:color w:val="000000"/>
        </w:rPr>
        <w:t xml:space="preserve">. </w:t>
      </w:r>
    </w:p>
    <w:p w14:paraId="7AF2AC9B" w14:textId="6C456ECB"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 xml:space="preserve">. </w:t>
      </w:r>
      <w:r w:rsidR="006214D6">
        <w:rPr>
          <w:color w:val="000000"/>
        </w:rPr>
        <w:lastRenderedPageBreak/>
        <w:t xml:space="preserve">We tested the hypothesis that animal-regenerated nutrients could contribute to variability in resource availability across multiple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variation in animal abundance among sites. 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w:t>
      </w:r>
      <w:proofErr w:type="gramStart"/>
      <w:r w:rsidR="00E65785" w:rsidRPr="00E65785">
        <w:rPr>
          <w:color w:val="000000"/>
          <w:highlight w:val="green"/>
        </w:rPr>
        <w:t>a,b</w:t>
      </w:r>
      <w:proofErr w:type="gramEnd"/>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5D57111B"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0E691F" w:rsidRPr="005F1E8D">
        <w:t xml:space="preserve">unravel </w:t>
      </w:r>
      <w:r w:rsidR="00444BD0" w:rsidRPr="005F1E8D">
        <w:t>ecosystem dynamics, document large</w:t>
      </w:r>
      <w:r w:rsidR="000E691F" w:rsidRPr="005F1E8D">
        <w:t>-</w:t>
      </w:r>
      <w:r w:rsidR="00444BD0" w:rsidRPr="005F1E8D">
        <w:t>scale patterns of kelp response to heatwaves and establish ecological baselines</w:t>
      </w:r>
      <w:r w:rsidR="00E639BB">
        <w:t xml:space="preserve">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 xml:space="preserve">(Attridge et al., 2024; Howard et al., 2019; </w:t>
      </w:r>
      <w:r w:rsidR="00990B37">
        <w:rPr>
          <w:noProof/>
        </w:rPr>
        <w:lastRenderedPageBreak/>
        <w:t>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t xml:space="preserve">18 families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which are made up of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12A71565"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middle of May for three years (2021-2023), with all annual surveys occurring within 2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547A38" w:rsidRPr="005F1E8D">
        <w:t xml:space="preserve">A full explanation of the Reef Life Survey method </w:t>
      </w:r>
      <w:r w:rsidR="00F235E9" w:rsidRPr="005F1E8D">
        <w:t xml:space="preserve">is </w:t>
      </w:r>
      <w:r w:rsidR="00547A38" w:rsidRPr="005F1E8D">
        <w:t>available online (http://www.reeflifesurvey.com</w:t>
      </w:r>
      <w:r w:rsidR="00ED5552" w:rsidRPr="005F1E8D">
        <w:t>/methods</w:t>
      </w:r>
      <w:r w:rsidR="00547A38" w:rsidRPr="005F1E8D">
        <w:t xml:space="preserve">) and provided by </w:t>
      </w:r>
      <w:r w:rsidR="00547A38" w:rsidRPr="005F1E8D">
        <w:fldChar w:fldCharType="begin"/>
      </w:r>
      <w:r w:rsidR="00933A0C"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fldChar w:fldCharType="separate"/>
      </w:r>
      <w:r w:rsidR="00547A38" w:rsidRPr="005F1E8D">
        <w:rPr>
          <w:noProof/>
        </w:rPr>
        <w:t xml:space="preserve">Edgar and Stuart-Smith </w:t>
      </w:r>
      <w:r w:rsidR="00ED5552" w:rsidRPr="005F1E8D">
        <w:rPr>
          <w:noProof/>
        </w:rPr>
        <w:t>(</w:t>
      </w:r>
      <w:r w:rsidR="00547A38" w:rsidRPr="005F1E8D">
        <w:rPr>
          <w:noProof/>
        </w:rPr>
        <w:t>2009</w:t>
      </w:r>
      <w:r w:rsidR="00A14B41" w:rsidRPr="005F1E8D">
        <w:rPr>
          <w:noProof/>
        </w:rPr>
        <w:t>)</w:t>
      </w:r>
      <w:r w:rsidR="00ED5552" w:rsidRPr="005F1E8D">
        <w:rPr>
          <w:noProof/>
        </w:rPr>
        <w:t xml:space="preserve"> and</w:t>
      </w:r>
      <w:r w:rsidR="00547A38" w:rsidRPr="005F1E8D">
        <w:rPr>
          <w:noProof/>
        </w:rPr>
        <w:t xml:space="preserve"> Edgar et al. </w:t>
      </w:r>
      <w:r w:rsidR="00ED5552" w:rsidRPr="005F1E8D">
        <w:rPr>
          <w:noProof/>
        </w:rPr>
        <w:t>(</w:t>
      </w:r>
      <w:r w:rsidR="00547A38" w:rsidRPr="005F1E8D">
        <w:rPr>
          <w:noProof/>
        </w:rPr>
        <w:t>2020)</w:t>
      </w:r>
      <w:r w:rsidR="00547A38" w:rsidRPr="005F1E8D">
        <w:fldChar w:fldCharType="end"/>
      </w:r>
      <w:r w:rsidR="00547A38" w:rsidRPr="005F1E8D">
        <w:t xml:space="preserve">. </w:t>
      </w:r>
      <w:r w:rsidR="001D7BE9">
        <w:t>Briefly, a</w:t>
      </w:r>
      <w:r w:rsidR="00547A38" w:rsidRPr="005F1E8D">
        <w:t xml:space="preserve">t each rocky reef site, </w:t>
      </w:r>
      <w:r w:rsidR="00ED5552" w:rsidRPr="005F1E8D">
        <w:t>a pair of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p>
    <w:p w14:paraId="31ABE297" w14:textId="158EA101"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w:t>
      </w:r>
      <w:r w:rsidRPr="005F1E8D">
        <w:lastRenderedPageBreak/>
        <w:t>into 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8"/>
      <w:commentRangeStart w:id="9"/>
      <w:commentRangeStart w:id="10"/>
      <w:commentRangeStart w:id="11"/>
      <w:r w:rsidR="007268C2" w:rsidRPr="005F1E8D">
        <w:rPr>
          <w:color w:val="000000"/>
        </w:rPr>
        <w:t xml:space="preserve">Lim </w:t>
      </w:r>
      <w:proofErr w:type="spellStart"/>
      <w:r w:rsidR="007268C2" w:rsidRPr="005F1E8D">
        <w:rPr>
          <w:color w:val="000000"/>
        </w:rPr>
        <w:t>unpubl</w:t>
      </w:r>
      <w:commentRangeEnd w:id="8"/>
      <w:proofErr w:type="spellEnd"/>
      <w:r w:rsidR="006214D6">
        <w:rPr>
          <w:color w:val="000000"/>
        </w:rPr>
        <w:t>.</w:t>
      </w:r>
      <w:r w:rsidR="001D7BE9">
        <w:rPr>
          <w:rStyle w:val="CommentReference"/>
        </w:rPr>
        <w:commentReference w:id="8"/>
      </w:r>
      <w:commentRangeEnd w:id="9"/>
      <w:r w:rsidR="0067503F">
        <w:rPr>
          <w:rStyle w:val="CommentReference"/>
        </w:rPr>
        <w:commentReference w:id="9"/>
      </w:r>
      <w:commentRangeEnd w:id="10"/>
      <w:r w:rsidR="004F7AE3">
        <w:rPr>
          <w:rStyle w:val="CommentReference"/>
        </w:rPr>
        <w:commentReference w:id="10"/>
      </w:r>
      <w:commentRangeEnd w:id="11"/>
      <w:r w:rsidR="004C436C">
        <w:rPr>
          <w:rStyle w:val="CommentReference"/>
        </w:rPr>
        <w:commentReference w:id="11"/>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339A82C8"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9E35D0" w:rsidRPr="005F1E8D">
        <w:t>,</w:t>
      </w:r>
      <w:r w:rsidR="001F79DB" w:rsidRPr="005F1E8D">
        <w:t xml:space="preserve"> as well as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placed</w:t>
      </w:r>
      <w:r w:rsidR="00576692" w:rsidRPr="005F1E8D">
        <w:t xml:space="preserve"> immediately </w:t>
      </w:r>
      <w:r w:rsidR="00895C86" w:rsidRPr="005F1E8D">
        <w:t xml:space="preserve">adjacent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w:t>
      </w:r>
      <w:r w:rsidR="003F63B3">
        <w:t xml:space="preserve">1 m-wide, </w:t>
      </w:r>
      <w:r w:rsidR="00576692" w:rsidRPr="005F1E8D">
        <w:t>5 m</w:t>
      </w:r>
      <w:r w:rsidR="00895C86" w:rsidRPr="005F1E8D">
        <w:t>-</w:t>
      </w:r>
      <w:r w:rsidR="00576692" w:rsidRPr="005F1E8D">
        <w:t>long transects</w:t>
      </w:r>
      <w:r w:rsidR="00895C86" w:rsidRPr="005F1E8D">
        <w:t>,</w:t>
      </w:r>
      <w:r w:rsidR="00B71E47" w:rsidRPr="005F1E8D">
        <w:t xml:space="preserve"> 5 m apart</w:t>
      </w:r>
      <w:r w:rsidR="004C436C">
        <w:t xml:space="preserve"> and perpendicular to the RLS transect</w:t>
      </w:r>
      <w:r w:rsidR="00895C86" w:rsidRPr="005F1E8D">
        <w: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the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w:t>
      </w:r>
      <w:r w:rsidR="001F79DB" w:rsidRPr="005F1E8D">
        <w:lastRenderedPageBreak/>
        <w:t xml:space="preserve">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xml:space="preserve">, but for giant kelp we collected five random individuals to measure </w:t>
      </w:r>
      <w:r w:rsidR="004C436C">
        <w:t xml:space="preserve">length </w:t>
      </w:r>
      <w:r w:rsidR="001F79DB" w:rsidRPr="005F1E8D">
        <w:t xml:space="preserve">from holdfast to 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We estimated total forest area by swimming around the perimeter of the forest on the surface with a Garmin GPS</w:t>
      </w:r>
      <w:r w:rsidR="003F63B3">
        <w:t>, which we used to calculate total forest biomass (kg).</w:t>
      </w:r>
    </w:p>
    <w:p w14:paraId="50BA9561" w14:textId="3939558F"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B71E47" w:rsidRPr="005F1E8D">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47F0B98F" w:rsidR="00F37657" w:rsidRDefault="005B26B9" w:rsidP="00EB3BC7">
      <w:pPr>
        <w:spacing w:line="480" w:lineRule="auto"/>
        <w:rPr>
          <w:color w:val="000000"/>
        </w:rPr>
      </w:pPr>
      <w:r w:rsidRPr="005F1E8D">
        <w:lastRenderedPageBreak/>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t>at Scott’s Bay (48°50'05.2"N</w:t>
      </w:r>
      <w:r w:rsidR="00AA20C8">
        <w:t>,</w:t>
      </w:r>
      <w:r w:rsidR="00FE017D" w:rsidRPr="005F1E8D">
        <w:t xml:space="preserve"> 125°08'49.3"W)</w:t>
      </w:r>
      <w:r w:rsidR="000C156B">
        <w:t>, a wide, exposed bay that opens on 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 We collected California sea cucumbers (</w:t>
      </w:r>
      <w:proofErr w:type="spellStart"/>
      <w:r w:rsidR="00C12458" w:rsidRPr="005F1E8D">
        <w:rPr>
          <w:i/>
        </w:rPr>
        <w:t>Apostichopus</w:t>
      </w:r>
      <w:proofErr w:type="spellEnd"/>
      <w:r w:rsidR="00C12458" w:rsidRPr="005F1E8D">
        <w:rPr>
          <w:i/>
        </w:rPr>
        <w:t xml:space="preserve"> </w:t>
      </w:r>
      <w:proofErr w:type="spellStart"/>
      <w:r w:rsidR="00C12458" w:rsidRPr="005F1E8D">
        <w:rPr>
          <w:i/>
        </w:rPr>
        <w:t>californicus</w:t>
      </w:r>
      <w:proofErr w:type="spellEnd"/>
      <w:r w:rsidR="00C12458" w:rsidRPr="005F1E8D">
        <w:t>)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494B5FC4"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r w:rsidR="00BD384B" w:rsidRPr="005F1E8D">
        <w:rPr>
          <w:color w:val="000000"/>
        </w:rPr>
        <w:t xml:space="preserve">June 10 – 19, 2023, and </w:t>
      </w:r>
      <w:r w:rsidR="00CF5454" w:rsidRPr="005F1E8D">
        <w:rPr>
          <w:color w:val="000000"/>
        </w:rPr>
        <w:t xml:space="preserve">we </w:t>
      </w:r>
      <w:r w:rsidR="00BD384B" w:rsidRPr="005F1E8D">
        <w:rPr>
          <w:color w:val="000000"/>
        </w:rPr>
        <w:t xml:space="preserve">replicated it from 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red rock crabs (</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w:t>
      </w:r>
      <w:r w:rsidR="007D6070" w:rsidRPr="005F1E8D">
        <w:rPr>
          <w:color w:val="000000"/>
        </w:rPr>
        <w:lastRenderedPageBreak/>
        <w:t xml:space="preserve">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rock, scraped clean, to weight the cages similarly to the crabs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which point we re-randomized the order of the cages along the line.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A4A1039" w14:textId="56006959" w:rsidR="001B79C7"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 (W = a</w:t>
      </w:r>
      <w:r w:rsidR="00990B37">
        <w:t>*L</w:t>
      </w:r>
      <w:r w:rsidR="00990B37">
        <w:rPr>
          <w:vertAlign w:val="superscript"/>
        </w:rPr>
        <w:t>b</w:t>
      </w:r>
      <w:r w:rsidRPr="005F1E8D">
        <w:t>) where 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131A7C" w:rsidRPr="005F1E8D">
        <w:t xml:space="preserve">For invertebrates, sunflower sea stars and economically important species (abalone and scallops) were </w:t>
      </w:r>
      <w:r w:rsidR="00131A7C">
        <w:t>measured</w:t>
      </w:r>
      <w:r w:rsidR="00131A7C" w:rsidRPr="005F1E8D">
        <w:t xml:space="preserve">, so 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o calculate wet weight from size</w:t>
      </w:r>
      <w:r w:rsidR="00131A7C" w:rsidRPr="005F1E8D">
        <w:t>. For all other</w:t>
      </w:r>
      <w:r w:rsidR="00131A7C">
        <w:t xml:space="preserve"> </w:t>
      </w:r>
      <w:r w:rsidR="00131A7C">
        <w:lastRenderedPageBreak/>
        <w:t>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131A7C">
        <w:t>establish</w:t>
      </w:r>
      <w:r w:rsidR="00131A7C" w:rsidRPr="005F1E8D">
        <w:t xml:space="preserve"> </w:t>
      </w:r>
      <w:r w:rsidR="00131A7C">
        <w:t>biomass</w:t>
      </w:r>
      <w:r w:rsidR="00131A7C" w:rsidRPr="005F1E8D">
        <w:t xml:space="preserve"> </w:t>
      </w:r>
      <w:r w:rsidR="00131A7C">
        <w:t xml:space="preserve">estimates </w:t>
      </w:r>
      <w:r w:rsidR="00131A7C" w:rsidRPr="005F1E8D">
        <w:t xml:space="preserve">for each taxon. </w:t>
      </w:r>
      <w:r w:rsidR="00131A7C">
        <w:t xml:space="preserve">We used shell-free wet weight for species with large shells such as hermit crabs and snails. </w:t>
      </w:r>
      <w:r w:rsidR="00792779">
        <w:t>When biomass information was unavailable for a species, we used estimates from the closest relative or most similarly sized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We calculated the tide exchange by computing the </w:t>
      </w:r>
      <w:r w:rsidR="00137407">
        <w:t xml:space="preserve">percent </w:t>
      </w:r>
      <w:r w:rsidRPr="005F1E8D">
        <w:t xml:space="preserve">change of the tide height every minute, </w:t>
      </w:r>
      <w:r w:rsidR="00131A7C">
        <w:t>averaged over the</w:t>
      </w:r>
      <w:r w:rsidRPr="005F1E8D">
        <w:t xml:space="preserve"> </w:t>
      </w:r>
      <w:r w:rsidR="00131A7C">
        <w:t>hour-long survey.</w:t>
      </w:r>
    </w:p>
    <w:p w14:paraId="010730BD" w14:textId="77777777" w:rsidR="00131A7C" w:rsidRPr="005F1E8D" w:rsidRDefault="00131A7C" w:rsidP="00EB3BC7">
      <w:pPr>
        <w:spacing w:line="480" w:lineRule="auto"/>
      </w:pPr>
    </w:p>
    <w:p w14:paraId="1BBA84D4" w14:textId="77777777" w:rsidR="008600C1" w:rsidRPr="005F1E8D" w:rsidRDefault="008600C1" w:rsidP="008600C1">
      <w:pPr>
        <w:spacing w:line="480" w:lineRule="auto"/>
        <w:rPr>
          <w:iCs/>
        </w:rPr>
      </w:pPr>
      <w:r w:rsidRPr="005F1E8D">
        <w:rPr>
          <w:iCs/>
        </w:rPr>
        <w:t>Among-site (meso-scale) variation</w:t>
      </w:r>
    </w:p>
    <w:p w14:paraId="3814180E" w14:textId="3716DE6F"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2B6ECC" w:rsidRPr="005F1E8D">
        <w:t xml:space="preserve">We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9981137" w:rsidR="005F1E8D" w:rsidRPr="00E85DC2" w:rsidRDefault="0061731D" w:rsidP="00670555">
      <w:pPr>
        <w:spacing w:line="480" w:lineRule="auto"/>
      </w:pPr>
      <w:r w:rsidRPr="005F1E8D">
        <w:lastRenderedPageBreak/>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9B2BF8" w:rsidRPr="005F1E8D">
        <w:rPr>
          <w:color w:val="000000"/>
        </w:rPr>
        <w:t>/m</w:t>
      </w:r>
      <w:r w:rsidR="009B2BF8" w:rsidRPr="005F1E8D">
        <w:rPr>
          <w:color w:val="000000"/>
          <w:vertAlign w:val="superscript"/>
        </w:rPr>
        <w:t>2</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Finally, w</w:t>
      </w:r>
      <w:r w:rsidR="00E85DC2">
        <w:t xml:space="preserve">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2CA34043" w:rsidR="00E85DC2" w:rsidRPr="0026774C" w:rsidRDefault="00BD1992" w:rsidP="002F18B0">
      <w:pPr>
        <w:spacing w:line="480" w:lineRule="auto"/>
        <w:rPr>
          <w:color w:val="000000"/>
        </w:rPr>
      </w:pPr>
      <w:r w:rsidRPr="005F1E8D">
        <w:t xml:space="preserve">To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Pr="005F1E8D">
        <w:t xml:space="preserve">, we constructed separate </w:t>
      </w:r>
      <w:r w:rsidR="009B31A7" w:rsidRPr="005F1E8D">
        <w:t>linear models for each caging experiment.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 index (sqrt(length*girth))</w:t>
      </w:r>
      <w:r w:rsidR="00C54451">
        <w:rPr>
          <w:color w:val="000000"/>
        </w:rPr>
        <w:t xml:space="preserve"> to</w:t>
      </w:r>
      <w:r w:rsidR="00151BB6">
        <w:rPr>
          <w:color w:val="000000"/>
        </w:rPr>
        <w:t xml:space="preserve"> </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 generalized linear mixed-effects model 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w:t>
      </w:r>
      <w:r w:rsidR="00D823F4" w:rsidRPr="005F1E8D">
        <w:lastRenderedPageBreak/>
        <w:t xml:space="preserve">used a gamma distribution (link = ‘log’). </w:t>
      </w:r>
      <w:r w:rsidR="006312EC">
        <w:t xml:space="preserve">We </w:t>
      </w:r>
      <w:r w:rsidR="00151BB6">
        <w:t xml:space="preserve">used a previously developed carapace to 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proofErr w:type="spellStart"/>
      <w:r w:rsidR="0097669C">
        <w:t>unpubl</w:t>
      </w:r>
      <w:proofErr w:type="spellEnd"/>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0F6EE1B3"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C673A5" w:rsidRPr="005F1E8D">
        <w:t xml:space="preserve">significantly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3a &amp; c</w:t>
      </w:r>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3a &amp; e</w:t>
      </w:r>
      <w:r w:rsidR="00C673A5" w:rsidRPr="005F1E8D">
        <w:t xml:space="preserve">).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lastRenderedPageBreak/>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commentRangeStart w:id="12"/>
      <w:r w:rsidRPr="00094986">
        <w:rPr>
          <w:b/>
          <w:bCs/>
        </w:rPr>
        <w:t>Discussion</w:t>
      </w:r>
      <w:commentRangeEnd w:id="12"/>
      <w:r w:rsidR="001A7CB9">
        <w:rPr>
          <w:rStyle w:val="CommentReference"/>
        </w:rPr>
        <w:commentReference w:id="12"/>
      </w:r>
    </w:p>
    <w:p w14:paraId="7BD5CB5E" w14:textId="0CCCB9D4" w:rsidR="00057B69" w:rsidRDefault="004934ED" w:rsidP="00623DD8">
      <w:pPr>
        <w:spacing w:line="480" w:lineRule="auto"/>
      </w:pPr>
      <w:r>
        <w:t xml:space="preserve">We found </w:t>
      </w:r>
      <w:r w:rsidR="00A5377F">
        <w:t xml:space="preserve">at least some </w:t>
      </w:r>
      <w:r>
        <w:t>evidence of variability of animal-regenerated nutrients</w:t>
      </w:r>
      <w:r w:rsidR="00A5377F">
        <w:t xml:space="preserve"> from the largest to the smallest scale examined</w:t>
      </w:r>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lastRenderedPageBreak/>
        <w:t>Meso-scale</w:t>
      </w:r>
      <w:r w:rsidR="00A5377F">
        <w:rPr>
          <w:i/>
          <w:iCs/>
        </w:rPr>
        <w:t xml:space="preserve"> variation</w:t>
      </w:r>
    </w:p>
    <w:p w14:paraId="17F00B66" w14:textId="49DF4F7B"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between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Washington state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r w:rsidRPr="00306F1F">
        <w:rPr>
          <w:i/>
          <w:iCs/>
        </w:rPr>
        <w:t>Small-scale</w:t>
      </w:r>
      <w:r w:rsidR="000D0CF1">
        <w:rPr>
          <w:i/>
          <w:iCs/>
        </w:rPr>
        <w:t xml:space="preserve"> variation</w:t>
      </w:r>
    </w:p>
    <w:p w14:paraId="4BB14774" w14:textId="7854203A" w:rsidR="00737B8A" w:rsidRDefault="00CF009F" w:rsidP="00683C48">
      <w:pPr>
        <w:spacing w:line="480" w:lineRule="auto"/>
      </w:pPr>
      <w:r>
        <w:t xml:space="preserve">We found evidence of kelp-mediated variation </w:t>
      </w:r>
      <w:r w:rsidR="009509EA">
        <w:t>in nutrients on a smaller scale (5 m) than previously established</w:t>
      </w:r>
      <w:r w:rsidR="00B50E76">
        <w:t xml:space="preserve">. </w:t>
      </w:r>
      <w:r w:rsidR="00A83EAE">
        <w:t xml:space="preserve">Higher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across a gradient of kelp densities we </w:t>
      </w:r>
      <w:r w:rsidR="009509EA">
        <w:lastRenderedPageBreak/>
        <w:t xml:space="preserve">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as though water flow due to tidal exchange enhances NH₄⁺ variability within kelp forests instead of masking it. </w:t>
      </w:r>
    </w:p>
    <w:p w14:paraId="65174C8A" w14:textId="287C1C91"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r w:rsidR="00EC06BA">
        <w:t xml:space="preserve">The surprising </w:t>
      </w:r>
      <w:r>
        <w:t xml:space="preserve">negative </w:t>
      </w:r>
      <w:r w:rsidRPr="005F1E8D">
        <w:t>∆</w:t>
      </w:r>
      <w:r>
        <w:t>NH₄⁺ at our no</w:t>
      </w:r>
      <w:r w:rsidR="00EC06BA">
        <w:t>-</w:t>
      </w:r>
      <w:r>
        <w:t xml:space="preserve">kelp control sites may be </w:t>
      </w:r>
      <w:r w:rsidR="00EC06BA">
        <w:t>the</w:t>
      </w:r>
      <w:r>
        <w:t xml:space="preserve"> result of </w:t>
      </w:r>
      <w:r w:rsidR="00EC06BA">
        <w:t xml:space="preserve">“outside” samples at control sites being </w:t>
      </w:r>
      <w:r w:rsidR="00FE7DA5">
        <w:t xml:space="preserve">slightly </w:t>
      </w:r>
      <w:r w:rsidR="00EC06BA">
        <w:t>deeper than the “inside” samples</w:t>
      </w:r>
      <w:r w:rsidR="00CC12B0">
        <w:t>,</w:t>
      </w:r>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xml:space="preserve">, a trend that our </w:t>
      </w:r>
      <w:r w:rsidR="00CC12B0">
        <w:t>no-kelp sites seem to confirm, strengthens our finding of higher ammonium concentrations within kelp forests than at their slightly deeper edges.</w:t>
      </w:r>
    </w:p>
    <w:p w14:paraId="5ADD87CD" w14:textId="1F63C9E1"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806D42">
        <w:t>suggest a potentially saturating relationship between these variables.</w:t>
      </w:r>
      <w:r w:rsidR="00BE2765">
        <w:t xml:space="preserve"> W</w:t>
      </w:r>
      <w:r w:rsidR="006005D7">
        <w:t xml:space="preserve">hen animal biomass </w:t>
      </w:r>
      <w:r w:rsidR="00BE2765">
        <w:t>was</w:t>
      </w:r>
      <w:r w:rsidR="006005D7">
        <w:t xml:space="preserve"> low, </w:t>
      </w:r>
      <w:r w:rsidR="006005D7">
        <w:lastRenderedPageBreak/>
        <w:t xml:space="preserve">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beyond the forest edge.</w:t>
      </w:r>
      <w:r w:rsidR="000D122E">
        <w:t xml:space="preserve"> </w:t>
      </w:r>
      <w:commentRangeStart w:id="13"/>
      <w:commentRangeStart w:id="14"/>
      <w:r w:rsidR="000D122E">
        <w:t>In contrast, n</w:t>
      </w:r>
      <w:r w:rsidR="000D122E" w:rsidRPr="000D122E">
        <w:t xml:space="preserve">itrate, which is supplied externally via upwelling or run-off, becomes depleted or unchanged as it flows through kelp forests </w:t>
      </w:r>
      <w:r w:rsidR="00467D8C">
        <w:fldChar w:fldCharType="begin"/>
      </w:r>
      <w:r w:rsidR="00467D8C">
        <w:instrText xml:space="preserve"> ADDIN ZOTERO_ITEM CSL_CITATION {"citationID":"OKgaTe2n","properties":{"formattedCitation":"(Pfister et al., 2019; Stewart et al., 2009)","plainCitation":"(Pfister et al., 2019; Stewart et al., 2009)","noteIndex":0},"citationItems":[{"id":1913,"uris":["http://zotero.org/users/local/idKDtb7T/items/IHKWXCFC"],"itemData":{"id":1913,"type":"article-journal","abstract":"Kelp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sidR="00467D8C">
        <w:fldChar w:fldCharType="separate"/>
      </w:r>
      <w:r w:rsidR="00467D8C">
        <w:rPr>
          <w:noProof/>
        </w:rPr>
        <w:t>(Pfister et al., 2019; Stewart et al., 2009)</w:t>
      </w:r>
      <w:r w:rsidR="00467D8C">
        <w:fldChar w:fldCharType="end"/>
      </w:r>
      <w:r w:rsidR="000D122E" w:rsidRPr="000D122E">
        <w:t xml:space="preserve">, </w:t>
      </w:r>
      <w:r w:rsidR="00906B6A">
        <w:t>in contrast</w:t>
      </w:r>
      <w:r w:rsidR="00906B6A" w:rsidRPr="000D122E">
        <w:t xml:space="preserve"> </w:t>
      </w:r>
      <w:r w:rsidR="000D122E" w:rsidRPr="000D122E">
        <w:t>to NH₄⁺ which is regenerated by animals within and around the forest, and seemingly retained there.</w:t>
      </w:r>
      <w:commentRangeEnd w:id="13"/>
      <w:r w:rsidR="00467D8C">
        <w:rPr>
          <w:rStyle w:val="CommentReference"/>
        </w:rPr>
        <w:commentReference w:id="13"/>
      </w:r>
      <w:commentRangeEnd w:id="14"/>
      <w:r w:rsidR="00906B6A">
        <w:rPr>
          <w:rStyle w:val="CommentReference"/>
        </w:rPr>
        <w:commentReference w:id="14"/>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3FE6EAC2"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w:t>
      </w:r>
      <w:r>
        <w:lastRenderedPageBreak/>
        <w:t xml:space="preserve">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77690477" w:rsidR="000D122E" w:rsidRDefault="005D293A" w:rsidP="00741F8A">
      <w:pPr>
        <w:spacing w:line="480" w:lineRule="auto"/>
      </w:pPr>
      <w:r>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xml:space="preserve">, in which case we might have expected both to have a similar, somewhat 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53D126CC" w:rsidR="00906B6A" w:rsidRDefault="00741F8A" w:rsidP="00282591">
      <w:pPr>
        <w:spacing w:line="480" w:lineRule="auto"/>
      </w:pPr>
      <w:r>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w:t>
      </w:r>
      <w:r w:rsidR="00906B6A">
        <w:t>Heterogeneity in primary productivity arises from variation in resource supply. Increased primary productivity has been seen</w:t>
      </w:r>
      <w:r w:rsidR="00906B6A">
        <w:t xml:space="preserve"> with</w:t>
      </w:r>
      <w:r w:rsidR="00906B6A">
        <w:t xml:space="preserve"> orders of variation in NH₄⁺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 xml:space="preserve">(Allgeier et al., 2020; Arzul, </w:t>
      </w:r>
      <w:r w:rsidR="00906B6A">
        <w:rPr>
          <w:noProof/>
        </w:rPr>
        <w:lastRenderedPageBreak/>
        <w:t>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3E52B2">
        <w:t xml:space="preserve"> 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w:t>
      </w:r>
      <w:r w:rsidR="003E52B2">
        <w:t xml:space="preserve"> t</w:t>
      </w:r>
      <w:r w:rsidR="00906B6A">
        <w:t>he animal-driven variation in NH₄⁺ we observed could very likely contribute to heterogeneity in primary productivity.</w:t>
      </w:r>
    </w:p>
    <w:p w14:paraId="3E46EB4D" w14:textId="29093913" w:rsidR="003E52B2" w:rsidRDefault="00906B6A" w:rsidP="003E52B2">
      <w:pPr>
        <w:spacing w:line="480" w:lineRule="auto"/>
        <w:ind w:firstLine="720"/>
      </w:pPr>
      <w:r>
        <w:t xml:space="preserve">The second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0B87156A" w:rsidR="006214D6" w:rsidRDefault="00E94D69" w:rsidP="00282591">
      <w:pPr>
        <w:spacing w:line="480" w:lineRule="auto"/>
      </w:pPr>
      <w:commentRangeStart w:id="15"/>
      <w:r>
        <w:t xml:space="preserve">Thank you to the volunteers who helped conduct Reef Life Surveys and to Amanda Bates and the </w:t>
      </w:r>
      <w:r w:rsidRPr="00E94D69">
        <w:t>Canada Research Chairs Program</w:t>
      </w:r>
      <w:r>
        <w:t xml:space="preserve"> for funding this critical long-term monitoring work.</w:t>
      </w:r>
      <w:commentRangeEnd w:id="15"/>
      <w:r>
        <w:rPr>
          <w:rStyle w:val="CommentReference"/>
        </w:rPr>
        <w:commentReference w:id="15"/>
      </w:r>
      <w:r>
        <w:t xml:space="preserve"> Thank you to Siobhan Gray, Dave Porter, Phil Lavoie, Kelly Clement, and all the Bamfield Marine Sciences Center staff for their ongoing support. Hailey Davis provided the </w:t>
      </w:r>
      <w:r w:rsidR="0076719B">
        <w:t>illustrations</w:t>
      </w:r>
      <w:r>
        <w:t xml:space="preserve"> of the red </w:t>
      </w:r>
      <w:r>
        <w:lastRenderedPageBreak/>
        <w:t>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2646D9B" w:rsidR="00A960B5" w:rsidRPr="007A68CB" w:rsidRDefault="00314455" w:rsidP="007A68CB">
      <w:pPr>
        <w:rPr>
          <w:b/>
        </w:rPr>
      </w:pPr>
      <w:r>
        <w:rPr>
          <w:b/>
          <w:noProof/>
        </w:rPr>
        <w:drawing>
          <wp:inline distT="0" distB="0" distL="0" distR="0" wp14:anchorId="41CDB324" wp14:editId="49B611B3">
            <wp:extent cx="4572000" cy="4935682"/>
            <wp:effectExtent l="0" t="0" r="0" b="5080"/>
            <wp:docPr id="1184654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4854" name="Picture 1184654854"/>
                    <pic:cNvPicPr/>
                  </pic:nvPicPr>
                  <pic:blipFill rotWithShape="1">
                    <a:blip r:embed="rId13">
                      <a:extLst>
                        <a:ext uri="{28A0092B-C50C-407E-A947-70E740481C1C}">
                          <a14:useLocalDpi xmlns:a14="http://schemas.microsoft.com/office/drawing/2010/main" val="0"/>
                        </a:ext>
                      </a:extLst>
                    </a:blip>
                    <a:srcRect b="10038"/>
                    <a:stretch/>
                  </pic:blipFill>
                  <pic:spPr bwMode="auto">
                    <a:xfrm>
                      <a:off x="0" y="0"/>
                      <a:ext cx="4572000" cy="4935682"/>
                    </a:xfrm>
                    <a:prstGeom prst="rect">
                      <a:avLst/>
                    </a:prstGeom>
                    <a:ln>
                      <a:noFill/>
                    </a:ln>
                    <a:extLst>
                      <a:ext uri="{53640926-AAD7-44D8-BBD7-CCE9431645EC}">
                        <a14:shadowObscured xmlns:a14="http://schemas.microsoft.com/office/drawing/2010/main"/>
                      </a:ext>
                    </a:extLst>
                  </pic:spPr>
                </pic:pic>
              </a:graphicData>
            </a:graphic>
          </wp:inline>
        </w:drawing>
      </w:r>
    </w:p>
    <w:p w14:paraId="6E58BAC1" w14:textId="42C37C76"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314455">
        <w:t xml:space="preserve">(*) denotes location of the crab caging experiment, </w:t>
      </w:r>
      <w:r w:rsidR="00314455" w:rsidRPr="00314455">
        <w:t>and (</w:t>
      </w:r>
      <w:r w:rsidR="00314455" w:rsidRPr="00314455">
        <w:rPr>
          <w:rFonts w:ascii="Segoe UI Symbol" w:hAnsi="Segoe UI Symbol" w:cs="Segoe UI Symbol"/>
        </w:rPr>
        <w:t>★</w:t>
      </w:r>
      <w:r w:rsidR="00314455" w:rsidRPr="00314455">
        <w:t>) indicates the location of the sea cucumber caging experiment</w:t>
      </w:r>
      <w:r w:rsidR="00314455">
        <w: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4033ED6C" w:rsidR="00AF1938" w:rsidRDefault="00233597" w:rsidP="00C05A5A">
      <w:pPr>
        <w:rPr>
          <w:b/>
        </w:rPr>
      </w:pPr>
      <w:r>
        <w:rPr>
          <w:b/>
          <w:noProof/>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5B79101E" w:rsidR="0095043F" w:rsidRDefault="0095043F" w:rsidP="00C05A5A">
      <w:commentRangeStart w:id="16"/>
      <w:commentRangeStart w:id="17"/>
      <w:r>
        <w:rPr>
          <w:noProof/>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16"/>
      <w:r w:rsidR="0041279D">
        <w:rPr>
          <w:rStyle w:val="CommentReference"/>
        </w:rPr>
        <w:commentReference w:id="16"/>
      </w:r>
      <w:commentRangeEnd w:id="17"/>
      <w:r w:rsidR="00532560">
        <w:rPr>
          <w:rStyle w:val="CommentReference"/>
        </w:rPr>
        <w:commentReference w:id="17"/>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3BCBCC9D" w14:textId="215E0591" w:rsidR="00F10A37" w:rsidRDefault="00F10A37" w:rsidP="00EB3BC7">
      <w:pPr>
        <w:spacing w:line="480" w:lineRule="auto"/>
        <w:rPr>
          <w:bCs/>
        </w:rPr>
      </w:pPr>
      <w:r>
        <w:rPr>
          <w:b/>
        </w:rPr>
        <w:lastRenderedPageBreak/>
        <w:t xml:space="preserve">Electronic Supplement 1. </w:t>
      </w:r>
      <w:r w:rsidRPr="0096667C">
        <w:rPr>
          <w:bCs/>
        </w:rPr>
        <w:t>Supplementary tables and figures.</w:t>
      </w:r>
    </w:p>
    <w:p w14:paraId="544812BE" w14:textId="7230D5EC" w:rsidR="00E81946" w:rsidRDefault="00E81946" w:rsidP="00E81946">
      <w:pPr>
        <w:rPr>
          <w:b/>
        </w:rPr>
      </w:pPr>
      <w:r>
        <w:rPr>
          <w:b/>
          <w:noProof/>
        </w:rPr>
        <w:drawing>
          <wp:inline distT="0" distB="0" distL="0" distR="0" wp14:anchorId="69CA0CA3" wp14:editId="5EEFF784">
            <wp:extent cx="3483885" cy="3692769"/>
            <wp:effectExtent l="0" t="0" r="0" b="3175"/>
            <wp:docPr id="1" name="Picture 1" descr="A drawing of a seaweed and syri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seaweed and syring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6C03D332" w14:textId="49B8987A" w:rsidR="00E81946" w:rsidRDefault="00E81946" w:rsidP="00E81946">
      <w:r>
        <w:rPr>
          <w:b/>
        </w:rPr>
        <w:t xml:space="preserve">Supplemental Figure 1. </w:t>
      </w:r>
      <w:r>
        <w:t>Placeholder schematic for the kelp pee samples. Still need to tidy this up!</w:t>
      </w:r>
      <w:r w:rsidR="00116C10">
        <w:t xml:space="preserve"> </w:t>
      </w:r>
    </w:p>
    <w:p w14:paraId="68AB4BEF" w14:textId="77777777" w:rsidR="00E81946" w:rsidRDefault="00E81946" w:rsidP="00EB3BC7">
      <w:pPr>
        <w:spacing w:line="480" w:lineRule="auto"/>
        <w:rPr>
          <w:b/>
        </w:rPr>
      </w:pPr>
    </w:p>
    <w:p w14:paraId="4A932A13" w14:textId="77777777" w:rsidR="00E81946" w:rsidRDefault="00E81946">
      <w:pPr>
        <w:rPr>
          <w:b/>
        </w:rPr>
      </w:pPr>
      <w:r>
        <w:rPr>
          <w:b/>
        </w:rPr>
        <w:br w:type="page"/>
      </w:r>
    </w:p>
    <w:p w14:paraId="4600395C" w14:textId="568BC1B5" w:rsidR="00405356" w:rsidRPr="0064532D" w:rsidRDefault="00F2075E" w:rsidP="00EB3BC7">
      <w:pPr>
        <w:spacing w:line="480" w:lineRule="auto"/>
      </w:pPr>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EB3BC7">
      <w:pPr>
        <w:spacing w:line="480" w:lineRule="auto"/>
      </w:pPr>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2C70E6FD" w:rsidR="0017314E" w:rsidRDefault="0017314E" w:rsidP="0017314E">
      <w:pPr>
        <w:spacing w:line="480" w:lineRule="auto"/>
      </w:pPr>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proofErr w:type="spellStart"/>
      <w:r>
        <w:t>eg.</w:t>
      </w:r>
      <w:proofErr w:type="spellEnd"/>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0D7388">
        <w:trPr>
          <w:trHeight w:val="320"/>
        </w:trPr>
        <w:tc>
          <w:tcPr>
            <w:tcW w:w="3162" w:type="dxa"/>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0D7388">
        <w:trPr>
          <w:trHeight w:val="320"/>
        </w:trPr>
        <w:tc>
          <w:tcPr>
            <w:tcW w:w="3162" w:type="dxa"/>
            <w:noWrap/>
            <w:hideMark/>
          </w:tcPr>
          <w:p w14:paraId="14572831" w14:textId="77777777" w:rsidR="0017314E" w:rsidRPr="00E763F3" w:rsidRDefault="0017314E" w:rsidP="001B79C7">
            <w:pPr>
              <w:rPr>
                <w:color w:val="000000"/>
                <w:sz w:val="20"/>
                <w:szCs w:val="20"/>
              </w:rPr>
            </w:pPr>
            <w:r w:rsidRPr="00E763F3">
              <w:rPr>
                <w:color w:val="000000"/>
                <w:sz w:val="20"/>
                <w:szCs w:val="20"/>
              </w:rPr>
              <w:t>Brachyura spp.</w:t>
            </w:r>
          </w:p>
        </w:tc>
        <w:tc>
          <w:tcPr>
            <w:tcW w:w="1630" w:type="dxa"/>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0D7388">
        <w:trPr>
          <w:trHeight w:val="320"/>
        </w:trPr>
        <w:tc>
          <w:tcPr>
            <w:tcW w:w="3162" w:type="dxa"/>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lastRenderedPageBreak/>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0D7388">
        <w:trPr>
          <w:trHeight w:val="320"/>
        </w:trPr>
        <w:tc>
          <w:tcPr>
            <w:tcW w:w="3162" w:type="dxa"/>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0D7388">
        <w:trPr>
          <w:trHeight w:val="320"/>
        </w:trPr>
        <w:tc>
          <w:tcPr>
            <w:tcW w:w="3162" w:type="dxa"/>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0D7388">
        <w:trPr>
          <w:trHeight w:val="320"/>
        </w:trPr>
        <w:tc>
          <w:tcPr>
            <w:tcW w:w="3162" w:type="dxa"/>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lastRenderedPageBreak/>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0D7388">
        <w:trPr>
          <w:trHeight w:val="320"/>
        </w:trPr>
        <w:tc>
          <w:tcPr>
            <w:tcW w:w="3162" w:type="dxa"/>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0D7388">
        <w:trPr>
          <w:trHeight w:val="320"/>
        </w:trPr>
        <w:tc>
          <w:tcPr>
            <w:tcW w:w="3162" w:type="dxa"/>
            <w:noWrap/>
            <w:hideMark/>
          </w:tcPr>
          <w:p w14:paraId="62111F37" w14:textId="77777777" w:rsidR="0017314E" w:rsidRPr="00E763F3" w:rsidRDefault="0017314E" w:rsidP="001B79C7">
            <w:pPr>
              <w:rPr>
                <w:i/>
                <w:color w:val="000000"/>
                <w:sz w:val="20"/>
                <w:szCs w:val="20"/>
              </w:rPr>
            </w:pPr>
            <w:r w:rsidRPr="00E763F3">
              <w:rPr>
                <w:i/>
                <w:color w:val="000000"/>
                <w:sz w:val="20"/>
                <w:szCs w:val="20"/>
              </w:rPr>
              <w:t xml:space="preserve">Tegula </w:t>
            </w:r>
            <w:proofErr w:type="spellStart"/>
            <w:r w:rsidRPr="00E763F3">
              <w:rPr>
                <w:i/>
                <w:color w:val="000000"/>
                <w:sz w:val="20"/>
                <w:szCs w:val="20"/>
              </w:rPr>
              <w:t>funebralis</w:t>
            </w:r>
            <w:proofErr w:type="spellEnd"/>
          </w:p>
        </w:tc>
        <w:tc>
          <w:tcPr>
            <w:tcW w:w="1630" w:type="dxa"/>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0D7388">
        <w:trPr>
          <w:trHeight w:val="320"/>
        </w:trPr>
        <w:tc>
          <w:tcPr>
            <w:tcW w:w="3162" w:type="dxa"/>
            <w:tcBorders>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792779">
      <w:pPr>
        <w:spacing w:line="480" w:lineRule="auto"/>
      </w:pPr>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11A7E7C1" w14:textId="77777777" w:rsidR="00792779" w:rsidRDefault="00792779" w:rsidP="00792779">
      <w:pPr>
        <w:rPr>
          <w:b/>
        </w:rPr>
      </w:pPr>
      <w:r>
        <w:rPr>
          <w:b/>
        </w:rPr>
        <w:br w:type="page"/>
      </w:r>
    </w:p>
    <w:p w14:paraId="7172A303" w14:textId="7CF85ECA" w:rsidR="00792779" w:rsidRDefault="00F2075E" w:rsidP="00792779">
      <w:pPr>
        <w:spacing w:line="480" w:lineRule="auto"/>
      </w:pPr>
      <w:r>
        <w:rPr>
          <w:b/>
        </w:rPr>
        <w:lastRenderedPageBreak/>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570996BE"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18"/>
      <w:r w:rsidRPr="00623DD8">
        <w:t>highest R</w:t>
      </w:r>
      <w:r w:rsidRPr="00623DD8">
        <w:rPr>
          <w:vertAlign w:val="superscript"/>
        </w:rPr>
        <w:t>2</w:t>
      </w:r>
      <w:r w:rsidRPr="00623DD8">
        <w:t xml:space="preserve"> values</w:t>
      </w:r>
      <w:commentRangeEnd w:id="18"/>
      <w:r w:rsidR="00F10A37">
        <w:rPr>
          <w:rStyle w:val="CommentReference"/>
        </w:rPr>
        <w:commentReference w:id="18"/>
      </w:r>
      <w:r w:rsidRPr="00623DD8">
        <w:t>.</w:t>
      </w:r>
      <w:r w:rsidR="00E85DC2">
        <w:t xml:space="preserve"> These six families constitute 17% of the total abundance.</w:t>
      </w:r>
    </w:p>
    <w:p w14:paraId="525E97F3" w14:textId="77777777" w:rsidR="000642CC" w:rsidRDefault="000642CC">
      <w:pPr>
        <w:rPr>
          <w:b/>
        </w:rPr>
      </w:pPr>
    </w:p>
    <w:p w14:paraId="3AA39F29" w14:textId="33EA19A2"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Figure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w:t>
            </w:r>
            <w:r w:rsidRPr="00EB4F90">
              <w:rPr>
                <w:b/>
                <w:bCs/>
                <w:color w:val="000000"/>
              </w:rPr>
              <w:t>-</w:t>
            </w:r>
            <w:r w:rsidRPr="00EB4F90">
              <w:rPr>
                <w:b/>
                <w:bCs/>
                <w:color w:val="000000"/>
              </w:rPr>
              <w:t>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w:t>
            </w:r>
            <w:r w:rsidRPr="00EB4F90">
              <w:rPr>
                <w:b/>
                <w:bCs/>
                <w:color w:val="000000"/>
              </w:rPr>
              <w:t>-</w:t>
            </w:r>
            <w:r w:rsidRPr="00EB4F90">
              <w:rPr>
                <w:b/>
                <w:bCs/>
                <w:color w:val="000000"/>
              </w:rPr>
              <w:t>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Figure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w:t>
            </w:r>
            <w:r>
              <w:rPr>
                <w:color w:val="000000"/>
              </w:rPr>
              <w:t>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roofErr w:type="spellEnd"/>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r w:rsidRPr="00263F14">
        <w:rPr>
          <w:b/>
        </w:rPr>
        <w:lastRenderedPageBreak/>
        <w:t>References</w:t>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9-18T09:52:00Z" w:initials="EL">
    <w:p w14:paraId="3085A662" w14:textId="77777777" w:rsidR="00AD03E0" w:rsidRDefault="00AD03E0" w:rsidP="00AD03E0">
      <w:r>
        <w:rPr>
          <w:rStyle w:val="CommentReference"/>
        </w:rPr>
        <w:annotationRef/>
      </w:r>
      <w:r>
        <w:rPr>
          <w:sz w:val="20"/>
          <w:szCs w:val="20"/>
        </w:rPr>
        <w:t>Is Proc B also an option?</w:t>
      </w:r>
    </w:p>
  </w:comment>
  <w:comment w:id="2" w:author="Isabelle Cote" w:date="2024-09-24T08:55:00Z" w:initials="IC">
    <w:p w14:paraId="72A6DA61" w14:textId="77777777" w:rsidR="001E1BD6" w:rsidRDefault="001E1BD6" w:rsidP="001E1BD6">
      <w:pPr>
        <w:pStyle w:val="CommentText"/>
      </w:pPr>
      <w:r>
        <w:rPr>
          <w:rStyle w:val="CommentReference"/>
        </w:rPr>
        <w:annotationRef/>
      </w:r>
      <w:r>
        <w:t>This doesn’t strike me as a Proc B paper</w:t>
      </w:r>
    </w:p>
  </w:comment>
  <w:comment w:id="3" w:author="Kieran Cox" w:date="2024-03-21T11:31:00Z" w:initials="KC">
    <w:p w14:paraId="5AAB2810" w14:textId="6A21F302"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4"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5"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6" w:author="Isabelle Cote [2]" w:date="2024-09-02T10:42:00Z" w:initials="IC">
    <w:p w14:paraId="5334AA84" w14:textId="64AB3372" w:rsidR="00752F86" w:rsidRDefault="00752F86" w:rsidP="00752F86">
      <w:pPr>
        <w:pStyle w:val="CommentText"/>
      </w:pPr>
      <w:r>
        <w:rPr>
          <w:rStyle w:val="CommentReference"/>
        </w:rPr>
        <w:annotationRef/>
      </w:r>
      <w:r>
        <w:t>As well as excreting it around shelters</w:t>
      </w:r>
    </w:p>
  </w:comment>
  <w:comment w:id="7" w:author="Isabelle Cote" w:date="2024-09-24T09:04:00Z" w:initials="IC">
    <w:p w14:paraId="0C64B6C2" w14:textId="77777777" w:rsidR="002624C3" w:rsidRDefault="002624C3" w:rsidP="002624C3">
      <w:pPr>
        <w:pStyle w:val="CommentText"/>
      </w:pPr>
      <w:r>
        <w:rPr>
          <w:rStyle w:val="CommentReference"/>
        </w:rPr>
        <w:annotationRef/>
      </w:r>
      <w:r>
        <w:t>I think that the key here is that they pee in habitats where they don’t feed - not that they transport nitrogen in their tissues. Tissues don’t contribute to nutrients (unless the fish die there)</w:t>
      </w:r>
    </w:p>
  </w:comment>
  <w:comment w:id="8" w:author="Kieran Cox" w:date="2024-03-22T08:46:00Z" w:initials="KC">
    <w:p w14:paraId="005215D3" w14:textId="1146BCBA"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9"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0"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11" w:author="Isabelle Cote [2]" w:date="2024-09-03T10:25:00Z" w:initials="IC">
    <w:p w14:paraId="2EB56C1E" w14:textId="77777777" w:rsidR="004C436C" w:rsidRDefault="004C436C" w:rsidP="004C436C">
      <w:pPr>
        <w:pStyle w:val="CommentText"/>
      </w:pPr>
      <w:r>
        <w:rPr>
          <w:rStyle w:val="CommentReference"/>
        </w:rPr>
        <w:annotationRef/>
      </w:r>
      <w:r>
        <w:t xml:space="preserve">Sure! </w:t>
      </w:r>
    </w:p>
  </w:comment>
  <w:comment w:id="12" w:author="Em Lim" w:date="2024-09-03T16:23:00Z" w:initials="EL">
    <w:p w14:paraId="3DB0BC8B" w14:textId="7B0961CF" w:rsidR="001A7CB9" w:rsidRDefault="001A7CB9" w:rsidP="001A7CB9">
      <w:r>
        <w:rPr>
          <w:rStyle w:val="CommentReference"/>
        </w:rPr>
        <w:annotationRef/>
      </w:r>
      <w:r>
        <w:rPr>
          <w:sz w:val="20"/>
          <w:szCs w:val="20"/>
        </w:rPr>
        <w:t>Talk about Cedeno et al., 2021 paper!!! They suggest nitrates = temporal variation in nutrients, but ammonium/regeneration = spatial variation in where animals are! Show surge uptake in Macro, so they just need to be exposed to a burst of strong fish pee = take up and store tons of nitrogen.</w:t>
      </w:r>
    </w:p>
  </w:comment>
  <w:comment w:id="13" w:author="Em Lim" w:date="2024-09-13T14:40:00Z" w:initials="EL">
    <w:p w14:paraId="3509469F" w14:textId="6D110BF4" w:rsidR="00467D8C" w:rsidRDefault="00467D8C" w:rsidP="00467D8C">
      <w:r>
        <w:rPr>
          <w:rStyle w:val="CommentReference"/>
        </w:rPr>
        <w:annotationRef/>
      </w:r>
      <w:r>
        <w:rPr>
          <w:sz w:val="20"/>
          <w:szCs w:val="20"/>
        </w:rPr>
        <w:t>Does this sentence fit here?</w:t>
      </w:r>
    </w:p>
  </w:comment>
  <w:comment w:id="14" w:author="Isabelle Cote" w:date="2024-09-24T12:34:00Z" w:initials="IC">
    <w:p w14:paraId="7C352907" w14:textId="77777777" w:rsidR="00906B6A" w:rsidRDefault="00906B6A" w:rsidP="00906B6A">
      <w:pPr>
        <w:pStyle w:val="CommentText"/>
      </w:pPr>
      <w:r>
        <w:rPr>
          <w:rStyle w:val="CommentReference"/>
        </w:rPr>
        <w:annotationRef/>
      </w:r>
      <w:r>
        <w:t>Not really</w:t>
      </w:r>
    </w:p>
  </w:comment>
  <w:comment w:id="15" w:author="Em Lim" w:date="2024-09-17T13:57:00Z" w:initials="EL">
    <w:p w14:paraId="12A4051B" w14:textId="7B298570" w:rsidR="00E94D69" w:rsidRDefault="00E94D69" w:rsidP="00E94D69">
      <w:r>
        <w:rPr>
          <w:rStyle w:val="CommentReference"/>
        </w:rPr>
        <w:annotationRef/>
      </w:r>
      <w:r>
        <w:rPr>
          <w:sz w:val="20"/>
          <w:szCs w:val="20"/>
        </w:rPr>
        <w:t>Jasmin: Is this the correct way to do this?</w:t>
      </w:r>
    </w:p>
  </w:comment>
  <w:comment w:id="16"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17"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18" w:author="Isabelle Cote [2]"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3085A662" w15:paraIdParent="56205A21" w15:done="0"/>
  <w15:commentEx w15:paraId="72A6DA61" w15:paraIdParent="56205A21" w15:done="0"/>
  <w15:commentEx w15:paraId="5AAB2810" w15:done="0"/>
  <w15:commentEx w15:paraId="37A9109E" w15:paraIdParent="5AAB2810" w15:done="0"/>
  <w15:commentEx w15:paraId="125D4431" w15:paraIdParent="5AAB2810" w15:done="0"/>
  <w15:commentEx w15:paraId="5334AA84" w15:done="0"/>
  <w15:commentEx w15:paraId="0C64B6C2" w15:paraIdParent="5334AA84" w15:done="0"/>
  <w15:commentEx w15:paraId="005215D3" w15:done="0"/>
  <w15:commentEx w15:paraId="17D38A3B" w15:paraIdParent="005215D3" w15:done="0"/>
  <w15:commentEx w15:paraId="347B36B8" w15:paraIdParent="005215D3" w15:done="0"/>
  <w15:commentEx w15:paraId="2EB56C1E" w15:paraIdParent="005215D3" w15:done="0"/>
  <w15:commentEx w15:paraId="3DB0BC8B" w15:done="0"/>
  <w15:commentEx w15:paraId="3509469F" w15:done="0"/>
  <w15:commentEx w15:paraId="7C352907" w15:paraIdParent="3509469F" w15:done="0"/>
  <w15:commentEx w15:paraId="12A4051B" w15:done="0"/>
  <w15:commentEx w15:paraId="5A99A513" w15:done="0"/>
  <w15:commentEx w15:paraId="1F298D4A" w15:paraIdParent="5A99A513" w15:done="0"/>
  <w15:commentEx w15:paraId="57083F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596A8557" w16cex:dateUtc="2024-09-18T16:52:00Z"/>
  <w16cex:commentExtensible w16cex:durableId="2FE35FB7" w16cex:dateUtc="2024-09-24T15:55:00Z"/>
  <w16cex:commentExtensible w16cex:durableId="70C1F963" w16cex:dateUtc="2024-03-21T18:31:00Z"/>
  <w16cex:commentExtensible w16cex:durableId="57DBCCA9" w16cex:dateUtc="2024-03-21T18:32:00Z"/>
  <w16cex:commentExtensible w16cex:durableId="6710A97F" w16cex:dateUtc="2024-03-21T18:32:00Z"/>
  <w16cex:commentExtensible w16cex:durableId="12785F0C" w16cex:dateUtc="2024-09-02T17:42:00Z"/>
  <w16cex:commentExtensible w16cex:durableId="3152567C" w16cex:dateUtc="2024-09-24T16:04:00Z"/>
  <w16cex:commentExtensible w16cex:durableId="60760F53" w16cex:dateUtc="2024-03-22T15:46:00Z"/>
  <w16cex:commentExtensible w16cex:durableId="5D84354E" w16cex:dateUtc="2024-08-26T22:06:00Z"/>
  <w16cex:commentExtensible w16cex:durableId="4162A6F4" w16cex:dateUtc="2024-09-03T17:25:00Z"/>
  <w16cex:commentExtensible w16cex:durableId="240D3817" w16cex:dateUtc="2024-09-03T23:23:00Z"/>
  <w16cex:commentExtensible w16cex:durableId="2F3527D8" w16cex:dateUtc="2024-09-13T21:40:00Z"/>
  <w16cex:commentExtensible w16cex:durableId="6ADB5B06" w16cex:dateUtc="2024-09-24T19:34:00Z"/>
  <w16cex:commentExtensible w16cex:durableId="7D634B71" w16cex:dateUtc="2024-09-17T20:57:00Z"/>
  <w16cex:commentExtensible w16cex:durableId="459C4B33" w16cex:dateUtc="2024-07-05T19:37:00Z"/>
  <w16cex:commentExtensible w16cex:durableId="18982704" w16cex:dateUtc="2024-07-16T21:14: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3085A662" w16cid:durableId="596A8557"/>
  <w16cid:commentId w16cid:paraId="72A6DA61" w16cid:durableId="2FE35FB7"/>
  <w16cid:commentId w16cid:paraId="5AAB2810" w16cid:durableId="70C1F963"/>
  <w16cid:commentId w16cid:paraId="37A9109E" w16cid:durableId="57DBCCA9"/>
  <w16cid:commentId w16cid:paraId="125D4431" w16cid:durableId="6710A97F"/>
  <w16cid:commentId w16cid:paraId="5334AA84" w16cid:durableId="12785F0C"/>
  <w16cid:commentId w16cid:paraId="0C64B6C2" w16cid:durableId="3152567C"/>
  <w16cid:commentId w16cid:paraId="005215D3" w16cid:durableId="60760F53"/>
  <w16cid:commentId w16cid:paraId="17D38A3B" w16cid:durableId="29AD30AD"/>
  <w16cid:commentId w16cid:paraId="347B36B8" w16cid:durableId="5D84354E"/>
  <w16cid:commentId w16cid:paraId="2EB56C1E" w16cid:durableId="4162A6F4"/>
  <w16cid:commentId w16cid:paraId="3DB0BC8B" w16cid:durableId="240D3817"/>
  <w16cid:commentId w16cid:paraId="3509469F" w16cid:durableId="2F3527D8"/>
  <w16cid:commentId w16cid:paraId="7C352907" w16cid:durableId="6ADB5B06"/>
  <w16cid:commentId w16cid:paraId="12A4051B" w16cid:durableId="7D634B71"/>
  <w16cid:commentId w16cid:paraId="5A99A513" w16cid:durableId="459C4B33"/>
  <w16cid:commentId w16cid:paraId="1F298D4A" w16cid:durableId="18982704"/>
  <w16cid:commentId w16cid:paraId="57083FF1" w16cid:durableId="365853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6EE81" w14:textId="77777777" w:rsidR="002E0BE3" w:rsidRDefault="002E0BE3" w:rsidP="009B4C2B">
      <w:r>
        <w:separator/>
      </w:r>
    </w:p>
  </w:endnote>
  <w:endnote w:type="continuationSeparator" w:id="0">
    <w:p w14:paraId="47F779E8" w14:textId="77777777" w:rsidR="002E0BE3" w:rsidRDefault="002E0BE3"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3E3BB" w14:textId="77777777" w:rsidR="002E0BE3" w:rsidRDefault="002E0BE3" w:rsidP="009B4C2B">
      <w:r>
        <w:separator/>
      </w:r>
    </w:p>
  </w:footnote>
  <w:footnote w:type="continuationSeparator" w:id="0">
    <w:p w14:paraId="7496D99A" w14:textId="77777777" w:rsidR="002E0BE3" w:rsidRDefault="002E0BE3"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AD" w15:userId="S::imcote@sfu.ca::7fb6c07b-6221-489b-ad40-2a6d8aa9915e"/>
  </w15:person>
  <w15:person w15:author="Kieran Cox">
    <w15:presenceInfo w15:providerId="AD" w15:userId="S::kieranc@sfu.ca::b4290085-ec8f-4fe0-8d75-e615e1fa996c"/>
  </w15:person>
  <w15:person w15:author="Isabelle Cote [2]">
    <w15:presenceInfo w15:providerId="Windows Live" w15:userId="5e078651ba9eb2b3"/>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D7388"/>
    <w:rsid w:val="000E0C25"/>
    <w:rsid w:val="000E1A71"/>
    <w:rsid w:val="000E3FA6"/>
    <w:rsid w:val="000E691F"/>
    <w:rsid w:val="000E74A0"/>
    <w:rsid w:val="000F50D8"/>
    <w:rsid w:val="000F66F1"/>
    <w:rsid w:val="000F79B3"/>
    <w:rsid w:val="00101984"/>
    <w:rsid w:val="00105516"/>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1BD6"/>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0BE3"/>
    <w:rsid w:val="002E1265"/>
    <w:rsid w:val="002E537D"/>
    <w:rsid w:val="002E568B"/>
    <w:rsid w:val="002E7BDB"/>
    <w:rsid w:val="002F0A6D"/>
    <w:rsid w:val="002F0DB3"/>
    <w:rsid w:val="002F18B0"/>
    <w:rsid w:val="002F60B0"/>
    <w:rsid w:val="0030052D"/>
    <w:rsid w:val="00306F1F"/>
    <w:rsid w:val="00314455"/>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C10EB"/>
    <w:rsid w:val="004C436C"/>
    <w:rsid w:val="004C7077"/>
    <w:rsid w:val="004D08E1"/>
    <w:rsid w:val="004D42BB"/>
    <w:rsid w:val="004D42C3"/>
    <w:rsid w:val="004E5C73"/>
    <w:rsid w:val="004E6F16"/>
    <w:rsid w:val="004F2705"/>
    <w:rsid w:val="004F5624"/>
    <w:rsid w:val="004F7AE3"/>
    <w:rsid w:val="005110F5"/>
    <w:rsid w:val="00512CBD"/>
    <w:rsid w:val="00515808"/>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638"/>
    <w:rsid w:val="005870DF"/>
    <w:rsid w:val="00587BDC"/>
    <w:rsid w:val="005933DD"/>
    <w:rsid w:val="005A0B73"/>
    <w:rsid w:val="005A129F"/>
    <w:rsid w:val="005A1F03"/>
    <w:rsid w:val="005A498B"/>
    <w:rsid w:val="005B26B9"/>
    <w:rsid w:val="005B3F6C"/>
    <w:rsid w:val="005B5A3A"/>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05796"/>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B016A"/>
    <w:rsid w:val="006B2625"/>
    <w:rsid w:val="006B4882"/>
    <w:rsid w:val="006C360E"/>
    <w:rsid w:val="006C4A83"/>
    <w:rsid w:val="006C4C3A"/>
    <w:rsid w:val="006C5AC6"/>
    <w:rsid w:val="006C6F43"/>
    <w:rsid w:val="006C7B78"/>
    <w:rsid w:val="006D152A"/>
    <w:rsid w:val="006D3066"/>
    <w:rsid w:val="006D3BCD"/>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06B6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698"/>
    <w:rsid w:val="00A13FB6"/>
    <w:rsid w:val="00A14B41"/>
    <w:rsid w:val="00A15663"/>
    <w:rsid w:val="00A15B36"/>
    <w:rsid w:val="00A166C5"/>
    <w:rsid w:val="00A213FF"/>
    <w:rsid w:val="00A32263"/>
    <w:rsid w:val="00A33386"/>
    <w:rsid w:val="00A36A0B"/>
    <w:rsid w:val="00A37BD2"/>
    <w:rsid w:val="00A40ED6"/>
    <w:rsid w:val="00A41148"/>
    <w:rsid w:val="00A4123F"/>
    <w:rsid w:val="00A44D01"/>
    <w:rsid w:val="00A510EF"/>
    <w:rsid w:val="00A5377F"/>
    <w:rsid w:val="00A5575A"/>
    <w:rsid w:val="00A565ED"/>
    <w:rsid w:val="00A56CF1"/>
    <w:rsid w:val="00A625FF"/>
    <w:rsid w:val="00A7066E"/>
    <w:rsid w:val="00A71A32"/>
    <w:rsid w:val="00A76702"/>
    <w:rsid w:val="00A77C0D"/>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34E5F"/>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875E3"/>
    <w:rsid w:val="00C923D5"/>
    <w:rsid w:val="00C9608F"/>
    <w:rsid w:val="00CA34B5"/>
    <w:rsid w:val="00CA5503"/>
    <w:rsid w:val="00CC12B0"/>
    <w:rsid w:val="00CC5E86"/>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548C"/>
    <w:rsid w:val="00D16152"/>
    <w:rsid w:val="00D16571"/>
    <w:rsid w:val="00D16B00"/>
    <w:rsid w:val="00D16E45"/>
    <w:rsid w:val="00D20127"/>
    <w:rsid w:val="00D27303"/>
    <w:rsid w:val="00D27E15"/>
    <w:rsid w:val="00D310D6"/>
    <w:rsid w:val="00D31F5B"/>
    <w:rsid w:val="00D34121"/>
    <w:rsid w:val="00D351C1"/>
    <w:rsid w:val="00D37004"/>
    <w:rsid w:val="00D37C4A"/>
    <w:rsid w:val="00D40247"/>
    <w:rsid w:val="00D41147"/>
    <w:rsid w:val="00D44394"/>
    <w:rsid w:val="00D44EB8"/>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439E"/>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94D69"/>
    <w:rsid w:val="00EA2D98"/>
    <w:rsid w:val="00EA4716"/>
    <w:rsid w:val="00EA4761"/>
    <w:rsid w:val="00EB3BC7"/>
    <w:rsid w:val="00EB4F90"/>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47</Pages>
  <Words>46311</Words>
  <Characters>263974</Characters>
  <Application>Microsoft Office Word</Application>
  <DocSecurity>0</DocSecurity>
  <Lines>2199</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9</cp:revision>
  <dcterms:created xsi:type="dcterms:W3CDTF">2024-09-24T19:56:00Z</dcterms:created>
  <dcterms:modified xsi:type="dcterms:W3CDTF">2024-09-25T22:03:00Z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