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Default="00336BBE" w:rsidP="005E4748">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79FE8535" w14:textId="77777777" w:rsidR="0055518E" w:rsidRPr="00861362" w:rsidRDefault="0055518E" w:rsidP="005E4748">
      <w:pPr>
        <w:spacing w:line="480" w:lineRule="auto"/>
        <w:rPr>
          <w:rFonts w:ascii="Times New Roman" w:hAnsi="Times New Roman" w:cs="Times New Roman"/>
          <w:b/>
          <w:bCs/>
        </w:rPr>
      </w:pPr>
    </w:p>
    <w:p w14:paraId="4B3B708E" w14:textId="623D39D4"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6C05C5ED" w14:textId="5B786989" w:rsidR="00C62ED3" w:rsidRPr="00C62ED3" w:rsidRDefault="00336BBE" w:rsidP="005E4748">
      <w:pPr>
        <w:spacing w:line="480" w:lineRule="auto"/>
        <w:rPr>
          <w:rFonts w:ascii="Times New Roman" w:hAnsi="Times New Roman" w:cs="Times New Roman"/>
          <w:b/>
        </w:rPr>
      </w:pPr>
      <w:r w:rsidRPr="00861362">
        <w:rPr>
          <w:rFonts w:ascii="Times New Roman" w:hAnsi="Times New Roman" w:cs="Times New Roman"/>
        </w:rPr>
        <w:br/>
      </w:r>
      <w:r w:rsidR="00C62ED3" w:rsidRPr="00C62ED3">
        <w:rPr>
          <w:rFonts w:ascii="Times New Roman" w:hAnsi="Times New Roman" w:cs="Times New Roman"/>
          <w:b/>
          <w:bCs/>
        </w:rPr>
        <w:t>Authors:</w:t>
      </w:r>
      <w:r w:rsidR="00C62ED3" w:rsidRPr="00C62ED3">
        <w:rPr>
          <w:rFonts w:ascii="Times New Roman" w:hAnsi="Times New Roman" w:cs="Times New Roman"/>
        </w:rPr>
        <w:t xml:space="preserve"> Em G Lim</w:t>
      </w:r>
      <w:r w:rsidR="00C62ED3" w:rsidRPr="00C62ED3">
        <w:rPr>
          <w:rFonts w:ascii="Times New Roman" w:hAnsi="Times New Roman" w:cs="Times New Roman"/>
          <w:vertAlign w:val="superscript"/>
        </w:rPr>
        <w:t>1,2*</w:t>
      </w:r>
      <w:r w:rsidR="00C62ED3" w:rsidRPr="00C62ED3">
        <w:rPr>
          <w:rFonts w:ascii="Times New Roman" w:hAnsi="Times New Roman" w:cs="Times New Roman"/>
        </w:rPr>
        <w:t>, Claire M Attridge</w:t>
      </w:r>
      <w:r w:rsidR="00C62ED3" w:rsidRPr="00C62ED3">
        <w:rPr>
          <w:rFonts w:ascii="Times New Roman" w:hAnsi="Times New Roman" w:cs="Times New Roman"/>
          <w:vertAlign w:val="superscript"/>
        </w:rPr>
        <w:t>1</w:t>
      </w:r>
      <w:r w:rsidR="00C62ED3" w:rsidRPr="00C62ED3">
        <w:rPr>
          <w:rFonts w:ascii="Times New Roman" w:hAnsi="Times New Roman" w:cs="Times New Roman"/>
        </w:rPr>
        <w:t xml:space="preserve">, </w:t>
      </w:r>
      <w:r w:rsidR="00546390" w:rsidRPr="00C62ED3">
        <w:rPr>
          <w:rFonts w:ascii="Times New Roman" w:hAnsi="Times New Roman" w:cs="Times New Roman"/>
        </w:rPr>
        <w:t>Kieran D Cox</w:t>
      </w:r>
      <w:r w:rsidR="00546390" w:rsidRPr="00C62ED3">
        <w:rPr>
          <w:rFonts w:ascii="Times New Roman" w:hAnsi="Times New Roman" w:cs="Times New Roman"/>
          <w:vertAlign w:val="superscript"/>
        </w:rPr>
        <w:t>1</w:t>
      </w:r>
      <w:r w:rsidR="00546390" w:rsidRPr="00C62ED3">
        <w:rPr>
          <w:rFonts w:ascii="Times New Roman" w:hAnsi="Times New Roman" w:cs="Times New Roman"/>
        </w:rPr>
        <w:t xml:space="preserve">, </w:t>
      </w:r>
      <w:r w:rsidR="00C62ED3" w:rsidRPr="00C62ED3">
        <w:rPr>
          <w:rFonts w:ascii="Times New Roman" w:hAnsi="Times New Roman" w:cs="Times New Roman"/>
        </w:rPr>
        <w:t>Jasmin M Schuster</w:t>
      </w:r>
      <w:r w:rsidR="00C62ED3" w:rsidRPr="00C62ED3">
        <w:rPr>
          <w:rFonts w:ascii="Times New Roman" w:hAnsi="Times New Roman" w:cs="Times New Roman"/>
          <w:vertAlign w:val="superscript"/>
        </w:rPr>
        <w:t>2,3,4</w:t>
      </w:r>
      <w:r w:rsidR="00C62ED3" w:rsidRPr="00C62ED3">
        <w:rPr>
          <w:rFonts w:ascii="Times New Roman" w:hAnsi="Times New Roman" w:cs="Times New Roman"/>
        </w:rPr>
        <w:t>, Kiara R Kattler</w:t>
      </w:r>
      <w:r w:rsidR="00C62ED3" w:rsidRPr="00C62ED3">
        <w:rPr>
          <w:rFonts w:ascii="Times New Roman" w:hAnsi="Times New Roman" w:cs="Times New Roman"/>
          <w:vertAlign w:val="superscript"/>
        </w:rPr>
        <w:t>1§</w:t>
      </w:r>
      <w:r w:rsidR="00C62ED3" w:rsidRPr="00C62ED3">
        <w:rPr>
          <w:rFonts w:ascii="Times New Roman" w:hAnsi="Times New Roman" w:cs="Times New Roman"/>
        </w:rPr>
        <w:t>, Emily J Leedham</w:t>
      </w:r>
      <w:r w:rsidR="00C62ED3" w:rsidRPr="00C62ED3">
        <w:rPr>
          <w:rFonts w:ascii="Times New Roman" w:hAnsi="Times New Roman" w:cs="Times New Roman"/>
          <w:vertAlign w:val="superscript"/>
        </w:rPr>
        <w:t>1¶</w:t>
      </w:r>
      <w:r w:rsidR="00C62ED3" w:rsidRPr="00C62ED3">
        <w:rPr>
          <w:rFonts w:ascii="Times New Roman" w:hAnsi="Times New Roman" w:cs="Times New Roman"/>
        </w:rPr>
        <w:t>, Bridget Maher</w:t>
      </w:r>
      <w:r w:rsidR="00C62ED3" w:rsidRPr="00C62ED3">
        <w:rPr>
          <w:rFonts w:ascii="Times New Roman" w:hAnsi="Times New Roman" w:cs="Times New Roman"/>
          <w:vertAlign w:val="superscript"/>
        </w:rPr>
        <w:t>3</w:t>
      </w:r>
      <w:r w:rsidR="00C62ED3" w:rsidRPr="00C62ED3">
        <w:rPr>
          <w:rFonts w:ascii="Times New Roman" w:hAnsi="Times New Roman" w:cs="Times New Roman"/>
        </w:rPr>
        <w:t>, Andrew L Bickell</w:t>
      </w:r>
      <w:r w:rsidR="00C62ED3" w:rsidRPr="00C62ED3">
        <w:rPr>
          <w:rFonts w:ascii="Times New Roman" w:hAnsi="Times New Roman" w:cs="Times New Roman"/>
          <w:vertAlign w:val="superscript"/>
        </w:rPr>
        <w:t>1†</w:t>
      </w:r>
      <w:r w:rsidR="00C62ED3" w:rsidRPr="00C62ED3">
        <w:rPr>
          <w:rFonts w:ascii="Times New Roman" w:hAnsi="Times New Roman" w:cs="Times New Roman"/>
        </w:rPr>
        <w:t>, Francis Juanes</w:t>
      </w:r>
      <w:r w:rsidR="00C62ED3" w:rsidRPr="00C62ED3">
        <w:rPr>
          <w:rFonts w:ascii="Times New Roman" w:hAnsi="Times New Roman" w:cs="Times New Roman"/>
          <w:vertAlign w:val="superscript"/>
        </w:rPr>
        <w:t>3</w:t>
      </w:r>
      <w:r w:rsidR="00C62ED3" w:rsidRPr="00C62ED3">
        <w:rPr>
          <w:rFonts w:ascii="Times New Roman" w:hAnsi="Times New Roman" w:cs="Times New Roman"/>
        </w:rPr>
        <w:t>, Isabelle M Côté</w:t>
      </w:r>
      <w:r w:rsidR="00C62ED3" w:rsidRPr="00C62ED3">
        <w:rPr>
          <w:rFonts w:ascii="Times New Roman" w:hAnsi="Times New Roman" w:cs="Times New Roman"/>
          <w:vertAlign w:val="superscript"/>
        </w:rPr>
        <w:t>1</w:t>
      </w:r>
    </w:p>
    <w:p w14:paraId="0C0605CA" w14:textId="34870C3C" w:rsidR="00336BBE" w:rsidRPr="00861362" w:rsidRDefault="00336BBE" w:rsidP="005E4748">
      <w:pPr>
        <w:spacing w:line="480" w:lineRule="auto"/>
        <w:rPr>
          <w:rFonts w:ascii="Times New Roman" w:hAnsi="Times New Roman" w:cs="Times New Roman"/>
        </w:rPr>
      </w:pPr>
    </w:p>
    <w:p w14:paraId="1DE8AB16"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b/>
          <w:bCs/>
          <w:kern w:val="0"/>
          <w14:ligatures w14:val="none"/>
        </w:rPr>
        <w:t>Affiliations:</w:t>
      </w:r>
    </w:p>
    <w:p w14:paraId="01F81FBF"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1</w:t>
      </w:r>
      <w:r w:rsidRPr="00C62ED3">
        <w:rPr>
          <w:rFonts w:ascii="Times New Roman" w:eastAsia="Times New Roman" w:hAnsi="Times New Roman" w:cs="Times New Roman"/>
          <w:kern w:val="0"/>
          <w14:ligatures w14:val="none"/>
        </w:rPr>
        <w:t>Department of Biological Sciences, Simon Fraser University, Burnaby, British Columbia, Canada</w:t>
      </w:r>
    </w:p>
    <w:p w14:paraId="26E69112"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2</w:t>
      </w:r>
      <w:r w:rsidRPr="00C62ED3">
        <w:rPr>
          <w:rFonts w:ascii="Times New Roman" w:eastAsia="Times New Roman" w:hAnsi="Times New Roman" w:cs="Times New Roman"/>
          <w:kern w:val="0"/>
          <w14:ligatures w14:val="none"/>
        </w:rPr>
        <w:t xml:space="preserve">Bamfield Marine Sciences Center, </w:t>
      </w:r>
      <w:proofErr w:type="spellStart"/>
      <w:r w:rsidRPr="00C62ED3">
        <w:rPr>
          <w:rFonts w:ascii="Times New Roman" w:eastAsia="Times New Roman" w:hAnsi="Times New Roman" w:cs="Times New Roman"/>
          <w:kern w:val="0"/>
          <w14:ligatures w14:val="none"/>
        </w:rPr>
        <w:t>Bamfield</w:t>
      </w:r>
      <w:proofErr w:type="spellEnd"/>
      <w:r w:rsidRPr="00C62ED3">
        <w:rPr>
          <w:rFonts w:ascii="Times New Roman" w:eastAsia="Times New Roman" w:hAnsi="Times New Roman" w:cs="Times New Roman"/>
          <w:kern w:val="0"/>
          <w14:ligatures w14:val="none"/>
        </w:rPr>
        <w:t>, British Columbia, Canada</w:t>
      </w:r>
    </w:p>
    <w:p w14:paraId="765819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3</w:t>
      </w:r>
      <w:r w:rsidRPr="00C62ED3">
        <w:rPr>
          <w:rFonts w:ascii="Times New Roman" w:eastAsia="Times New Roman" w:hAnsi="Times New Roman" w:cs="Times New Roman"/>
          <w:kern w:val="0"/>
          <w14:ligatures w14:val="none"/>
        </w:rPr>
        <w:t>Department of Biology, University of Victoria, Victoria, British Columbia, Canada</w:t>
      </w:r>
    </w:p>
    <w:p w14:paraId="2CCCFE65" w14:textId="77777777" w:rsidR="00C62ED3" w:rsidRPr="00C62ED3" w:rsidRDefault="00C62ED3" w:rsidP="005E4748">
      <w:pPr>
        <w:spacing w:line="480" w:lineRule="auto"/>
        <w:rPr>
          <w:rFonts w:ascii="Times New Roman" w:eastAsia="Times New Roman" w:hAnsi="Times New Roman" w:cs="Times New Roman"/>
          <w:color w:val="202124"/>
          <w:kern w:val="0"/>
          <w14:ligatures w14:val="none"/>
        </w:rPr>
      </w:pPr>
      <w:r w:rsidRPr="00C62ED3">
        <w:rPr>
          <w:rFonts w:ascii="Times New Roman" w:eastAsia="Times New Roman" w:hAnsi="Times New Roman" w:cs="Times New Roman"/>
          <w:kern w:val="0"/>
          <w:vertAlign w:val="superscript"/>
          <w14:ligatures w14:val="none"/>
        </w:rPr>
        <w:t>4</w:t>
      </w:r>
      <w:r w:rsidRPr="00C62ED3">
        <w:rPr>
          <w:rFonts w:ascii="Times New Roman" w:eastAsia="Times New Roman" w:hAnsi="Times New Roman" w:cs="Times New Roman"/>
          <w:kern w:val="0"/>
          <w14:ligatures w14:val="none"/>
        </w:rPr>
        <w:t xml:space="preserve">Hakai Institute, </w:t>
      </w:r>
      <w:r w:rsidRPr="00C62ED3">
        <w:rPr>
          <w:rFonts w:ascii="Times New Roman" w:eastAsia="Times New Roman" w:hAnsi="Times New Roman" w:cs="Times New Roman"/>
          <w:color w:val="202124"/>
          <w:kern w:val="0"/>
          <w14:ligatures w14:val="none"/>
        </w:rPr>
        <w:t>Campbell River, British Columbia, Canada</w:t>
      </w:r>
    </w:p>
    <w:p w14:paraId="4F483C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Biological Sciences,</w:t>
      </w:r>
      <w:r w:rsidRPr="00C62ED3">
        <w:rPr>
          <w:rFonts w:ascii="Times New Roman" w:eastAsia="Times New Roman" w:hAnsi="Times New Roman" w:cs="Times New Roman"/>
          <w:kern w:val="0"/>
          <w:vertAlign w:val="superscript"/>
          <w14:ligatures w14:val="none"/>
        </w:rPr>
        <w:t xml:space="preserve"> </w:t>
      </w:r>
      <w:r w:rsidRPr="00C62ED3">
        <w:rPr>
          <w:rFonts w:ascii="Times New Roman" w:eastAsia="Times New Roman" w:hAnsi="Times New Roman" w:cs="Times New Roman"/>
          <w:kern w:val="0"/>
          <w14:ligatures w14:val="none"/>
        </w:rPr>
        <w:t>University of Alberta, Edmonton, Canada</w:t>
      </w:r>
    </w:p>
    <w:p w14:paraId="213BB7F2" w14:textId="77777777" w:rsidR="00C62ED3" w:rsidRPr="00C62ED3" w:rsidRDefault="00C62ED3" w:rsidP="005E4748">
      <w:pPr>
        <w:spacing w:line="480" w:lineRule="auto"/>
        <w:rPr>
          <w:rFonts w:ascii="Times New Roman" w:eastAsia="Times New Roman" w:hAnsi="Times New Roman" w:cs="Times New Roman"/>
          <w:color w:val="1C1D1E"/>
          <w:kern w:val="0"/>
          <w:shd w:val="clear" w:color="auto" w:fill="FFFFFF"/>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Institute of Marine Science, </w:t>
      </w:r>
      <w:proofErr w:type="spellStart"/>
      <w:r w:rsidRPr="00C62ED3">
        <w:rPr>
          <w:rFonts w:ascii="Times New Roman" w:eastAsia="Times New Roman" w:hAnsi="Times New Roman" w:cs="Times New Roman"/>
          <w:color w:val="1C1D1E"/>
          <w:kern w:val="0"/>
          <w:shd w:val="clear" w:color="auto" w:fill="FFFFFF"/>
          <w14:ligatures w14:val="none"/>
        </w:rPr>
        <w:t>Waipapa</w:t>
      </w:r>
      <w:proofErr w:type="spellEnd"/>
      <w:r w:rsidRPr="00C62ED3">
        <w:rPr>
          <w:rFonts w:ascii="Times New Roman" w:eastAsia="Times New Roman" w:hAnsi="Times New Roman" w:cs="Times New Roman"/>
          <w:color w:val="1C1D1E"/>
          <w:kern w:val="0"/>
          <w:shd w:val="clear" w:color="auto" w:fill="FFFFFF"/>
          <w14:ligatures w14:val="none"/>
        </w:rPr>
        <w:t xml:space="preserve"> </w:t>
      </w:r>
      <w:proofErr w:type="spellStart"/>
      <w:r w:rsidRPr="00C62ED3">
        <w:rPr>
          <w:rFonts w:ascii="Times New Roman" w:eastAsia="Times New Roman" w:hAnsi="Times New Roman" w:cs="Times New Roman"/>
          <w:color w:val="1C1D1E"/>
          <w:kern w:val="0"/>
          <w:shd w:val="clear" w:color="auto" w:fill="FFFFFF"/>
          <w14:ligatures w14:val="none"/>
        </w:rPr>
        <w:t>Taumata</w:t>
      </w:r>
      <w:proofErr w:type="spellEnd"/>
      <w:r w:rsidRPr="00C62ED3">
        <w:rPr>
          <w:rFonts w:ascii="Times New Roman" w:eastAsia="Times New Roman" w:hAnsi="Times New Roman" w:cs="Times New Roman"/>
          <w:color w:val="1C1D1E"/>
          <w:kern w:val="0"/>
          <w:shd w:val="clear" w:color="auto" w:fill="FFFFFF"/>
          <w14:ligatures w14:val="none"/>
        </w:rPr>
        <w:t xml:space="preserve"> Rau, The University of Auckland, New Zealand</w:t>
      </w:r>
    </w:p>
    <w:p w14:paraId="0B0C72D8"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Biology, University of Victoria, British Columbia, Canada</w:t>
      </w:r>
    </w:p>
    <w:p w14:paraId="779E7739"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14:ligatures w14:val="none"/>
        </w:rPr>
        <w:br/>
        <w:t xml:space="preserve">*Corresponding author: Em Lim, </w:t>
      </w:r>
      <w:hyperlink r:id="rId5" w:history="1">
        <w:r w:rsidRPr="00C62ED3">
          <w:rPr>
            <w:rFonts w:ascii="Times New Roman" w:eastAsia="Times New Roman" w:hAnsi="Times New Roman" w:cs="Times New Roman"/>
            <w:color w:val="0563C1"/>
            <w:kern w:val="0"/>
            <w:u w:val="single"/>
            <w14:ligatures w14:val="none"/>
          </w:rPr>
          <w:t>em_lim@sfu.ca</w:t>
        </w:r>
      </w:hyperlink>
    </w:p>
    <w:p w14:paraId="47180302" w14:textId="77777777" w:rsidR="004463CB" w:rsidRPr="00861362" w:rsidRDefault="004463CB" w:rsidP="005E4748">
      <w:pPr>
        <w:spacing w:line="480" w:lineRule="auto"/>
        <w:rPr>
          <w:rFonts w:ascii="Times New Roman" w:hAnsi="Times New Roman" w:cs="Times New Roman"/>
          <w:b/>
        </w:rPr>
      </w:pPr>
    </w:p>
    <w:p w14:paraId="29516FDC" w14:textId="77777777" w:rsidR="004463CB" w:rsidRPr="00861362" w:rsidRDefault="004463CB" w:rsidP="005E4748">
      <w:pPr>
        <w:spacing w:line="480" w:lineRule="auto"/>
        <w:rPr>
          <w:rFonts w:ascii="Times New Roman" w:hAnsi="Times New Roman" w:cs="Times New Roman"/>
          <w:b/>
        </w:rPr>
      </w:pPr>
    </w:p>
    <w:p w14:paraId="01227657" w14:textId="77777777" w:rsidR="00C62ED3" w:rsidRDefault="00C62ED3" w:rsidP="005E4748">
      <w:pPr>
        <w:spacing w:line="480" w:lineRule="auto"/>
        <w:rPr>
          <w:rFonts w:ascii="Times New Roman" w:hAnsi="Times New Roman" w:cs="Times New Roman"/>
          <w:b/>
        </w:rPr>
      </w:pPr>
      <w:r>
        <w:rPr>
          <w:rFonts w:ascii="Times New Roman" w:hAnsi="Times New Roman" w:cs="Times New Roman"/>
          <w:b/>
        </w:rPr>
        <w:br w:type="page"/>
      </w:r>
    </w:p>
    <w:p w14:paraId="7555F146" w14:textId="1EB42CAC"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51A82F9" w14:textId="2AA67D69"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151F7FF3"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rPr>
        <w:t xml:space="preserve">Figure S1.1.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41C92BE8" w14:textId="23E2CDA7" w:rsidR="00336BBE" w:rsidRPr="00861362" w:rsidRDefault="00FF0442" w:rsidP="005E474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EF84C52" wp14:editId="6D104AD2">
            <wp:extent cx="5943600" cy="3343275"/>
            <wp:effectExtent l="0" t="0" r="0" b="0"/>
            <wp:docPr id="1875396026" name="Picture 13"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6026" name="Picture 13"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A633E7" w14:textId="4458ED12"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bCs/>
        </w:rPr>
        <w:t>Figure S1.2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w:t>
      </w:r>
      <w:r w:rsidR="00140FE6" w:rsidRPr="00861362">
        <w:rPr>
          <w:rFonts w:ascii="Times New Roman" w:hAnsi="Times New Roman" w:cs="Times New Roman"/>
        </w:rPr>
        <w:t xml:space="preserve">Macro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sidRPr="00861362">
        <w:rPr>
          <w:rFonts w:ascii="Times New Roman" w:hAnsi="Times New Roman" w:cs="Times New Roman"/>
        </w:rPr>
        <w:t xml:space="preserve">, </w:t>
      </w:r>
      <w:r w:rsidRPr="00861362">
        <w:rPr>
          <w:rFonts w:ascii="Times New Roman" w:hAnsi="Times New Roman" w:cs="Times New Roman"/>
        </w:rPr>
        <w:t xml:space="preserve">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5E4748">
      <w:pPr>
        <w:spacing w:line="480" w:lineRule="auto"/>
        <w:rPr>
          <w:rFonts w:ascii="Times New Roman" w:hAnsi="Times New Roman" w:cs="Times New Roman"/>
        </w:rPr>
      </w:pPr>
    </w:p>
    <w:p w14:paraId="63BC339E" w14:textId="57DFD2D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34DADD47" w14:textId="0CFD06E9" w:rsidR="00336BBE" w:rsidRPr="00861362" w:rsidRDefault="005E4748" w:rsidP="005E4748">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1FEC107" wp14:editId="5BAA1069">
            <wp:extent cx="5943600" cy="3337560"/>
            <wp:effectExtent l="0" t="0" r="0" b="2540"/>
            <wp:docPr id="1583538002"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38002" name="Picture 2"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4B67AC68" w14:textId="77777777"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t xml:space="preserve">Figure S1.3.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408E5656" w14:textId="2D5CF719"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FE4B81F" w14:textId="607616FE"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1D6901C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336BBE" w:rsidRPr="00861362" w14:paraId="0060B440" w14:textId="77777777" w:rsidTr="00747EF0">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745"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501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747EF0">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745"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501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747EF0">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745"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48F978CE" w14:textId="05BD89D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{"citationID":"c2rALRPz","properties":{"formattedCitation":"(Hines 1982)","plainCitation":"(Hines 1982)","noteIndex":0},"citationItems":[{"id":4311,"uris":["http://zotero.org/users/local/idKDtb7T/items/932HJ4YE"],"itemData":{"id":4311,"type":"article-journal","abstract":"Allometric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Hines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small crabs</w:t>
            </w:r>
          </w:p>
        </w:tc>
      </w:tr>
      <w:tr w:rsidR="00336BBE" w:rsidRPr="00861362" w14:paraId="004E143E" w14:textId="77777777" w:rsidTr="00747EF0">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745"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747EF0">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745"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747EF0">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745"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747EF0">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747EF0">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745"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501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747EF0">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745"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747EF0">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745"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501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747EF0">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747EF0">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745"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747EF0">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745"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747EF0">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745"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0D5EAF86" w14:textId="1AD678B1"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{"citationID":"mZS1K8Qj","properties":{"formattedCitation":"(Stewart et al. 2015)","plainCitation":"(Stewart et al. 2015)","noteIndex":0},"citationItems":[{"id":4577,"uris":["http://zotero.org/users/local/idKDtb7T/items/3BEYXRME"],"itemData":{"id":4577,"type":"article-journal","abstract":"Sea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Stewart et al. 2015</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Phyllolithodes</w:t>
            </w:r>
            <w:proofErr w:type="spellEnd"/>
            <w:r w:rsidR="00336BBE" w:rsidRPr="00861362">
              <w:rPr>
                <w:rFonts w:ascii="Times New Roman" w:hAnsi="Times New Roman" w:cs="Times New Roman"/>
                <w:i/>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747EF0">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745"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6DC45E2A" w14:textId="116765B5"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Stewart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747EF0">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745"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2E848677" w14:textId="46B57D7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w:t>
            </w:r>
          </w:p>
        </w:tc>
      </w:tr>
      <w:tr w:rsidR="00336BBE" w:rsidRPr="00861362" w14:paraId="1CC245DB" w14:textId="77777777" w:rsidTr="00747EF0">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747EF0">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0119ACC" w14:textId="08E704C6"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{"citationID":"lL99fzNT","properties":{"formattedCitation":"(McKinney et al. 2004)","plainCitation":"(McKinney et al. 2004)","noteIndex":0},"citationItems":[{"id":2558,"uris":["http://zotero.org/users/local/idKDtb7T/items/DEZB8VR5"],"itemData":{"id":2558,"type":"article-journal","abstract":"We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McKinney et al. 2004</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w:t>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color w:val="000000"/>
                <w:sz w:val="20"/>
                <w:szCs w:val="20"/>
              </w:rPr>
              <w:t>Paguroidea</w:t>
            </w:r>
            <w:proofErr w:type="spellEnd"/>
          </w:p>
        </w:tc>
      </w:tr>
      <w:tr w:rsidR="00336BBE" w:rsidRPr="00861362" w14:paraId="479FDA89" w14:textId="77777777" w:rsidTr="00747EF0">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745"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4218AC89" w14:textId="3B9BE8B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747EF0">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745"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1C99756" w14:textId="673CB409"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747EF0">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745"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noWrap/>
            <w:hideMark/>
          </w:tcPr>
          <w:p w14:paraId="53F0AD3A" w14:textId="1ED3B681"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747EF0">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745"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6090ABCB" w14:textId="3B0D48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747EF0">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745"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bottom w:val="nil"/>
            </w:tcBorders>
            <w:noWrap/>
            <w:hideMark/>
          </w:tcPr>
          <w:p w14:paraId="13F972D4" w14:textId="07A92E0D"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747EF0">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Pandulus</w:t>
            </w:r>
            <w:proofErr w:type="spellEnd"/>
            <w:r w:rsidRPr="00861362">
              <w:rPr>
                <w:rFonts w:ascii="Times New Roman" w:hAnsi="Times New Roman" w:cs="Times New Roman"/>
                <w:i/>
                <w:color w:val="000000"/>
                <w:sz w:val="20"/>
                <w:szCs w:val="20"/>
              </w:rPr>
              <w:t xml:space="preserve"> spp.</w:t>
            </w:r>
          </w:p>
        </w:tc>
        <w:tc>
          <w:tcPr>
            <w:tcW w:w="1745"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1A793556" w14:textId="0058541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747EF0">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745"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747EF0">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745"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122E8CEB" w14:textId="46815F1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{"citationID":"Wm6vaj5c","properties":{"formattedCitation":"(Stillman and Somero 1996)","plainCitation":"(Stillman and Somero 1996)","noteIndex":0},"citationItems":[{"id":4598,"uris":["http://zotero.org/users/local/idKDtb7T/items/I6E45SSG"],"itemData":{"id":4598,"type":"article-journal","abstract":"We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Biology","DOI":"10.1242/jeb.199.8.1845","ISSN":"0022-0949","issue":"8","journalAbbreviation":"Journal of Experimental Biology","page":"1845-1855","source":"Silverchair","title":"Adaptation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Stillman and Somero 1996</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Petrolisthes</w:t>
            </w:r>
            <w:proofErr w:type="spellEnd"/>
            <w:r w:rsidR="00336BBE" w:rsidRPr="00861362">
              <w:rPr>
                <w:rFonts w:ascii="Times New Roman" w:hAnsi="Times New Roman" w:cs="Times New Roman"/>
                <w:i/>
                <w:color w:val="000000"/>
                <w:sz w:val="20"/>
                <w:szCs w:val="20"/>
              </w:rPr>
              <w:t xml:space="preserve"> spp.</w:t>
            </w:r>
          </w:p>
        </w:tc>
      </w:tr>
      <w:tr w:rsidR="00336BBE" w:rsidRPr="00861362" w14:paraId="0FE1C57C" w14:textId="77777777" w:rsidTr="00747EF0">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745"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747EF0">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745"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38EA92FC" w14:textId="579F702A"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747EF0">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Brachyura spp.</w:t>
            </w:r>
          </w:p>
        </w:tc>
        <w:tc>
          <w:tcPr>
            <w:tcW w:w="1745"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747EF0">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745"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4D5C0F60" w14:textId="1A9EEBBB"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747EF0">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745"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4E26594A" w14:textId="60FDD9E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5FDAF27D" w14:textId="77777777" w:rsidTr="00747EF0">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745"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05065AED" w14:textId="0F06043C"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EAB419F" w14:textId="77777777" w:rsidTr="00747EF0">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745"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2C90EB9A" w14:textId="2656414D"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01583D1" w14:textId="77777777" w:rsidTr="00747EF0">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745"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7DC3154F" w14:textId="47F48C9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p>
        </w:tc>
      </w:tr>
      <w:tr w:rsidR="00336BBE" w:rsidRPr="00861362" w14:paraId="4B5EE708" w14:textId="77777777" w:rsidTr="00747EF0">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745"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0FDB5B" w14:textId="19E6B2D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p>
        </w:tc>
      </w:tr>
      <w:tr w:rsidR="00336BBE" w:rsidRPr="00861362" w14:paraId="2958A5ED" w14:textId="77777777" w:rsidTr="00747EF0">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745"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503C0355" w14:textId="0B550847"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{"citationID":"0Mh55nW1","properties":{"formattedCitation":"(Menge 1975)","plainCitation":"(Menge 1975)","noteIndex":0},"citationItems":[{"id":4301,"uris":["http://zotero.org/users/local/idKDtb7T/items/HJPMT4EW"],"itemData":{"id":4301,"type":"article-journal","abstract":"This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Leptasterias hexactis and Pisaster ochraceus","title-short":"Brood or broadcast?","volume":"31","author":[{"family":"Menge","given":"Bruce A."}],"issued":{"date-parts":[["1975",6,1]]}}}],"schema":"https://github.com/citation-style-language/schema/raw/master/csl-citation.json"}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Menge 1975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Leptasterias</w:t>
            </w:r>
            <w:proofErr w:type="spellEnd"/>
            <w:r w:rsidR="00336BBE" w:rsidRPr="00861362">
              <w:rPr>
                <w:rFonts w:ascii="Times New Roman" w:hAnsi="Times New Roman" w:cs="Times New Roman"/>
                <w:i/>
                <w:color w:val="000000"/>
                <w:sz w:val="20"/>
                <w:szCs w:val="20"/>
              </w:rPr>
              <w:t xml:space="preserve"> spp.</w:t>
            </w:r>
          </w:p>
        </w:tc>
      </w:tr>
      <w:tr w:rsidR="00336BBE" w:rsidRPr="00861362" w14:paraId="3147AB8B" w14:textId="77777777" w:rsidTr="00747EF0">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747EF0">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745"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7173F57F" w14:textId="2038874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B6A466C" w14:textId="77777777" w:rsidTr="00747EF0">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745"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5016" w:type="dxa"/>
            <w:noWrap/>
            <w:hideMark/>
          </w:tcPr>
          <w:p w14:paraId="518877D7" w14:textId="20C059FA"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Pisaster</w:t>
            </w:r>
            <w:proofErr w:type="spellEnd"/>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747EF0">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745"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5016" w:type="dxa"/>
            <w:noWrap/>
            <w:hideMark/>
          </w:tcPr>
          <w:p w14:paraId="6FE76A8E" w14:textId="31D563F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{"citationID":"g7drkRTO","properties":{"formattedCitation":"(Sanford 2002)","plainCitation":"(Sanford 2002)","noteIndex":0},"citationItems":[{"id":4297,"uris":["http://zotero.org/users/local/idKDtb7T/items/8QSFR2S9"],"itemData":{"id":4297,"type":"article-journal","abstract":"Although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(Pisaster ochraceus and Nucella canaliculata) under water temperatures simulating episodic upwelling","volume":"273","author":[{"family":"Sanford","given":"Eric"}],"issued":{"date-parts":[["2002",7,17]]}}}],"schema":"https://github.com/citation-style-language/schema/raw/master/csl-citation.json"}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Sanford 2002</w:t>
            </w:r>
            <w:r>
              <w:rPr>
                <w:rFonts w:ascii="Times New Roman" w:hAnsi="Times New Roman" w:cs="Times New Roman"/>
                <w:color w:val="000000"/>
                <w:sz w:val="20"/>
                <w:szCs w:val="20"/>
              </w:rPr>
              <w:fldChar w:fldCharType="end"/>
            </w:r>
          </w:p>
        </w:tc>
      </w:tr>
      <w:tr w:rsidR="00336BBE" w:rsidRPr="00861362" w14:paraId="01C25092" w14:textId="77777777" w:rsidTr="00747EF0">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745"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5016" w:type="dxa"/>
            <w:noWrap/>
            <w:hideMark/>
          </w:tcPr>
          <w:p w14:paraId="36C013BF" w14:textId="65C79E0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{"citationID":"Yib57RAg","properties":{"formattedCitation":"(Lee et al. 2016)","plainCitation":"(Lee et al. 2016)","noteIndex":0},"citationItems":[{"id":4597,"uris":["http://zotero.org/users/local/idKDtb7T/items/44JKULUK"],"itemData":{"id":4597,"type":"article-journal","abstract":"Managing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Lee et al. 2016</w:t>
            </w:r>
            <w:r>
              <w:rPr>
                <w:rFonts w:ascii="Times New Roman" w:hAnsi="Times New Roman" w:cs="Times New Roman"/>
                <w:color w:val="000000"/>
                <w:sz w:val="20"/>
                <w:szCs w:val="20"/>
              </w:rPr>
              <w:fldChar w:fldCharType="end"/>
            </w:r>
          </w:p>
        </w:tc>
      </w:tr>
      <w:tr w:rsidR="00336BBE" w:rsidRPr="00861362" w14:paraId="731ED839" w14:textId="77777777" w:rsidTr="00747EF0">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745"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A7095C" w14:textId="788C105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36EE4F8" w14:textId="77777777" w:rsidTr="00747EF0">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745"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5016" w:type="dxa"/>
            <w:noWrap/>
            <w:hideMark/>
          </w:tcPr>
          <w:p w14:paraId="0CAA1185" w14:textId="5EE83B2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p>
        </w:tc>
      </w:tr>
      <w:tr w:rsidR="00336BBE" w:rsidRPr="00861362" w14:paraId="63D7E307" w14:textId="77777777" w:rsidTr="00747EF0">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745"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747EF0">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747EF0">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745"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5016" w:type="dxa"/>
            <w:noWrap/>
            <w:hideMark/>
          </w:tcPr>
          <w:p w14:paraId="658DD152" w14:textId="72CD052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{"citationID":"nUJcf9OD","properties":{"formattedCitation":"(Montgomery 2014)","plainCitation":"(Montgomery 2014)","noteIndex":0},"citationItems":[{"id":4594,"uris":["http://zotero.org/users/local/idKDtb7T/items/6AJEGIJR"],"itemData":{"id":4594,"type":"article-journal","abstract":"Larger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Ecology","DOI":"10.1016/j.jembe.2014.05.009","ISSN":"0022-0981","journalAbbreviation":"Journal of Experimental Marine Biology and Ecology","page":"27-33","source":"ScienceDirect","title":"Predicting crawling speed relative to mass in sea stars","volume":"458","author":[{"family":"Montgomery","given":"E. M."}],"issued":{"date-parts":[["2014",9,1]]}}}],"schema":"https://github.com/citation-style-language/schema/raw/master/csl-citation.json"}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Montgomery 2014</w:t>
            </w:r>
            <w:r>
              <w:rPr>
                <w:rFonts w:ascii="Times New Roman" w:hAnsi="Times New Roman" w:cs="Times New Roman"/>
                <w:color w:val="000000"/>
                <w:sz w:val="20"/>
                <w:szCs w:val="20"/>
              </w:rPr>
              <w:fldChar w:fldCharType="end"/>
            </w:r>
          </w:p>
        </w:tc>
      </w:tr>
      <w:tr w:rsidR="00336BBE" w:rsidRPr="00861362" w14:paraId="4202585F" w14:textId="77777777" w:rsidTr="00747EF0">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745"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747EF0">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745"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747EF0">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745"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747EF0">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745"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747EF0">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745"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5016" w:type="dxa"/>
            <w:noWrap/>
            <w:hideMark/>
          </w:tcPr>
          <w:p w14:paraId="2E01CC1F" w14:textId="35A4149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{"citationID":"Tn58fFbR","properties":{"formattedCitation":"(Schuster and Bates 2023)","plainCitation":"(Schuster and Bates 2023)","noteIndex":0},"citationItems":[{"id":4592,"uris":["http://zotero.org/users/local/idKDtb7T/items/N8AC88DS"],"itemData":{"id":4592,"type":"article-journal","abstract":"Widespread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Ecology","DOI":"10.1016/j.jembe.2023.151947","ISSN":"0022-0981","journalAbbreviation":"Journal of Experimental Marine Biology and Ecology","page":"151947","source":"ScienceDirect","title":"The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Schuster and Bates 2023</w:t>
            </w:r>
            <w:r>
              <w:rPr>
                <w:rFonts w:ascii="Times New Roman" w:hAnsi="Times New Roman" w:cs="Times New Roman"/>
                <w:color w:val="000000"/>
                <w:sz w:val="20"/>
                <w:szCs w:val="20"/>
              </w:rPr>
              <w:fldChar w:fldCharType="end"/>
            </w:r>
          </w:p>
        </w:tc>
      </w:tr>
      <w:tr w:rsidR="00336BBE" w:rsidRPr="00861362" w14:paraId="76BD42CA" w14:textId="77777777" w:rsidTr="00747EF0">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745"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73148EF5" w14:textId="5DC61915"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747EF0">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745"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60737952" w14:textId="13BD24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747EF0">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745"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5016" w:type="dxa"/>
            <w:noWrap/>
            <w:hideMark/>
          </w:tcPr>
          <w:p w14:paraId="20AE3C6D" w14:textId="5A33F554"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Peters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747EF0">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745"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5016" w:type="dxa"/>
            <w:tcBorders>
              <w:bottom w:val="nil"/>
            </w:tcBorders>
            <w:noWrap/>
            <w:hideMark/>
          </w:tcPr>
          <w:p w14:paraId="6BC757C1" w14:textId="4ABC2F2F"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Chlamys spp.</w:t>
            </w:r>
          </w:p>
        </w:tc>
      </w:tr>
      <w:tr w:rsidR="00336BBE" w:rsidRPr="00861362" w14:paraId="00D534B8" w14:textId="77777777" w:rsidTr="00747EF0">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745"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5016" w:type="dxa"/>
            <w:tcBorders>
              <w:top w:val="nil"/>
              <w:bottom w:val="nil"/>
            </w:tcBorders>
            <w:noWrap/>
            <w:hideMark/>
          </w:tcPr>
          <w:p w14:paraId="67BE0BBD" w14:textId="64DF22E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p>
        </w:tc>
      </w:tr>
      <w:tr w:rsidR="00336BBE" w:rsidRPr="00861362" w14:paraId="73DE08C4" w14:textId="77777777" w:rsidTr="00747EF0">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745"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5016" w:type="dxa"/>
            <w:tcBorders>
              <w:top w:val="nil"/>
            </w:tcBorders>
            <w:noWrap/>
            <w:hideMark/>
          </w:tcPr>
          <w:p w14:paraId="547DA98A" w14:textId="56D9668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{"citationID":"E0RG7PqW","properties":{"formattedCitation":"(Osborn 1995)","plainCitation":"(Osborn 1995)","noteIndex":0},"citationItems":[{"id":4591,"uris":["http://zotero.org/users/local/idKDtb7T/items/4ULINX96"],"itemData":{"id":4591,"type":"thesis","event-place":"San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Octopus rubescens Berry from Monterey Bay, California","URL":"https://scholarworks.sjsu.edu/etd_theses/1170","author":[{"family":"Osborn","given":"Steven A"}],"accessed":{"date-parts":[["2024",2,19]]},"issued":{"date-parts":[["1995",1,1]]}}}],"schema":"https://github.com/citation-style-language/schema/raw/master/csl-citation.json"}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Osborn 1995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 xml:space="preserve">Octopus </w:t>
            </w:r>
            <w:proofErr w:type="spellStart"/>
            <w:r w:rsidR="00336BBE" w:rsidRPr="00861362">
              <w:rPr>
                <w:rFonts w:ascii="Times New Roman" w:hAnsi="Times New Roman" w:cs="Times New Roman"/>
                <w:i/>
                <w:color w:val="000000"/>
                <w:sz w:val="20"/>
                <w:szCs w:val="20"/>
              </w:rPr>
              <w:t>rubescens</w:t>
            </w:r>
            <w:proofErr w:type="spellEnd"/>
          </w:p>
        </w:tc>
      </w:tr>
      <w:tr w:rsidR="00336BBE" w:rsidRPr="00861362" w14:paraId="7FD97CC4" w14:textId="77777777" w:rsidTr="00747EF0">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745"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501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747EF0">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745"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44E35236" w14:textId="3ADA96E9"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{"citationID":"gOTOtUiS","properties":{"formattedCitation":"(Palmer 1982)","plainCitation":"(Palmer 1982)","noteIndex":0},"citationItems":[{"id":4291,"uris":["http://zotero.org/users/local/idKDtb7T/items/J89Y9FQ9"],"itemData":{"id":4291,"type":"article-journal","language":"en","source":"Zotero","title":"GROWTH IN MARINE GASTROPODS: A NON-DESTRUCTIVE TECHNIQUE FOR INDEPENDENTLY MEASURING SHELL AND BODY WEIGHT","author":[{"family":"Palmer","given":"A Richard"}],"issued":{"date-parts":[["1982"]]}}}],"schema":"https://github.com/citation-style-language/schema/raw/master/csl-citation.json"}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Palmer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Nucella</w:t>
            </w:r>
            <w:proofErr w:type="spellEnd"/>
            <w:r w:rsidR="00336BBE" w:rsidRPr="00861362">
              <w:rPr>
                <w:rFonts w:ascii="Times New Roman" w:hAnsi="Times New Roman" w:cs="Times New Roman"/>
                <w:i/>
                <w:color w:val="000000"/>
                <w:sz w:val="20"/>
                <w:szCs w:val="20"/>
              </w:rPr>
              <w:t xml:space="preserve"> spp.</w:t>
            </w:r>
          </w:p>
        </w:tc>
      </w:tr>
      <w:tr w:rsidR="00336BBE" w:rsidRPr="00861362" w14:paraId="3532CCF1" w14:textId="77777777" w:rsidTr="00747EF0">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745"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747EF0">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745"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747EF0">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745"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5016" w:type="dxa"/>
            <w:tcBorders>
              <w:top w:val="nil"/>
              <w:bottom w:val="nil"/>
            </w:tcBorders>
            <w:noWrap/>
            <w:hideMark/>
          </w:tcPr>
          <w:p w14:paraId="55FF34DA" w14:textId="4D14116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{"citationID":"gkz1e21e","properties":{"formattedCitation":"(Zhang et al. 2007)","plainCitation":"(Zhang et al. 2007)","noteIndex":0},"citationItems":[{"id":4288,"uris":["http://zotero.org/users/local/idKDtb7T/items/IUJU2PM5"],"itemData":{"id":4288,"type":"article-journal","abstract":"The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1943-6319","issue":"4","journalAbbreviation":"shre","note":"publisher: National Shellfisheries Association","page":"1099-1107","source":"bioone.org","title":"MODELING NORTHERN ABALONE, HALIOTIS KAMTSCHATKANA, POPULATION STOCK AND RECRUITMENT IN BRITISH COLUMBIA","volume":"26","author":[{"family":"Zhang","given":"Zane"},{"family":"Campbell","given":"Alan"},{"family":"Lessard","given":"Joanne"}],"issued":{"date-parts":[["2007",12]]}}}],"schema":"https://github.com/citation-style-language/schema/raw/master/csl-citation.json"}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Zhang et al. 2007</w:t>
            </w:r>
            <w:r>
              <w:rPr>
                <w:rFonts w:ascii="Times New Roman" w:hAnsi="Times New Roman" w:cs="Times New Roman"/>
                <w:color w:val="000000"/>
                <w:sz w:val="20"/>
                <w:szCs w:val="20"/>
              </w:rPr>
              <w:fldChar w:fldCharType="end"/>
            </w:r>
          </w:p>
        </w:tc>
      </w:tr>
      <w:tr w:rsidR="00336BBE" w:rsidRPr="00861362" w14:paraId="4C73595D" w14:textId="77777777" w:rsidTr="00747EF0">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745"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747EF0">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745"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747EF0">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745"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747EF0">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745"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05976D6" w14:textId="15EB72D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EB4D798" w14:textId="77777777" w:rsidTr="00747EF0">
        <w:trPr>
          <w:trHeight w:val="320"/>
        </w:trPr>
        <w:tc>
          <w:tcPr>
            <w:tcW w:w="3162" w:type="dxa"/>
            <w:noWrap/>
            <w:hideMark/>
          </w:tcPr>
          <w:p w14:paraId="2F5C45B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745" w:type="dxa"/>
            <w:noWrap/>
            <w:hideMark/>
          </w:tcPr>
          <w:p w14:paraId="01EACA9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6B6956" w14:textId="17F490D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2A5BB6E" w14:textId="77777777" w:rsidTr="00747EF0">
        <w:trPr>
          <w:trHeight w:val="320"/>
        </w:trPr>
        <w:tc>
          <w:tcPr>
            <w:tcW w:w="3162" w:type="dxa"/>
            <w:noWrap/>
            <w:hideMark/>
          </w:tcPr>
          <w:p w14:paraId="5ABFBA6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085F1FF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45A2E0F" w14:textId="0F331F1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1DA5F53" w14:textId="77777777" w:rsidTr="00747EF0">
        <w:trPr>
          <w:trHeight w:val="320"/>
        </w:trPr>
        <w:tc>
          <w:tcPr>
            <w:tcW w:w="3162" w:type="dxa"/>
            <w:noWrap/>
            <w:hideMark/>
          </w:tcPr>
          <w:p w14:paraId="3B145DD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745" w:type="dxa"/>
            <w:noWrap/>
            <w:hideMark/>
          </w:tcPr>
          <w:p w14:paraId="176052F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55B124F" w14:textId="495FD17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C0F1B6F" w14:textId="77777777" w:rsidTr="00747EF0">
        <w:trPr>
          <w:trHeight w:val="320"/>
        </w:trPr>
        <w:tc>
          <w:tcPr>
            <w:tcW w:w="3162" w:type="dxa"/>
            <w:noWrap/>
            <w:hideMark/>
          </w:tcPr>
          <w:p w14:paraId="6187F24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745" w:type="dxa"/>
            <w:noWrap/>
            <w:hideMark/>
          </w:tcPr>
          <w:p w14:paraId="37677D9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4AE3BA" w14:textId="63CFDA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EE98419" w14:textId="77777777" w:rsidTr="00747EF0">
        <w:trPr>
          <w:trHeight w:val="320"/>
        </w:trPr>
        <w:tc>
          <w:tcPr>
            <w:tcW w:w="3162" w:type="dxa"/>
            <w:noWrap/>
            <w:hideMark/>
          </w:tcPr>
          <w:p w14:paraId="3A9C220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745" w:type="dxa"/>
            <w:noWrap/>
            <w:hideMark/>
          </w:tcPr>
          <w:p w14:paraId="12D242EF"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5E7CE1" w14:textId="346BAB1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A567711" w14:textId="77777777" w:rsidTr="00747EF0">
        <w:trPr>
          <w:trHeight w:val="320"/>
        </w:trPr>
        <w:tc>
          <w:tcPr>
            <w:tcW w:w="3162" w:type="dxa"/>
            <w:noWrap/>
            <w:hideMark/>
          </w:tcPr>
          <w:p w14:paraId="0F7DB469"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745" w:type="dxa"/>
            <w:noWrap/>
            <w:hideMark/>
          </w:tcPr>
          <w:p w14:paraId="647EE740"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37A6A8C" w14:textId="13F986E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84ADB72" w14:textId="77777777" w:rsidTr="00747EF0">
        <w:trPr>
          <w:trHeight w:val="320"/>
        </w:trPr>
        <w:tc>
          <w:tcPr>
            <w:tcW w:w="3162" w:type="dxa"/>
            <w:noWrap/>
            <w:hideMark/>
          </w:tcPr>
          <w:p w14:paraId="2222AAE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745" w:type="dxa"/>
            <w:noWrap/>
            <w:hideMark/>
          </w:tcPr>
          <w:p w14:paraId="2703570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62F8695" w14:textId="567D1DDC"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08CC896" w14:textId="77777777" w:rsidTr="00747EF0">
        <w:trPr>
          <w:trHeight w:val="320"/>
        </w:trPr>
        <w:tc>
          <w:tcPr>
            <w:tcW w:w="3162" w:type="dxa"/>
            <w:noWrap/>
            <w:hideMark/>
          </w:tcPr>
          <w:p w14:paraId="5AD16BAB"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745" w:type="dxa"/>
            <w:noWrap/>
            <w:hideMark/>
          </w:tcPr>
          <w:p w14:paraId="2F1C755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1CF1606" w14:textId="358A4DB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6612E2" w14:textId="77777777" w:rsidTr="00747EF0">
        <w:trPr>
          <w:trHeight w:val="320"/>
        </w:trPr>
        <w:tc>
          <w:tcPr>
            <w:tcW w:w="3162" w:type="dxa"/>
            <w:noWrap/>
            <w:hideMark/>
          </w:tcPr>
          <w:p w14:paraId="23F7E54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745" w:type="dxa"/>
            <w:noWrap/>
            <w:hideMark/>
          </w:tcPr>
          <w:p w14:paraId="7822C261"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8880649" w14:textId="329BA41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36DC64D" w14:textId="77777777" w:rsidTr="00747EF0">
        <w:trPr>
          <w:trHeight w:val="320"/>
        </w:trPr>
        <w:tc>
          <w:tcPr>
            <w:tcW w:w="3162" w:type="dxa"/>
            <w:noWrap/>
            <w:hideMark/>
          </w:tcPr>
          <w:p w14:paraId="77EF454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745" w:type="dxa"/>
            <w:noWrap/>
            <w:hideMark/>
          </w:tcPr>
          <w:p w14:paraId="3142E66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E8DDD40" w14:textId="49C0BCF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1919DA0" w14:textId="77777777" w:rsidTr="00747EF0">
        <w:trPr>
          <w:trHeight w:val="320"/>
        </w:trPr>
        <w:tc>
          <w:tcPr>
            <w:tcW w:w="3162" w:type="dxa"/>
            <w:noWrap/>
            <w:hideMark/>
          </w:tcPr>
          <w:p w14:paraId="355D60F3"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745" w:type="dxa"/>
            <w:noWrap/>
            <w:hideMark/>
          </w:tcPr>
          <w:p w14:paraId="5A5D10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F3FE71A" w14:textId="3F7FCAF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93585EF" w14:textId="77777777" w:rsidTr="00747EF0">
        <w:trPr>
          <w:trHeight w:val="320"/>
        </w:trPr>
        <w:tc>
          <w:tcPr>
            <w:tcW w:w="3162" w:type="dxa"/>
            <w:noWrap/>
            <w:hideMark/>
          </w:tcPr>
          <w:p w14:paraId="1A58BA0D"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745" w:type="dxa"/>
            <w:noWrap/>
            <w:hideMark/>
          </w:tcPr>
          <w:p w14:paraId="58E63DAB"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3D8A4C3" w14:textId="704BD0A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A82A64" w14:textId="77777777" w:rsidTr="00747EF0">
        <w:trPr>
          <w:trHeight w:val="320"/>
        </w:trPr>
        <w:tc>
          <w:tcPr>
            <w:tcW w:w="3162" w:type="dxa"/>
            <w:noWrap/>
            <w:hideMark/>
          </w:tcPr>
          <w:p w14:paraId="15600B6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745" w:type="dxa"/>
            <w:noWrap/>
            <w:hideMark/>
          </w:tcPr>
          <w:p w14:paraId="20A21F5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6996444" w14:textId="165FABE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669E25B" w14:textId="77777777" w:rsidTr="00747EF0">
        <w:trPr>
          <w:trHeight w:val="320"/>
        </w:trPr>
        <w:tc>
          <w:tcPr>
            <w:tcW w:w="3162" w:type="dxa"/>
            <w:noWrap/>
            <w:hideMark/>
          </w:tcPr>
          <w:p w14:paraId="5F6F262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745" w:type="dxa"/>
            <w:noWrap/>
            <w:hideMark/>
          </w:tcPr>
          <w:p w14:paraId="461883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56A9F31" w14:textId="49A2F95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375BE8E" w14:textId="77777777" w:rsidTr="00747EF0">
        <w:trPr>
          <w:trHeight w:val="320"/>
        </w:trPr>
        <w:tc>
          <w:tcPr>
            <w:tcW w:w="3162" w:type="dxa"/>
            <w:noWrap/>
            <w:hideMark/>
          </w:tcPr>
          <w:p w14:paraId="371DA8C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745" w:type="dxa"/>
            <w:noWrap/>
            <w:hideMark/>
          </w:tcPr>
          <w:p w14:paraId="07E1C85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BCEB153" w14:textId="6230D6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0DD4919" w14:textId="77777777" w:rsidTr="00747EF0">
        <w:trPr>
          <w:trHeight w:val="320"/>
        </w:trPr>
        <w:tc>
          <w:tcPr>
            <w:tcW w:w="3162" w:type="dxa"/>
            <w:noWrap/>
            <w:hideMark/>
          </w:tcPr>
          <w:p w14:paraId="171C1BB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745" w:type="dxa"/>
            <w:noWrap/>
            <w:hideMark/>
          </w:tcPr>
          <w:p w14:paraId="2C60E67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C757384" w14:textId="0E1EB5C3"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D5CAC57" w14:textId="77777777" w:rsidTr="00747EF0">
        <w:trPr>
          <w:trHeight w:val="320"/>
        </w:trPr>
        <w:tc>
          <w:tcPr>
            <w:tcW w:w="3162" w:type="dxa"/>
            <w:noWrap/>
            <w:hideMark/>
          </w:tcPr>
          <w:p w14:paraId="244A1C20"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745" w:type="dxa"/>
            <w:noWrap/>
            <w:hideMark/>
          </w:tcPr>
          <w:p w14:paraId="4A25BB8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49759CC" w14:textId="5D84219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BC83F9C" w14:textId="77777777" w:rsidTr="00747EF0">
        <w:trPr>
          <w:trHeight w:val="320"/>
        </w:trPr>
        <w:tc>
          <w:tcPr>
            <w:tcW w:w="3162" w:type="dxa"/>
            <w:noWrap/>
            <w:hideMark/>
          </w:tcPr>
          <w:p w14:paraId="474C7F8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745" w:type="dxa"/>
            <w:noWrap/>
            <w:hideMark/>
          </w:tcPr>
          <w:p w14:paraId="5CC4B2B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109B097" w14:textId="448C22C1"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5F573FD" w14:textId="77777777" w:rsidTr="00747EF0">
        <w:trPr>
          <w:trHeight w:val="320"/>
        </w:trPr>
        <w:tc>
          <w:tcPr>
            <w:tcW w:w="3162" w:type="dxa"/>
            <w:noWrap/>
            <w:hideMark/>
          </w:tcPr>
          <w:p w14:paraId="7C3D2AB2"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745" w:type="dxa"/>
            <w:noWrap/>
            <w:hideMark/>
          </w:tcPr>
          <w:p w14:paraId="519BF0F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67808C6" w14:textId="5013387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6230329" w14:textId="77777777" w:rsidTr="00747EF0">
        <w:trPr>
          <w:trHeight w:val="320"/>
        </w:trPr>
        <w:tc>
          <w:tcPr>
            <w:tcW w:w="3162" w:type="dxa"/>
            <w:noWrap/>
            <w:hideMark/>
          </w:tcPr>
          <w:p w14:paraId="546F858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745" w:type="dxa"/>
            <w:noWrap/>
            <w:hideMark/>
          </w:tcPr>
          <w:p w14:paraId="5561827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D74948" w14:textId="48B81D5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C9E868A" w14:textId="77777777" w:rsidTr="00747EF0">
        <w:trPr>
          <w:trHeight w:val="320"/>
        </w:trPr>
        <w:tc>
          <w:tcPr>
            <w:tcW w:w="3162" w:type="dxa"/>
            <w:noWrap/>
            <w:hideMark/>
          </w:tcPr>
          <w:p w14:paraId="583CF19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350E1D4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9870A2E" w14:textId="0C700BB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72464E5" w14:textId="77777777" w:rsidTr="00747EF0">
        <w:trPr>
          <w:trHeight w:val="320"/>
        </w:trPr>
        <w:tc>
          <w:tcPr>
            <w:tcW w:w="3162" w:type="dxa"/>
            <w:tcBorders>
              <w:bottom w:val="nil"/>
            </w:tcBorders>
            <w:noWrap/>
            <w:hideMark/>
          </w:tcPr>
          <w:p w14:paraId="789C3153"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745" w:type="dxa"/>
            <w:tcBorders>
              <w:bottom w:val="nil"/>
            </w:tcBorders>
            <w:noWrap/>
            <w:hideMark/>
          </w:tcPr>
          <w:p w14:paraId="1B1D2B26"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bottom w:val="nil"/>
            </w:tcBorders>
            <w:noWrap/>
            <w:hideMark/>
          </w:tcPr>
          <w:p w14:paraId="490D1D28" w14:textId="4C351FC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31C909A" w14:textId="77777777" w:rsidTr="00747EF0">
        <w:trPr>
          <w:trHeight w:val="320"/>
        </w:trPr>
        <w:tc>
          <w:tcPr>
            <w:tcW w:w="3162" w:type="dxa"/>
            <w:tcBorders>
              <w:top w:val="nil"/>
              <w:bottom w:val="nil"/>
            </w:tcBorders>
            <w:noWrap/>
            <w:hideMark/>
          </w:tcPr>
          <w:p w14:paraId="6A3F651A"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745" w:type="dxa"/>
            <w:tcBorders>
              <w:top w:val="nil"/>
              <w:bottom w:val="nil"/>
            </w:tcBorders>
            <w:noWrap/>
            <w:hideMark/>
          </w:tcPr>
          <w:p w14:paraId="1D16945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nil"/>
            </w:tcBorders>
            <w:noWrap/>
            <w:hideMark/>
          </w:tcPr>
          <w:p w14:paraId="064513FD" w14:textId="2236987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22959AC" w14:textId="77777777" w:rsidTr="00747EF0">
        <w:trPr>
          <w:trHeight w:val="320"/>
        </w:trPr>
        <w:tc>
          <w:tcPr>
            <w:tcW w:w="3162" w:type="dxa"/>
            <w:tcBorders>
              <w:top w:val="nil"/>
            </w:tcBorders>
            <w:noWrap/>
            <w:hideMark/>
          </w:tcPr>
          <w:p w14:paraId="19E4268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745" w:type="dxa"/>
            <w:tcBorders>
              <w:top w:val="nil"/>
            </w:tcBorders>
            <w:noWrap/>
            <w:hideMark/>
          </w:tcPr>
          <w:p w14:paraId="60A801C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tcBorders>
            <w:noWrap/>
            <w:hideMark/>
          </w:tcPr>
          <w:p w14:paraId="28593A96" w14:textId="08C54AAA"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336BBE" w:rsidRPr="00861362" w14:paraId="1CB0FC05" w14:textId="77777777" w:rsidTr="00747EF0">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745"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747EF0">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745"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747EF0">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745"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747EF0">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745"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747EF0">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Tegula </w:t>
            </w:r>
            <w:proofErr w:type="spellStart"/>
            <w:r w:rsidRPr="00861362">
              <w:rPr>
                <w:rFonts w:ascii="Times New Roman" w:hAnsi="Times New Roman" w:cs="Times New Roman"/>
                <w:i/>
                <w:color w:val="000000"/>
                <w:sz w:val="20"/>
                <w:szCs w:val="20"/>
              </w:rPr>
              <w:t>funebralis</w:t>
            </w:r>
            <w:proofErr w:type="spellEnd"/>
          </w:p>
        </w:tc>
        <w:tc>
          <w:tcPr>
            <w:tcW w:w="1745"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747EF0">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745"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501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747EF0">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745"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single" w:sz="4" w:space="0" w:color="auto"/>
            </w:tcBorders>
            <w:noWrap/>
            <w:hideMark/>
          </w:tcPr>
          <w:p w14:paraId="63724AF1" w14:textId="13CE136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54046971" w14:textId="0DF155F9" w:rsidR="0036279F" w:rsidRDefault="0036279F" w:rsidP="0036279F">
      <w:pPr>
        <w:spacing w:line="360" w:lineRule="auto"/>
        <w:rPr>
          <w:rFonts w:ascii="Times New Roman" w:hAnsi="Times New Roman" w:cs="Times New Roman"/>
          <w:b/>
        </w:rPr>
      </w:pPr>
      <w:r>
        <w:rPr>
          <w:rFonts w:ascii="Times New Roman" w:hAnsi="Times New Roman" w:cs="Times New Roman"/>
          <w:b/>
        </w:rPr>
        <w:t>References</w:t>
      </w:r>
    </w:p>
    <w:p w14:paraId="00377864" w14:textId="77777777" w:rsidR="0036279F" w:rsidRPr="00747EF0" w:rsidRDefault="0036279F" w:rsidP="0036279F">
      <w:pPr>
        <w:pStyle w:val="Bibliography"/>
        <w:spacing w:line="360" w:lineRule="auto"/>
        <w:rPr>
          <w:lang w:val="en-US"/>
        </w:rPr>
      </w:pPr>
      <w:r>
        <w:rPr>
          <w:b/>
        </w:rPr>
        <w:fldChar w:fldCharType="begin"/>
      </w:r>
      <w:r>
        <w:rPr>
          <w:b/>
        </w:rPr>
        <w:instrText xml:space="preserve"> ADDIN ZOTERO_BIBL {"uncited":[],"omitted":[],"custom":[]} CSL_BIBLIOGRAPHY </w:instrText>
      </w:r>
      <w:r>
        <w:rPr>
          <w:b/>
        </w:rPr>
        <w:fldChar w:fldCharType="separate"/>
      </w:r>
      <w:r w:rsidRPr="00747EF0">
        <w:rPr>
          <w:lang w:val="en-US"/>
        </w:rPr>
        <w:t xml:space="preserve">Båmstedt, U., and M. B. Martinussen. 2015. Ecology and behavior of Bolinopsis infundibulum (Ctenophora; Lobata) in the Northeast Atlantic. Hydrobiologia </w:t>
      </w:r>
      <w:r w:rsidRPr="00747EF0">
        <w:rPr>
          <w:b/>
          <w:bCs/>
          <w:lang w:val="en-US"/>
        </w:rPr>
        <w:t>759</w:t>
      </w:r>
      <w:r w:rsidRPr="00747EF0">
        <w:rPr>
          <w:lang w:val="en-US"/>
        </w:rPr>
        <w:t>: 3–14. doi:10.1007/s10750-015-2180-x</w:t>
      </w:r>
    </w:p>
    <w:p w14:paraId="6B1234D8" w14:textId="77777777" w:rsidR="0036279F" w:rsidRPr="00747EF0" w:rsidRDefault="0036279F" w:rsidP="0036279F">
      <w:pPr>
        <w:pStyle w:val="Bibliography"/>
        <w:spacing w:line="360" w:lineRule="auto"/>
        <w:rPr>
          <w:lang w:val="en-US"/>
        </w:rPr>
      </w:pPr>
      <w:r w:rsidRPr="00747EF0">
        <w:rPr>
          <w:lang w:val="en-US"/>
        </w:rPr>
        <w:t xml:space="preserve">Hines, A. H. 1982. Allometric constraints and variables of reproductive effort in brachyuran crabs. Mar. Biol. </w:t>
      </w:r>
      <w:r w:rsidRPr="00747EF0">
        <w:rPr>
          <w:b/>
          <w:bCs/>
          <w:lang w:val="en-US"/>
        </w:rPr>
        <w:t>69</w:t>
      </w:r>
      <w:r w:rsidRPr="00747EF0">
        <w:rPr>
          <w:lang w:val="en-US"/>
        </w:rPr>
        <w:t>: 309–320. doi:10.1007/BF00397496</w:t>
      </w:r>
    </w:p>
    <w:p w14:paraId="34823C3B" w14:textId="77777777" w:rsidR="0036279F" w:rsidRPr="00747EF0" w:rsidRDefault="0036279F" w:rsidP="0036279F">
      <w:pPr>
        <w:pStyle w:val="Bibliography"/>
        <w:spacing w:line="360" w:lineRule="auto"/>
        <w:rPr>
          <w:lang w:val="en-US"/>
        </w:rPr>
      </w:pPr>
      <w:r w:rsidRPr="00747EF0">
        <w:rPr>
          <w:lang w:val="en-US"/>
        </w:rPr>
        <w:t xml:space="preserve">Lee, L. C., J. C. Watson, R. Trebilco, and A. K. Salomon. 2016. Indirect effects and prey behavior mediate interactions between an endangered prey and recovering predator. Ecosphere </w:t>
      </w:r>
      <w:r w:rsidRPr="00747EF0">
        <w:rPr>
          <w:b/>
          <w:bCs/>
          <w:lang w:val="en-US"/>
        </w:rPr>
        <w:t>7</w:t>
      </w:r>
      <w:r w:rsidRPr="00747EF0">
        <w:rPr>
          <w:lang w:val="en-US"/>
        </w:rPr>
        <w:t>: e01604. doi:10.1002/ecs2.1604</w:t>
      </w:r>
    </w:p>
    <w:p w14:paraId="034D6B98" w14:textId="77777777" w:rsidR="0036279F" w:rsidRPr="00747EF0" w:rsidRDefault="0036279F" w:rsidP="0036279F">
      <w:pPr>
        <w:pStyle w:val="Bibliography"/>
        <w:spacing w:line="360" w:lineRule="auto"/>
        <w:rPr>
          <w:lang w:val="en-US"/>
        </w:rPr>
      </w:pPr>
      <w:r w:rsidRPr="00747EF0">
        <w:rPr>
          <w:lang w:val="en-US"/>
        </w:rPr>
        <w:t xml:space="preserve">MacDonald, B. A., R. J. Thompson, and N. F. Bourne. 1991. Growth and Reproductive Energetics of three Scallop Species from British Columbia ( </w:t>
      </w:r>
      <w:r w:rsidRPr="00747EF0">
        <w:rPr>
          <w:i/>
          <w:iCs/>
          <w:lang w:val="en-US"/>
        </w:rPr>
        <w:t>Chlamys hastata</w:t>
      </w:r>
      <w:r w:rsidRPr="00747EF0">
        <w:rPr>
          <w:lang w:val="en-US"/>
        </w:rPr>
        <w:t xml:space="preserve"> , </w:t>
      </w:r>
      <w:r w:rsidRPr="00747EF0">
        <w:rPr>
          <w:i/>
          <w:iCs/>
          <w:lang w:val="en-US"/>
        </w:rPr>
        <w:t>Chlamys rubida</w:t>
      </w:r>
      <w:r w:rsidRPr="00747EF0">
        <w:rPr>
          <w:lang w:val="en-US"/>
        </w:rPr>
        <w:t xml:space="preserve"> , and </w:t>
      </w:r>
      <w:r w:rsidRPr="00747EF0">
        <w:rPr>
          <w:i/>
          <w:iCs/>
          <w:lang w:val="en-US"/>
        </w:rPr>
        <w:t>Crassadoma gigantea</w:t>
      </w:r>
      <w:r w:rsidRPr="00747EF0">
        <w:rPr>
          <w:lang w:val="en-US"/>
        </w:rPr>
        <w:t xml:space="preserve"> ). Can. J. Fish. Aquat. Sci. </w:t>
      </w:r>
      <w:r w:rsidRPr="00747EF0">
        <w:rPr>
          <w:b/>
          <w:bCs/>
          <w:lang w:val="en-US"/>
        </w:rPr>
        <w:t>48</w:t>
      </w:r>
      <w:r w:rsidRPr="00747EF0">
        <w:rPr>
          <w:lang w:val="en-US"/>
        </w:rPr>
        <w:t>: 215–221. doi:10.1139/f91-029</w:t>
      </w:r>
    </w:p>
    <w:p w14:paraId="4C25569F" w14:textId="77777777" w:rsidR="0036279F" w:rsidRPr="00747EF0" w:rsidRDefault="0036279F" w:rsidP="0036279F">
      <w:pPr>
        <w:pStyle w:val="Bibliography"/>
        <w:spacing w:line="360" w:lineRule="auto"/>
        <w:rPr>
          <w:lang w:val="en-US"/>
        </w:rPr>
      </w:pPr>
      <w:r w:rsidRPr="00747EF0">
        <w:rPr>
          <w:lang w:val="en-US"/>
        </w:rPr>
        <w:t xml:space="preserve">McKinney, R. A., S. M. Glatt, and S. R. Williams. 2004. Allometric length-weight relationships for benthic prey of aquatic wildlife in coastal marine habitats. Wildlife Biology </w:t>
      </w:r>
      <w:r w:rsidRPr="00747EF0">
        <w:rPr>
          <w:b/>
          <w:bCs/>
          <w:lang w:val="en-US"/>
        </w:rPr>
        <w:t>10</w:t>
      </w:r>
      <w:r w:rsidRPr="00747EF0">
        <w:rPr>
          <w:lang w:val="en-US"/>
        </w:rPr>
        <w:t>: 241–249. doi:10.2981/wlb.2004.029</w:t>
      </w:r>
    </w:p>
    <w:p w14:paraId="4F78F8A4" w14:textId="77777777" w:rsidR="0036279F" w:rsidRPr="00747EF0" w:rsidRDefault="0036279F" w:rsidP="0036279F">
      <w:pPr>
        <w:pStyle w:val="Bibliography"/>
        <w:spacing w:line="360" w:lineRule="auto"/>
        <w:rPr>
          <w:lang w:val="en-US"/>
        </w:rPr>
      </w:pPr>
      <w:r w:rsidRPr="00747EF0">
        <w:rPr>
          <w:lang w:val="en-US"/>
        </w:rPr>
        <w:t xml:space="preserve">Menge, B. A. 1975. Brood or broadcast? The adaptive significance of different reproductive strategies in the two intertidal sea stars Leptasterias hexactis and Pisaster ochraceus. Mar. Biol. </w:t>
      </w:r>
      <w:r w:rsidRPr="00747EF0">
        <w:rPr>
          <w:b/>
          <w:bCs/>
          <w:lang w:val="en-US"/>
        </w:rPr>
        <w:t>31</w:t>
      </w:r>
      <w:r w:rsidRPr="00747EF0">
        <w:rPr>
          <w:lang w:val="en-US"/>
        </w:rPr>
        <w:t>: 87–100. doi:10.1007/BF00390651</w:t>
      </w:r>
    </w:p>
    <w:p w14:paraId="6EE7851D" w14:textId="77777777" w:rsidR="0036279F" w:rsidRPr="00747EF0" w:rsidRDefault="0036279F" w:rsidP="0036279F">
      <w:pPr>
        <w:pStyle w:val="Bibliography"/>
        <w:spacing w:line="360" w:lineRule="auto"/>
        <w:rPr>
          <w:lang w:val="en-US"/>
        </w:rPr>
      </w:pPr>
      <w:r w:rsidRPr="00747EF0">
        <w:rPr>
          <w:lang w:val="en-US"/>
        </w:rPr>
        <w:t xml:space="preserve">Montgomery, E. M. 2014. Predicting crawling speed relative to mass in sea stars. Journal of Experimental Marine Biology and Ecology </w:t>
      </w:r>
      <w:r w:rsidRPr="00747EF0">
        <w:rPr>
          <w:b/>
          <w:bCs/>
          <w:lang w:val="en-US"/>
        </w:rPr>
        <w:t>458</w:t>
      </w:r>
      <w:r w:rsidRPr="00747EF0">
        <w:rPr>
          <w:lang w:val="en-US"/>
        </w:rPr>
        <w:t>: 27–33. doi:10.1016/j.jembe.2014.05.009</w:t>
      </w:r>
    </w:p>
    <w:p w14:paraId="42EAAC0F" w14:textId="77777777" w:rsidR="0036279F" w:rsidRPr="00747EF0" w:rsidRDefault="0036279F" w:rsidP="0036279F">
      <w:pPr>
        <w:pStyle w:val="Bibliography"/>
        <w:spacing w:line="360" w:lineRule="auto"/>
        <w:rPr>
          <w:lang w:val="en-US"/>
        </w:rPr>
      </w:pPr>
      <w:r w:rsidRPr="00747EF0">
        <w:rPr>
          <w:lang w:val="en-US"/>
        </w:rPr>
        <w:lastRenderedPageBreak/>
        <w:t xml:space="preserve">O’Clair, C. E., and S. D. Rice. 1985. Depression of feeding and growth rates of the seastar Evasterias troschelii during long-term exposure to the water-soluble fraction of crude oil. Mar. Biol. </w:t>
      </w:r>
      <w:r w:rsidRPr="00747EF0">
        <w:rPr>
          <w:b/>
          <w:bCs/>
          <w:lang w:val="en-US"/>
        </w:rPr>
        <w:t>84</w:t>
      </w:r>
      <w:r w:rsidRPr="00747EF0">
        <w:rPr>
          <w:lang w:val="en-US"/>
        </w:rPr>
        <w:t>: 331–340. doi:10.1007/BF00392503</w:t>
      </w:r>
    </w:p>
    <w:p w14:paraId="3FD7A553" w14:textId="77777777" w:rsidR="0036279F" w:rsidRPr="00747EF0" w:rsidRDefault="0036279F" w:rsidP="0036279F">
      <w:pPr>
        <w:pStyle w:val="Bibliography"/>
        <w:spacing w:line="360" w:lineRule="auto"/>
        <w:rPr>
          <w:lang w:val="en-US"/>
        </w:rPr>
      </w:pPr>
      <w:r w:rsidRPr="00747EF0">
        <w:rPr>
          <w:lang w:val="en-US"/>
        </w:rPr>
        <w:t>Osborn, S. A. 1995. Fecundity and embryonic development of Octopus rubescens Berry from Monterey Bay, California. Master of Science. San Jose State University.</w:t>
      </w:r>
    </w:p>
    <w:p w14:paraId="4EEE2DE1" w14:textId="77777777" w:rsidR="0036279F" w:rsidRPr="00747EF0" w:rsidRDefault="0036279F" w:rsidP="0036279F">
      <w:pPr>
        <w:pStyle w:val="Bibliography"/>
        <w:spacing w:line="360" w:lineRule="auto"/>
        <w:rPr>
          <w:lang w:val="en-US"/>
        </w:rPr>
      </w:pPr>
      <w:r w:rsidRPr="00747EF0">
        <w:rPr>
          <w:lang w:val="en-US"/>
        </w:rPr>
        <w:t>Palmer, A. R. 1982. GROWTH IN MARINE GASTROPODS: A NON-DESTRUCTIVE TECHNIQUE FOR INDEPENDENTLY MEASURING SHELL AND BODY WEIGHT.</w:t>
      </w:r>
    </w:p>
    <w:p w14:paraId="2262EA94" w14:textId="77777777" w:rsidR="0036279F" w:rsidRPr="00747EF0" w:rsidRDefault="0036279F" w:rsidP="0036279F">
      <w:pPr>
        <w:pStyle w:val="Bibliography"/>
        <w:spacing w:line="360" w:lineRule="auto"/>
        <w:rPr>
          <w:lang w:val="en-US"/>
        </w:rPr>
      </w:pPr>
      <w:r w:rsidRPr="00747EF0">
        <w:rPr>
          <w:lang w:val="en-US"/>
        </w:rPr>
        <w:t xml:space="preserve">Peters, J. R., D. C. Reed, and D. E. Burkepile. 2019. Climate and fishing drive regime shifts in consumer-mediated nutrient cycling in kelp forests. Glob Change Biol </w:t>
      </w:r>
      <w:r w:rsidRPr="00747EF0">
        <w:rPr>
          <w:b/>
          <w:bCs/>
          <w:lang w:val="en-US"/>
        </w:rPr>
        <w:t>25</w:t>
      </w:r>
      <w:r w:rsidRPr="00747EF0">
        <w:rPr>
          <w:lang w:val="en-US"/>
        </w:rPr>
        <w:t>: 3179–3192. doi:10.1111/gcb.14706</w:t>
      </w:r>
    </w:p>
    <w:p w14:paraId="47CE0170" w14:textId="77777777" w:rsidR="0036279F" w:rsidRPr="00747EF0" w:rsidRDefault="0036279F" w:rsidP="0036279F">
      <w:pPr>
        <w:pStyle w:val="Bibliography"/>
        <w:spacing w:line="360" w:lineRule="auto"/>
        <w:rPr>
          <w:lang w:val="en-US"/>
        </w:rPr>
      </w:pPr>
      <w:r w:rsidRPr="00747EF0">
        <w:rPr>
          <w:lang w:val="en-US"/>
        </w:rPr>
        <w:t xml:space="preserve">Sanford, E. 2002. The feeding, growth, and energetics of two rocky intertidal predators (Pisaster ochraceus and Nucella canaliculata) under water temperatures simulating episodic upwelling. J. Exp. Mar. Biol. Ecol. </w:t>
      </w:r>
      <w:r w:rsidRPr="00747EF0">
        <w:rPr>
          <w:b/>
          <w:bCs/>
          <w:lang w:val="en-US"/>
        </w:rPr>
        <w:t>273</w:t>
      </w:r>
      <w:r w:rsidRPr="00747EF0">
        <w:rPr>
          <w:lang w:val="en-US"/>
        </w:rPr>
        <w:t>: 199–218. doi:10.1016/S0022-0981(02)00164-8</w:t>
      </w:r>
    </w:p>
    <w:p w14:paraId="4519FF14" w14:textId="77777777" w:rsidR="0036279F" w:rsidRPr="00747EF0" w:rsidRDefault="0036279F" w:rsidP="0036279F">
      <w:pPr>
        <w:pStyle w:val="Bibliography"/>
        <w:spacing w:line="360" w:lineRule="auto"/>
        <w:rPr>
          <w:lang w:val="en-US"/>
        </w:rPr>
      </w:pPr>
      <w:r w:rsidRPr="00747EF0">
        <w:rPr>
          <w:lang w:val="en-US"/>
        </w:rPr>
        <w:t xml:space="preserve">Schuster, J. M., and A. E. Bates. 2023. The role of kelp availability and quality on the energetic state and thermal tolerance of sea urchin and gastropod grazers. Journal of Experimental Marine Biology and Ecology </w:t>
      </w:r>
      <w:r w:rsidRPr="00747EF0">
        <w:rPr>
          <w:b/>
          <w:bCs/>
          <w:lang w:val="en-US"/>
        </w:rPr>
        <w:t>569</w:t>
      </w:r>
      <w:r w:rsidRPr="00747EF0">
        <w:rPr>
          <w:lang w:val="en-US"/>
        </w:rPr>
        <w:t>: 151947. doi:10.1016/j.jembe.2023.151947</w:t>
      </w:r>
    </w:p>
    <w:p w14:paraId="115B707E" w14:textId="77777777" w:rsidR="0036279F" w:rsidRPr="00747EF0" w:rsidRDefault="0036279F" w:rsidP="0036279F">
      <w:pPr>
        <w:pStyle w:val="Bibliography"/>
        <w:spacing w:line="360" w:lineRule="auto"/>
        <w:rPr>
          <w:lang w:val="en-US"/>
        </w:rPr>
      </w:pPr>
      <w:r w:rsidRPr="00747EF0">
        <w:rPr>
          <w:lang w:val="en-US"/>
        </w:rPr>
        <w:t xml:space="preserve">Stewart, N. L., B. Konar, and M. T. Tinker. 2015. Testing the nutritional-limitation, predator-avoidance, and storm-avoidance hypotheses for restricted sea otter habitat use in the Aleutian Islands, Alaska. Oecologia </w:t>
      </w:r>
      <w:r w:rsidRPr="00747EF0">
        <w:rPr>
          <w:b/>
          <w:bCs/>
          <w:lang w:val="en-US"/>
        </w:rPr>
        <w:t>177</w:t>
      </w:r>
      <w:r w:rsidRPr="00747EF0">
        <w:rPr>
          <w:lang w:val="en-US"/>
        </w:rPr>
        <w:t>: 645–655. doi:10.1007/s00442-014-3149-6</w:t>
      </w:r>
    </w:p>
    <w:p w14:paraId="7BF75D86" w14:textId="77777777" w:rsidR="0036279F" w:rsidRPr="00747EF0" w:rsidRDefault="0036279F" w:rsidP="0036279F">
      <w:pPr>
        <w:pStyle w:val="Bibliography"/>
        <w:spacing w:line="360" w:lineRule="auto"/>
        <w:rPr>
          <w:lang w:val="en-US"/>
        </w:rPr>
      </w:pPr>
      <w:r w:rsidRPr="00747EF0">
        <w:rPr>
          <w:lang w:val="en-US"/>
        </w:rPr>
        <w:t xml:space="preserve">Stillman, J. H., and G. N. Somero. 1996. Adaptation to Temperature Stress and Aerial Exposure in Congeneric Species of Intertidal Porcelain Crabs (Genus Petrolisthes): Correlation of Physiology, Biochemistry and Morphology With Vertical Distribution. Journal of Experimental Biology </w:t>
      </w:r>
      <w:r w:rsidRPr="00747EF0">
        <w:rPr>
          <w:b/>
          <w:bCs/>
          <w:lang w:val="en-US"/>
        </w:rPr>
        <w:t>199</w:t>
      </w:r>
      <w:r w:rsidRPr="00747EF0">
        <w:rPr>
          <w:lang w:val="en-US"/>
        </w:rPr>
        <w:t>: 1845–1855. doi:10.1242/jeb.199.8.1845</w:t>
      </w:r>
    </w:p>
    <w:p w14:paraId="5BCBD005" w14:textId="77777777" w:rsidR="0036279F" w:rsidRPr="00747EF0" w:rsidRDefault="0036279F" w:rsidP="0036279F">
      <w:pPr>
        <w:pStyle w:val="Bibliography"/>
        <w:spacing w:line="360" w:lineRule="auto"/>
        <w:rPr>
          <w:lang w:val="en-US"/>
        </w:rPr>
      </w:pPr>
      <w:r w:rsidRPr="00747EF0">
        <w:rPr>
          <w:lang w:val="en-US"/>
        </w:rPr>
        <w:t xml:space="preserve">Zhang, Z., A. Campbell, and J. Lessard. 2007. MODELING NORTHERN ABALONE, HALIOTIS KAMTSCHATKANA, POPULATION STOCK AND RECRUITMENT IN BRITISH COLUMBIA. shre </w:t>
      </w:r>
      <w:r w:rsidRPr="00747EF0">
        <w:rPr>
          <w:b/>
          <w:bCs/>
          <w:lang w:val="en-US"/>
        </w:rPr>
        <w:t>26</w:t>
      </w:r>
      <w:r w:rsidRPr="00747EF0">
        <w:rPr>
          <w:lang w:val="en-US"/>
        </w:rPr>
        <w:t>: 1099–1107. doi:10.2983/0730-8000(2007)26[1099:MNAHKP]2.0.CO;2</w:t>
      </w:r>
    </w:p>
    <w:p w14:paraId="121D1190" w14:textId="34F830B3" w:rsidR="0036279F" w:rsidRDefault="0036279F" w:rsidP="0036279F">
      <w:pPr>
        <w:spacing w:line="360" w:lineRule="auto"/>
        <w:rPr>
          <w:rFonts w:ascii="Times New Roman" w:hAnsi="Times New Roman" w:cs="Times New Roman"/>
          <w:b/>
        </w:rPr>
      </w:pPr>
      <w:r>
        <w:rPr>
          <w:rFonts w:ascii="Times New Roman" w:hAnsi="Times New Roman" w:cs="Times New Roman"/>
          <w:b/>
        </w:rPr>
        <w:fldChar w:fldCharType="end"/>
      </w:r>
    </w:p>
    <w:p w14:paraId="5254195C" w14:textId="77777777" w:rsidR="0036279F" w:rsidRDefault="0036279F" w:rsidP="00747EF0">
      <w:pPr>
        <w:spacing w:line="480" w:lineRule="auto"/>
        <w:rPr>
          <w:rFonts w:ascii="Times New Roman" w:hAnsi="Times New Roman" w:cs="Times New Roman"/>
          <w:b/>
        </w:rPr>
      </w:pPr>
    </w:p>
    <w:p w14:paraId="3D94E2C2" w14:textId="31819A2C"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806FD8">
        <w:tc>
          <w:tcPr>
            <w:tcW w:w="3686" w:type="dxa"/>
            <w:tcBorders>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806FD8">
        <w:tc>
          <w:tcPr>
            <w:tcW w:w="3686" w:type="dxa"/>
            <w:tcBorders>
              <w:bottom w:val="single" w:sz="6" w:space="0" w:color="F2F2F2"/>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left w:val="nil"/>
              <w:bottom w:val="single" w:sz="6" w:space="0" w:color="F2F2F2"/>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single" w:sz="6" w:space="0" w:color="F2F2F2"/>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left w:val="nil"/>
              <w:bottom w:val="single" w:sz="6" w:space="0" w:color="F2F2F2"/>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left w:val="nil"/>
              <w:bottom w:val="single" w:sz="6" w:space="0" w:color="F2F2F2"/>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806FD8">
        <w:tc>
          <w:tcPr>
            <w:tcW w:w="3686" w:type="dxa"/>
            <w:tcBorders>
              <w:top w:val="single" w:sz="6" w:space="0" w:color="F2F2F2"/>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single" w:sz="6" w:space="0" w:color="F2F2F2"/>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single" w:sz="6" w:space="0" w:color="F2F2F2"/>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single" w:sz="6" w:space="0" w:color="F2F2F2"/>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single" w:sz="6" w:space="0" w:color="F2F2F2"/>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53FA63CE" w14:textId="77777777" w:rsidR="00747EF0" w:rsidRDefault="00747EF0">
      <w:pPr>
        <w:rPr>
          <w:rFonts w:ascii="Times New Roman" w:hAnsi="Times New Roman" w:cs="Times New Roman"/>
          <w:b/>
        </w:rPr>
      </w:pPr>
      <w:r>
        <w:rPr>
          <w:rFonts w:ascii="Times New Roman" w:hAnsi="Times New Roman" w:cs="Times New Roman"/>
          <w:b/>
        </w:rPr>
        <w:br w:type="page"/>
      </w:r>
    </w:p>
    <w:p w14:paraId="44FEF9A0" w14:textId="059E1638" w:rsidR="00336BBE" w:rsidRPr="00747EF0" w:rsidRDefault="00336BBE" w:rsidP="00747EF0">
      <w:pPr>
        <w:spacing w:line="480" w:lineRule="auto"/>
        <w:rPr>
          <w:rFonts w:ascii="Times New Roman" w:hAnsi="Times New Roman" w:cs="Times New Roman"/>
          <w:b/>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151E92C7"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-33.16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614D05E5"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w:t>
            </w:r>
            <w:r w:rsidR="00454772">
              <w:rPr>
                <w:rFonts w:ascii="Times New Roman" w:hAnsi="Times New Roman" w:cs="Times New Roman"/>
                <w:color w:val="000000"/>
                <w:szCs w:val="22"/>
              </w:rPr>
              <w:t>0</w:t>
            </w:r>
          </w:p>
        </w:tc>
      </w:tr>
      <w:tr w:rsidR="00336BBE" w:rsidRPr="00861362" w14:paraId="00800FCD" w14:textId="77777777" w:rsidTr="00806FD8">
        <w:tc>
          <w:tcPr>
            <w:tcW w:w="6671" w:type="dxa"/>
            <w:tcBorders>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5F786443" w14:textId="776FC552"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rPr>
              <w:t>-32.89</w:t>
            </w:r>
          </w:p>
        </w:tc>
        <w:tc>
          <w:tcPr>
            <w:tcW w:w="990" w:type="dxa"/>
            <w:tcBorders>
              <w:left w:val="nil"/>
              <w:right w:val="nil"/>
            </w:tcBorders>
            <w:vAlign w:val="bottom"/>
          </w:tcPr>
          <w:p w14:paraId="28AB4C30" w14:textId="66E8B8B0"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r w:rsidR="00454772">
              <w:rPr>
                <w:rFonts w:ascii="Times New Roman" w:hAnsi="Times New Roman" w:cs="Times New Roman"/>
              </w:rPr>
              <w:t>7</w:t>
            </w:r>
          </w:p>
        </w:tc>
        <w:tc>
          <w:tcPr>
            <w:tcW w:w="1544" w:type="dxa"/>
            <w:tcBorders>
              <w:left w:val="nil"/>
            </w:tcBorders>
            <w:vAlign w:val="bottom"/>
          </w:tcPr>
          <w:p w14:paraId="4E968BDA" w14:textId="41F8398F"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w:t>
            </w:r>
            <w:r w:rsidR="00454772">
              <w:rPr>
                <w:rFonts w:ascii="Times New Roman" w:hAnsi="Times New Roman" w:cs="Times New Roman"/>
                <w:color w:val="000000"/>
                <w:szCs w:val="22"/>
              </w:rPr>
              <w:t>26</w:t>
            </w:r>
          </w:p>
        </w:tc>
      </w:tr>
      <w:tr w:rsidR="00336BBE" w:rsidRPr="00861362" w14:paraId="749D8465" w14:textId="77777777" w:rsidTr="00806FD8">
        <w:tc>
          <w:tcPr>
            <w:tcW w:w="6671" w:type="dxa"/>
            <w:tcBorders>
              <w:bottom w:val="single" w:sz="6" w:space="0" w:color="F2F2F2"/>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single" w:sz="6" w:space="0" w:color="F2F2F2"/>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single" w:sz="6" w:space="0" w:color="F2F2F2"/>
              <w:right w:val="nil"/>
            </w:tcBorders>
            <w:vAlign w:val="bottom"/>
          </w:tcPr>
          <w:p w14:paraId="210C9314" w14:textId="6BBC9D3F"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-32.80</w:t>
            </w:r>
          </w:p>
        </w:tc>
        <w:tc>
          <w:tcPr>
            <w:tcW w:w="990" w:type="dxa"/>
            <w:tcBorders>
              <w:left w:val="nil"/>
              <w:bottom w:val="single" w:sz="6" w:space="0" w:color="F2F2F2"/>
              <w:right w:val="nil"/>
            </w:tcBorders>
            <w:vAlign w:val="bottom"/>
          </w:tcPr>
          <w:p w14:paraId="7A731A30" w14:textId="3FAA7C4B"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w:t>
            </w:r>
            <w:r w:rsidR="00454772">
              <w:rPr>
                <w:rFonts w:ascii="Times New Roman" w:hAnsi="Times New Roman" w:cs="Times New Roman"/>
              </w:rPr>
              <w:t>3</w:t>
            </w:r>
            <w:r w:rsidRPr="00861362">
              <w:rPr>
                <w:rFonts w:ascii="Times New Roman" w:hAnsi="Times New Roman" w:cs="Times New Roman"/>
              </w:rPr>
              <w:t>6</w:t>
            </w:r>
          </w:p>
        </w:tc>
        <w:tc>
          <w:tcPr>
            <w:tcW w:w="1544" w:type="dxa"/>
            <w:tcBorders>
              <w:left w:val="nil"/>
              <w:bottom w:val="single" w:sz="6" w:space="0" w:color="F2F2F2"/>
            </w:tcBorders>
            <w:vAlign w:val="bottom"/>
          </w:tcPr>
          <w:p w14:paraId="2CC09EEC" w14:textId="61579A8E"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w:t>
            </w:r>
            <w:r w:rsidR="00454772">
              <w:rPr>
                <w:rFonts w:ascii="Times New Roman" w:hAnsi="Times New Roman" w:cs="Times New Roman"/>
                <w:color w:val="000000"/>
                <w:szCs w:val="22"/>
              </w:rPr>
              <w:t>5</w:t>
            </w:r>
          </w:p>
        </w:tc>
      </w:tr>
      <w:tr w:rsidR="00336BBE" w:rsidRPr="00861362" w14:paraId="1561A7B5" w14:textId="77777777" w:rsidTr="00806FD8">
        <w:tc>
          <w:tcPr>
            <w:tcW w:w="6671" w:type="dxa"/>
            <w:tcBorders>
              <w:top w:val="single" w:sz="6" w:space="0" w:color="F2F2F2"/>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single" w:sz="6" w:space="0" w:color="F2F2F2"/>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single" w:sz="6" w:space="0" w:color="F2F2F2"/>
              <w:left w:val="nil"/>
              <w:bottom w:val="single" w:sz="4" w:space="0" w:color="auto"/>
              <w:right w:val="nil"/>
            </w:tcBorders>
            <w:vAlign w:val="bottom"/>
          </w:tcPr>
          <w:p w14:paraId="305BE358" w14:textId="0EF86DD5"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-32.38</w:t>
            </w:r>
          </w:p>
        </w:tc>
        <w:tc>
          <w:tcPr>
            <w:tcW w:w="990" w:type="dxa"/>
            <w:tcBorders>
              <w:top w:val="single" w:sz="6" w:space="0" w:color="F2F2F2"/>
              <w:left w:val="nil"/>
              <w:bottom w:val="single" w:sz="4" w:space="0" w:color="auto"/>
              <w:right w:val="nil"/>
            </w:tcBorders>
            <w:vAlign w:val="bottom"/>
          </w:tcPr>
          <w:p w14:paraId="502D6CBA" w14:textId="447E39DE" w:rsidR="00336BBE" w:rsidRPr="00861362" w:rsidRDefault="00454772" w:rsidP="000A07F5">
            <w:pPr>
              <w:spacing w:line="360" w:lineRule="auto"/>
              <w:jc w:val="left"/>
              <w:rPr>
                <w:rFonts w:ascii="Times New Roman" w:hAnsi="Times New Roman" w:cs="Times New Roman"/>
              </w:rPr>
            </w:pPr>
            <w:r>
              <w:rPr>
                <w:rFonts w:ascii="Times New Roman" w:hAnsi="Times New Roman" w:cs="Times New Roman"/>
              </w:rPr>
              <w:t>0</w:t>
            </w:r>
            <w:r w:rsidR="00336BBE" w:rsidRPr="00861362">
              <w:rPr>
                <w:rFonts w:ascii="Times New Roman" w:hAnsi="Times New Roman" w:cs="Times New Roman"/>
              </w:rPr>
              <w:t>.7</w:t>
            </w:r>
            <w:r>
              <w:rPr>
                <w:rFonts w:ascii="Times New Roman" w:hAnsi="Times New Roman" w:cs="Times New Roman"/>
              </w:rPr>
              <w:t>8</w:t>
            </w:r>
          </w:p>
        </w:tc>
        <w:tc>
          <w:tcPr>
            <w:tcW w:w="1544" w:type="dxa"/>
            <w:tcBorders>
              <w:top w:val="single" w:sz="6" w:space="0" w:color="F2F2F2"/>
              <w:left w:val="nil"/>
              <w:bottom w:val="single" w:sz="4" w:space="0" w:color="auto"/>
            </w:tcBorders>
            <w:vAlign w:val="bottom"/>
          </w:tcPr>
          <w:p w14:paraId="79B0F987" w14:textId="43D74E9E"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w:t>
            </w:r>
            <w:r w:rsidR="00454772">
              <w:rPr>
                <w:rFonts w:ascii="Times New Roman" w:hAnsi="Times New Roman" w:cs="Times New Roman"/>
                <w:color w:val="000000"/>
                <w:szCs w:val="22"/>
              </w:rPr>
              <w:t>20</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020AF346" w14:textId="47FB0FE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t>Table S1.</w:t>
      </w:r>
      <w:r w:rsidR="008E7C00">
        <w:rPr>
          <w:rFonts w:ascii="Times New Roman" w:hAnsi="Times New Roman" w:cs="Times New Roman"/>
          <w:b/>
          <w:bCs/>
        </w:rPr>
        <w:t>0</w:t>
      </w:r>
      <w:r w:rsidRPr="00861362">
        <w:rPr>
          <w:rFonts w:ascii="Times New Roman" w:hAnsi="Times New Roman" w:cs="Times New Roman"/>
          <w:b/>
          <w:bCs/>
        </w:rPr>
        <w:t>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210F9A1D" w14:textId="77777777" w:rsidR="00747EF0" w:rsidRDefault="00747EF0">
      <w:pPr>
        <w:rPr>
          <w:rFonts w:ascii="Times New Roman" w:hAnsi="Times New Roman" w:cs="Times New Roman"/>
          <w:b/>
          <w:bCs/>
        </w:rPr>
      </w:pPr>
      <w:r>
        <w:rPr>
          <w:rFonts w:ascii="Times New Roman" w:hAnsi="Times New Roman" w:cs="Times New Roman"/>
          <w:b/>
          <w:bCs/>
        </w:rPr>
        <w:br w:type="page"/>
      </w:r>
    </w:p>
    <w:p w14:paraId="4EB5C42F" w14:textId="7C97007F"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lastRenderedPageBreak/>
        <w:t>Table S1.</w:t>
      </w:r>
      <w:r w:rsidR="008E7C00">
        <w:rPr>
          <w:rFonts w:ascii="Times New Roman" w:hAnsi="Times New Roman" w:cs="Times New Roman"/>
          <w:b/>
          <w:bCs/>
        </w:rPr>
        <w:t>0</w:t>
      </w:r>
      <w:r w:rsidRPr="00861362">
        <w:rPr>
          <w:rFonts w:ascii="Times New Roman" w:hAnsi="Times New Roman" w:cs="Times New Roman"/>
          <w:b/>
          <w:bCs/>
        </w:rPr>
        <w:t>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7167C8A5" w14:textId="77777777" w:rsidR="008F7E10" w:rsidRDefault="008F7E10" w:rsidP="00747EF0">
      <w:pPr>
        <w:spacing w:line="480" w:lineRule="auto"/>
        <w:rPr>
          <w:rFonts w:ascii="Times New Roman" w:hAnsi="Times New Roman" w:cs="Times New Roman"/>
          <w:b/>
        </w:rPr>
      </w:pPr>
    </w:p>
    <w:p w14:paraId="0A14D451" w14:textId="49F1C66F" w:rsidR="008F7E10" w:rsidRDefault="008F7E10" w:rsidP="00747EF0">
      <w:pPr>
        <w:spacing w:line="480" w:lineRule="auto"/>
        <w:rPr>
          <w:rFonts w:ascii="Times New Roman" w:hAnsi="Times New Roman" w:cs="Times New Roman"/>
          <w:bCs/>
        </w:rPr>
      </w:pPr>
      <w:r>
        <w:rPr>
          <w:rFonts w:ascii="Times New Roman" w:hAnsi="Times New Roman" w:cs="Times New Roman"/>
          <w:b/>
        </w:rPr>
        <w:t>Table S1.</w:t>
      </w:r>
      <w:r w:rsidR="008E7C00">
        <w:rPr>
          <w:rFonts w:ascii="Times New Roman" w:hAnsi="Times New Roman" w:cs="Times New Roman"/>
          <w:b/>
        </w:rPr>
        <w:t>0</w:t>
      </w:r>
      <w:r>
        <w:rPr>
          <w:rFonts w:ascii="Times New Roman" w:hAnsi="Times New Roman" w:cs="Times New Roman"/>
          <w:b/>
        </w:rPr>
        <w:t>8.</w:t>
      </w:r>
      <w:r>
        <w:rPr>
          <w:rFonts w:ascii="Times New Roman" w:hAnsi="Times New Roman" w:cs="Times New Roman"/>
          <w:bCs/>
        </w:rPr>
        <w:t xml:space="preserve"> </w:t>
      </w:r>
      <w:r w:rsidR="007A639B">
        <w:rPr>
          <w:rFonts w:ascii="Times New Roman" w:hAnsi="Times New Roman" w:cs="Times New Roman"/>
          <w:bCs/>
        </w:rPr>
        <w:t xml:space="preserve">Summary of the </w:t>
      </w:r>
      <w:r w:rsidR="00E4578F">
        <w:rPr>
          <w:rFonts w:ascii="Times New Roman" w:hAnsi="Times New Roman" w:cs="Times New Roman"/>
          <w:bCs/>
        </w:rPr>
        <w:t xml:space="preserve">generalized linear mixed-effect model </w:t>
      </w:r>
      <w:r w:rsidR="008E7C00">
        <w:rPr>
          <w:rFonts w:ascii="Times New Roman" w:hAnsi="Times New Roman" w:cs="Times New Roman"/>
          <w:bCs/>
        </w:rPr>
        <w:t xml:space="preserve">describing drivers of </w:t>
      </w:r>
      <w:r w:rsidR="00023D8D">
        <w:rPr>
          <w:rFonts w:ascii="Times New Roman" w:hAnsi="Times New Roman" w:cs="Times New Roman"/>
          <w:bCs/>
        </w:rPr>
        <w:t xml:space="preserve">meso-scale </w:t>
      </w:r>
      <w:r w:rsidR="008E7C00">
        <w:rPr>
          <w:rFonts w:ascii="Times New Roman" w:hAnsi="Times New Roman" w:cs="Times New Roman"/>
          <w:bCs/>
        </w:rPr>
        <w:t>variability in ammonium concentration</w:t>
      </w:r>
      <w:r>
        <w:rPr>
          <w:rFonts w:ascii="Times New Roman" w:hAnsi="Times New Roman" w:cs="Times New Roman"/>
          <w:bCs/>
        </w:rPr>
        <w:t xml:space="preserve">. </w:t>
      </w:r>
      <w:r w:rsidRPr="008F7E10">
        <w:rPr>
          <w:rFonts w:ascii="Times New Roman" w:hAnsi="Times New Roman" w:cs="Times New Roman"/>
          <w:bCs/>
        </w:rPr>
        <w:t xml:space="preserve">The </w:t>
      </w:r>
      <w:r w:rsidR="00A95FD9">
        <w:rPr>
          <w:rFonts w:ascii="Times New Roman" w:hAnsi="Times New Roman" w:cs="Times New Roman"/>
          <w:bCs/>
        </w:rPr>
        <w:t>model was constructed with a</w:t>
      </w:r>
      <w:r w:rsidRPr="008F7E10">
        <w:rPr>
          <w:rFonts w:ascii="Times New Roman" w:hAnsi="Times New Roman" w:cs="Times New Roman"/>
          <w:bCs/>
        </w:rPr>
        <w:t xml:space="preserve"> gamma distribution (link = ‘log’), so coefficients are presented in log space. Continuous predictors were centred and scaled to compare effect sizes between predictors with varying units.</w:t>
      </w:r>
    </w:p>
    <w:tbl>
      <w:tblPr>
        <w:tblStyle w:val="Nikola"/>
        <w:tblW w:w="0" w:type="auto"/>
        <w:tblLook w:val="04A0" w:firstRow="1" w:lastRow="0" w:firstColumn="1" w:lastColumn="0" w:noHBand="0" w:noVBand="1"/>
      </w:tblPr>
      <w:tblGrid>
        <w:gridCol w:w="2992"/>
        <w:gridCol w:w="1480"/>
        <w:gridCol w:w="1480"/>
        <w:gridCol w:w="1300"/>
        <w:gridCol w:w="1300"/>
      </w:tblGrid>
      <w:tr w:rsidR="008F7E10" w:rsidRPr="008F7E10" w14:paraId="0A0CD244" w14:textId="77777777" w:rsidTr="008F7E10">
        <w:trPr>
          <w:cnfStyle w:val="100000000000" w:firstRow="1" w:lastRow="0" w:firstColumn="0" w:lastColumn="0" w:oddVBand="0" w:evenVBand="0" w:oddHBand="0" w:evenHBand="0" w:firstRowFirstColumn="0" w:firstRowLastColumn="0" w:lastRowFirstColumn="0" w:lastRowLastColumn="0"/>
          <w:trHeight w:val="320"/>
        </w:trPr>
        <w:tc>
          <w:tcPr>
            <w:tcW w:w="2992" w:type="dxa"/>
            <w:noWrap/>
            <w:hideMark/>
          </w:tcPr>
          <w:p w14:paraId="53B50571" w14:textId="77777777" w:rsidR="008F7E10" w:rsidRPr="008F7E10" w:rsidRDefault="008F7E10" w:rsidP="008F7E10">
            <w:pPr>
              <w:rPr>
                <w:rFonts w:ascii="Times New Roman" w:hAnsi="Times New Roman" w:cs="Times New Roman"/>
                <w:bCs/>
              </w:rPr>
            </w:pPr>
          </w:p>
        </w:tc>
        <w:tc>
          <w:tcPr>
            <w:tcW w:w="1480" w:type="dxa"/>
            <w:noWrap/>
            <w:hideMark/>
          </w:tcPr>
          <w:p w14:paraId="629E8FD9"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Estimate</w:t>
            </w:r>
          </w:p>
        </w:tc>
        <w:tc>
          <w:tcPr>
            <w:tcW w:w="1480" w:type="dxa"/>
            <w:noWrap/>
            <w:hideMark/>
          </w:tcPr>
          <w:p w14:paraId="780162D4" w14:textId="254374BB"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 xml:space="preserve">Std. </w:t>
            </w:r>
            <w:r w:rsidR="00140FE6">
              <w:rPr>
                <w:rFonts w:ascii="Times New Roman" w:hAnsi="Times New Roman" w:cs="Times New Roman"/>
                <w:b/>
              </w:rPr>
              <w:t>e</w:t>
            </w:r>
            <w:r w:rsidRPr="00140FE6">
              <w:rPr>
                <w:rFonts w:ascii="Times New Roman" w:hAnsi="Times New Roman" w:cs="Times New Roman"/>
                <w:b/>
              </w:rPr>
              <w:t>rror</w:t>
            </w:r>
          </w:p>
        </w:tc>
        <w:tc>
          <w:tcPr>
            <w:tcW w:w="1300" w:type="dxa"/>
            <w:noWrap/>
            <w:hideMark/>
          </w:tcPr>
          <w:p w14:paraId="6839478A"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z value</w:t>
            </w:r>
          </w:p>
        </w:tc>
        <w:tc>
          <w:tcPr>
            <w:tcW w:w="1300" w:type="dxa"/>
            <w:noWrap/>
            <w:hideMark/>
          </w:tcPr>
          <w:p w14:paraId="787A61F4"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p value</w:t>
            </w:r>
          </w:p>
        </w:tc>
      </w:tr>
      <w:tr w:rsidR="008F7E10" w:rsidRPr="008F7E10" w14:paraId="7D52EB73" w14:textId="77777777" w:rsidTr="008F7E10">
        <w:trPr>
          <w:trHeight w:val="320"/>
        </w:trPr>
        <w:tc>
          <w:tcPr>
            <w:tcW w:w="2992" w:type="dxa"/>
            <w:noWrap/>
            <w:hideMark/>
          </w:tcPr>
          <w:p w14:paraId="28EB4183" w14:textId="77777777" w:rsidR="008F7E10" w:rsidRPr="008F7E10" w:rsidRDefault="008F7E10" w:rsidP="008F7E10">
            <w:pPr>
              <w:jc w:val="left"/>
              <w:rPr>
                <w:rFonts w:ascii="Times New Roman" w:hAnsi="Times New Roman" w:cs="Times New Roman"/>
                <w:bCs/>
              </w:rPr>
            </w:pPr>
            <w:r w:rsidRPr="008F7E10">
              <w:rPr>
                <w:rFonts w:ascii="Times New Roman" w:hAnsi="Times New Roman" w:cs="Times New Roman"/>
                <w:bCs/>
              </w:rPr>
              <w:t>Intercept</w:t>
            </w:r>
          </w:p>
        </w:tc>
        <w:tc>
          <w:tcPr>
            <w:tcW w:w="1480" w:type="dxa"/>
            <w:noWrap/>
            <w:hideMark/>
          </w:tcPr>
          <w:p w14:paraId="643D0B04" w14:textId="23426D76"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c>
          <w:tcPr>
            <w:tcW w:w="1480" w:type="dxa"/>
            <w:noWrap/>
            <w:hideMark/>
          </w:tcPr>
          <w:p w14:paraId="14DC7CC9" w14:textId="045BB02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300" w:type="dxa"/>
            <w:noWrap/>
            <w:hideMark/>
          </w:tcPr>
          <w:p w14:paraId="69ABE6CF" w14:textId="796925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-2.48</w:t>
            </w:r>
          </w:p>
        </w:tc>
        <w:tc>
          <w:tcPr>
            <w:tcW w:w="1300" w:type="dxa"/>
            <w:noWrap/>
            <w:hideMark/>
          </w:tcPr>
          <w:p w14:paraId="02C29175" w14:textId="252B512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r w:rsidR="008F7E10" w:rsidRPr="008F7E10" w14:paraId="287A1457" w14:textId="77777777" w:rsidTr="008F7E10">
        <w:trPr>
          <w:trHeight w:val="320"/>
        </w:trPr>
        <w:tc>
          <w:tcPr>
            <w:tcW w:w="2992" w:type="dxa"/>
            <w:noWrap/>
            <w:hideMark/>
          </w:tcPr>
          <w:p w14:paraId="711F9296" w14:textId="71B19B13" w:rsidR="008F7E10" w:rsidRPr="008F7E10" w:rsidRDefault="008F7E10" w:rsidP="008F7E10">
            <w:pPr>
              <w:jc w:val="left"/>
              <w:rPr>
                <w:rFonts w:ascii="Times New Roman" w:hAnsi="Times New Roman" w:cs="Times New Roman"/>
                <w:bCs/>
              </w:rPr>
            </w:pPr>
            <w:r>
              <w:rPr>
                <w:rFonts w:ascii="Times New Roman" w:hAnsi="Times New Roman" w:cs="Times New Roman"/>
                <w:bCs/>
              </w:rPr>
              <w:t>A</w:t>
            </w:r>
            <w:r w:rsidRPr="008F7E10">
              <w:rPr>
                <w:rFonts w:ascii="Times New Roman" w:hAnsi="Times New Roman" w:cs="Times New Roman"/>
                <w:bCs/>
              </w:rPr>
              <w:t>bundance</w:t>
            </w:r>
          </w:p>
        </w:tc>
        <w:tc>
          <w:tcPr>
            <w:tcW w:w="1480" w:type="dxa"/>
            <w:noWrap/>
            <w:hideMark/>
          </w:tcPr>
          <w:p w14:paraId="63478657" w14:textId="700B1134"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-0.07</w:t>
            </w:r>
          </w:p>
        </w:tc>
        <w:tc>
          <w:tcPr>
            <w:tcW w:w="1480" w:type="dxa"/>
            <w:noWrap/>
            <w:hideMark/>
          </w:tcPr>
          <w:p w14:paraId="49F9AF91" w14:textId="5BE657E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0AD1201A" w14:textId="3910145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-0.55</w:t>
            </w:r>
          </w:p>
        </w:tc>
        <w:tc>
          <w:tcPr>
            <w:tcW w:w="1300" w:type="dxa"/>
            <w:noWrap/>
            <w:hideMark/>
          </w:tcPr>
          <w:p w14:paraId="13C9316E" w14:textId="069DBED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0.58</w:t>
            </w:r>
          </w:p>
        </w:tc>
      </w:tr>
      <w:tr w:rsidR="008F7E10" w:rsidRPr="008F7E10" w14:paraId="01E32076" w14:textId="77777777" w:rsidTr="008F7E10">
        <w:trPr>
          <w:trHeight w:val="320"/>
        </w:trPr>
        <w:tc>
          <w:tcPr>
            <w:tcW w:w="2992" w:type="dxa"/>
            <w:noWrap/>
            <w:hideMark/>
          </w:tcPr>
          <w:p w14:paraId="6E6B1D1A" w14:textId="20980869" w:rsidR="008F7E10" w:rsidRPr="008F7E10" w:rsidRDefault="008F7E10" w:rsidP="008F7E10">
            <w:pPr>
              <w:jc w:val="left"/>
              <w:rPr>
                <w:rFonts w:ascii="Times New Roman" w:hAnsi="Times New Roman" w:cs="Times New Roman"/>
                <w:bCs/>
              </w:rPr>
            </w:pPr>
            <w:r>
              <w:rPr>
                <w:rFonts w:ascii="Times New Roman" w:hAnsi="Times New Roman" w:cs="Times New Roman"/>
                <w:bCs/>
              </w:rPr>
              <w:t>T</w:t>
            </w:r>
            <w:r w:rsidRPr="008F7E10">
              <w:rPr>
                <w:rFonts w:ascii="Times New Roman" w:hAnsi="Times New Roman" w:cs="Times New Roman"/>
                <w:bCs/>
              </w:rPr>
              <w:t>ide</w:t>
            </w:r>
            <w:r w:rsidR="00023D8D">
              <w:rPr>
                <w:rFonts w:ascii="Times New Roman" w:hAnsi="Times New Roman" w:cs="Times New Roman"/>
                <w:bCs/>
              </w:rPr>
              <w:t xml:space="preserve"> exchange</w:t>
            </w:r>
          </w:p>
        </w:tc>
        <w:tc>
          <w:tcPr>
            <w:tcW w:w="1480" w:type="dxa"/>
            <w:noWrap/>
            <w:hideMark/>
          </w:tcPr>
          <w:p w14:paraId="1E4863EF" w14:textId="1FFAE90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480" w:type="dxa"/>
            <w:noWrap/>
            <w:hideMark/>
          </w:tcPr>
          <w:p w14:paraId="5A2E9A78" w14:textId="552C17D3"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0.08</w:t>
            </w:r>
          </w:p>
        </w:tc>
        <w:tc>
          <w:tcPr>
            <w:tcW w:w="1300" w:type="dxa"/>
            <w:noWrap/>
            <w:hideMark/>
          </w:tcPr>
          <w:p w14:paraId="48E8D4D8" w14:textId="2C28BDFF"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300" w:type="dxa"/>
            <w:noWrap/>
            <w:hideMark/>
          </w:tcPr>
          <w:p w14:paraId="273A47D9" w14:textId="4FDCB9AB"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1.00</w:t>
            </w:r>
          </w:p>
        </w:tc>
      </w:tr>
      <w:tr w:rsidR="008F7E10" w:rsidRPr="008F7E10" w14:paraId="21880944" w14:textId="77777777" w:rsidTr="008F7E10">
        <w:trPr>
          <w:trHeight w:val="320"/>
        </w:trPr>
        <w:tc>
          <w:tcPr>
            <w:tcW w:w="2992" w:type="dxa"/>
            <w:noWrap/>
            <w:hideMark/>
          </w:tcPr>
          <w:p w14:paraId="0160ED11" w14:textId="238F0218" w:rsidR="008F7E10" w:rsidRPr="008F7E10" w:rsidRDefault="008F7E10" w:rsidP="008F7E10">
            <w:pPr>
              <w:jc w:val="left"/>
              <w:rPr>
                <w:rFonts w:ascii="Times New Roman" w:hAnsi="Times New Roman" w:cs="Times New Roman"/>
                <w:bCs/>
              </w:rPr>
            </w:pPr>
            <w:r>
              <w:rPr>
                <w:rFonts w:ascii="Times New Roman" w:hAnsi="Times New Roman" w:cs="Times New Roman"/>
                <w:bCs/>
              </w:rPr>
              <w:t>Biodiversity</w:t>
            </w:r>
          </w:p>
        </w:tc>
        <w:tc>
          <w:tcPr>
            <w:tcW w:w="1480" w:type="dxa"/>
            <w:noWrap/>
            <w:hideMark/>
          </w:tcPr>
          <w:p w14:paraId="7E73605E" w14:textId="6087C81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480" w:type="dxa"/>
            <w:noWrap/>
            <w:hideMark/>
          </w:tcPr>
          <w:p w14:paraId="2B44FA05" w14:textId="7F6003D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10384C7D" w14:textId="361821D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-0.80</w:t>
            </w:r>
          </w:p>
        </w:tc>
        <w:tc>
          <w:tcPr>
            <w:tcW w:w="1300" w:type="dxa"/>
            <w:noWrap/>
            <w:hideMark/>
          </w:tcPr>
          <w:p w14:paraId="5ADB1380" w14:textId="37A12A4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0.42</w:t>
            </w:r>
          </w:p>
        </w:tc>
      </w:tr>
      <w:tr w:rsidR="008F7E10" w:rsidRPr="008F7E10" w14:paraId="6E1B1D62" w14:textId="77777777" w:rsidTr="008F7E10">
        <w:trPr>
          <w:trHeight w:val="320"/>
        </w:trPr>
        <w:tc>
          <w:tcPr>
            <w:tcW w:w="2992" w:type="dxa"/>
            <w:noWrap/>
            <w:hideMark/>
          </w:tcPr>
          <w:p w14:paraId="7AD84187" w14:textId="200E1B32" w:rsidR="008F7E10" w:rsidRPr="008F7E10" w:rsidRDefault="008F7E10" w:rsidP="008F7E10">
            <w:pPr>
              <w:jc w:val="left"/>
              <w:rPr>
                <w:rFonts w:ascii="Times New Roman" w:hAnsi="Times New Roman" w:cs="Times New Roman"/>
                <w:bCs/>
              </w:rPr>
            </w:pPr>
            <w:r>
              <w:rPr>
                <w:rFonts w:ascii="Times New Roman" w:hAnsi="Times New Roman" w:cs="Times New Roman"/>
                <w:bCs/>
              </w:rPr>
              <w:t>D</w:t>
            </w:r>
            <w:r w:rsidRPr="008F7E10">
              <w:rPr>
                <w:rFonts w:ascii="Times New Roman" w:hAnsi="Times New Roman" w:cs="Times New Roman"/>
                <w:bCs/>
              </w:rPr>
              <w:t>epth</w:t>
            </w:r>
          </w:p>
        </w:tc>
        <w:tc>
          <w:tcPr>
            <w:tcW w:w="1480" w:type="dxa"/>
            <w:noWrap/>
            <w:hideMark/>
          </w:tcPr>
          <w:p w14:paraId="5556D15A" w14:textId="487A94A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0.05</w:t>
            </w:r>
          </w:p>
        </w:tc>
        <w:tc>
          <w:tcPr>
            <w:tcW w:w="1480" w:type="dxa"/>
            <w:noWrap/>
            <w:hideMark/>
          </w:tcPr>
          <w:p w14:paraId="7EAA4687" w14:textId="6CF7E6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0.09</w:t>
            </w:r>
          </w:p>
        </w:tc>
        <w:tc>
          <w:tcPr>
            <w:tcW w:w="1300" w:type="dxa"/>
            <w:noWrap/>
            <w:hideMark/>
          </w:tcPr>
          <w:p w14:paraId="6560AB44" w14:textId="40C9DC1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0.51</w:t>
            </w:r>
          </w:p>
        </w:tc>
        <w:tc>
          <w:tcPr>
            <w:tcW w:w="1300" w:type="dxa"/>
            <w:noWrap/>
            <w:hideMark/>
          </w:tcPr>
          <w:p w14:paraId="48974411" w14:textId="0593B2D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r>
      <w:tr w:rsidR="008F7E10" w:rsidRPr="008F7E10" w14:paraId="4EF670F5" w14:textId="77777777" w:rsidTr="008F7E10">
        <w:trPr>
          <w:trHeight w:val="320"/>
        </w:trPr>
        <w:tc>
          <w:tcPr>
            <w:tcW w:w="2992" w:type="dxa"/>
            <w:noWrap/>
            <w:hideMark/>
          </w:tcPr>
          <w:p w14:paraId="2143374F" w14:textId="2EA240ED" w:rsidR="008F7E10" w:rsidRPr="008F7E10" w:rsidRDefault="008F7E10" w:rsidP="008F7E10">
            <w:pPr>
              <w:jc w:val="left"/>
              <w:rPr>
                <w:rFonts w:ascii="Times New Roman" w:hAnsi="Times New Roman" w:cs="Times New Roman"/>
                <w:bCs/>
              </w:rPr>
            </w:pPr>
            <w:proofErr w:type="spellStart"/>
            <w:proofErr w:type="gramStart"/>
            <w:r>
              <w:rPr>
                <w:rFonts w:ascii="Times New Roman" w:hAnsi="Times New Roman" w:cs="Times New Roman"/>
                <w:bCs/>
              </w:rPr>
              <w:t>A</w:t>
            </w:r>
            <w:r w:rsidRPr="008F7E10">
              <w:rPr>
                <w:rFonts w:ascii="Times New Roman" w:hAnsi="Times New Roman" w:cs="Times New Roman"/>
                <w:bCs/>
              </w:rPr>
              <w:t>bundance:tide</w:t>
            </w:r>
            <w:proofErr w:type="spellEnd"/>
            <w:proofErr w:type="gramEnd"/>
          </w:p>
        </w:tc>
        <w:tc>
          <w:tcPr>
            <w:tcW w:w="1480" w:type="dxa"/>
            <w:noWrap/>
            <w:hideMark/>
          </w:tcPr>
          <w:p w14:paraId="2AAD8B2C" w14:textId="0243ED5C"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480" w:type="dxa"/>
            <w:noWrap/>
            <w:hideMark/>
          </w:tcPr>
          <w:p w14:paraId="5EC0D6AC" w14:textId="21E37179"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300" w:type="dxa"/>
            <w:noWrap/>
            <w:hideMark/>
          </w:tcPr>
          <w:p w14:paraId="26F86D76" w14:textId="6167980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-2.54</w:t>
            </w:r>
          </w:p>
        </w:tc>
        <w:tc>
          <w:tcPr>
            <w:tcW w:w="1300" w:type="dxa"/>
            <w:noWrap/>
            <w:hideMark/>
          </w:tcPr>
          <w:p w14:paraId="238C0DB4" w14:textId="5E64358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bl>
    <w:p w14:paraId="18FD2B6C" w14:textId="77777777" w:rsidR="008F7E10" w:rsidRDefault="008F7E10" w:rsidP="00747EF0">
      <w:pPr>
        <w:spacing w:line="480" w:lineRule="auto"/>
        <w:rPr>
          <w:rFonts w:ascii="Times New Roman" w:hAnsi="Times New Roman" w:cs="Times New Roman"/>
          <w:bCs/>
        </w:rPr>
      </w:pPr>
    </w:p>
    <w:p w14:paraId="27475AFC" w14:textId="77777777" w:rsidR="00140FE6" w:rsidRDefault="00140FE6">
      <w:pPr>
        <w:rPr>
          <w:rFonts w:ascii="Times New Roman" w:hAnsi="Times New Roman" w:cs="Times New Roman"/>
          <w:b/>
        </w:rPr>
      </w:pPr>
      <w:r>
        <w:rPr>
          <w:rFonts w:ascii="Times New Roman" w:hAnsi="Times New Roman" w:cs="Times New Roman"/>
          <w:b/>
        </w:rPr>
        <w:br w:type="page"/>
      </w:r>
    </w:p>
    <w:p w14:paraId="22CFB297" w14:textId="000D1C6B" w:rsidR="00E4578F" w:rsidRPr="00140FE6" w:rsidRDefault="00E4578F" w:rsidP="00747EF0">
      <w:pPr>
        <w:spacing w:line="480" w:lineRule="auto"/>
        <w:rPr>
          <w:rFonts w:ascii="Times New Roman" w:hAnsi="Times New Roman" w:cs="Times New Roman"/>
        </w:rPr>
      </w:pPr>
      <w:r w:rsidRPr="007A639B">
        <w:rPr>
          <w:rFonts w:ascii="Times New Roman" w:hAnsi="Times New Roman" w:cs="Times New Roman"/>
          <w:b/>
        </w:rPr>
        <w:lastRenderedPageBreak/>
        <w:t>Table S1.</w:t>
      </w:r>
      <w:r w:rsidR="008E7C00">
        <w:rPr>
          <w:rFonts w:ascii="Times New Roman" w:hAnsi="Times New Roman" w:cs="Times New Roman"/>
          <w:b/>
        </w:rPr>
        <w:t>0</w:t>
      </w:r>
      <w:r w:rsidRPr="007A639B">
        <w:rPr>
          <w:rFonts w:ascii="Times New Roman" w:hAnsi="Times New Roman" w:cs="Times New Roman"/>
          <w:b/>
        </w:rPr>
        <w:t>9</w:t>
      </w:r>
      <w:r>
        <w:rPr>
          <w:rFonts w:ascii="Times New Roman" w:hAnsi="Times New Roman" w:cs="Times New Roman"/>
          <w:bCs/>
        </w:rPr>
        <w:t xml:space="preserve">. </w:t>
      </w:r>
      <w:r w:rsidR="00140FE6">
        <w:rPr>
          <w:rFonts w:ascii="Times New Roman" w:hAnsi="Times New Roman" w:cs="Times New Roman"/>
          <w:bCs/>
        </w:rPr>
        <w:t xml:space="preserve">Summary of the linear mixed effect model describing </w:t>
      </w:r>
      <w:r w:rsidR="00023D8D">
        <w:rPr>
          <w:rFonts w:ascii="Times New Roman" w:hAnsi="Times New Roman" w:cs="Times New Roman"/>
          <w:bCs/>
        </w:rPr>
        <w:t xml:space="preserve">small scale </w:t>
      </w:r>
      <w:r w:rsidR="00140FE6">
        <w:rPr>
          <w:rFonts w:ascii="Times New Roman" w:hAnsi="Times New Roman" w:cs="Times New Roman"/>
          <w:bCs/>
        </w:rPr>
        <w:t xml:space="preserve">drivers of ammonium concentration inside – outside kelp forests. </w:t>
      </w:r>
      <w:r w:rsidR="00140FE6" w:rsidRPr="008F7E10">
        <w:rPr>
          <w:rFonts w:ascii="Times New Roman" w:hAnsi="Times New Roman" w:cs="Times New Roman"/>
          <w:bCs/>
        </w:rPr>
        <w:t>Continuous predictors were centred and scaled</w:t>
      </w:r>
      <w:r w:rsidR="00140FE6">
        <w:rPr>
          <w:rFonts w:ascii="Times New Roman" w:hAnsi="Times New Roman" w:cs="Times New Roman"/>
          <w:bCs/>
        </w:rPr>
        <w:t xml:space="preserve">. Kelp species is a categorical predictor with three levels: </w:t>
      </w:r>
      <w:r w:rsidR="00043265">
        <w:rPr>
          <w:rFonts w:ascii="Times New Roman" w:hAnsi="Times New Roman" w:cs="Times New Roman"/>
        </w:rPr>
        <w:t>m</w:t>
      </w:r>
      <w:r w:rsidR="00140FE6" w:rsidRPr="00861362">
        <w:rPr>
          <w:rFonts w:ascii="Times New Roman" w:hAnsi="Times New Roman" w:cs="Times New Roman"/>
        </w:rPr>
        <w:t xml:space="preserve">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Pr>
          <w:rFonts w:ascii="Times New Roman" w:hAnsi="Times New Roman" w:cs="Times New Roman"/>
          <w:i/>
          <w:iCs/>
        </w:rPr>
        <w:t xml:space="preserve"> </w:t>
      </w:r>
      <w:r w:rsidR="00140FE6">
        <w:rPr>
          <w:rFonts w:ascii="Times New Roman" w:hAnsi="Times New Roman" w:cs="Times New Roman"/>
        </w:rPr>
        <w:t>(intercept level)</w:t>
      </w:r>
      <w:r w:rsidR="00140FE6" w:rsidRPr="00861362">
        <w:rPr>
          <w:rFonts w:ascii="Times New Roman" w:hAnsi="Times New Roman" w:cs="Times New Roman"/>
        </w:rPr>
        <w:t xml:space="preserve">, </w:t>
      </w:r>
      <w:proofErr w:type="spellStart"/>
      <w:r w:rsidR="00043265">
        <w:rPr>
          <w:rFonts w:ascii="Times New Roman" w:hAnsi="Times New Roman" w:cs="Times New Roman"/>
        </w:rPr>
        <w:t>n</w:t>
      </w:r>
      <w:r w:rsidR="00140FE6" w:rsidRPr="00861362">
        <w:rPr>
          <w:rFonts w:ascii="Times New Roman" w:hAnsi="Times New Roman" w:cs="Times New Roman"/>
        </w:rPr>
        <w:t>ereo</w:t>
      </w:r>
      <w:proofErr w:type="spellEnd"/>
      <w:r w:rsidR="00140FE6" w:rsidRPr="00861362">
        <w:rPr>
          <w:rFonts w:ascii="Times New Roman" w:hAnsi="Times New Roman" w:cs="Times New Roman"/>
        </w:rPr>
        <w:t xml:space="preserve"> = </w:t>
      </w:r>
      <w:proofErr w:type="spellStart"/>
      <w:r w:rsidR="00140FE6" w:rsidRPr="00861362">
        <w:rPr>
          <w:rFonts w:ascii="Times New Roman" w:hAnsi="Times New Roman" w:cs="Times New Roman"/>
          <w:i/>
          <w:iCs/>
        </w:rPr>
        <w:t>Nereocystis</w:t>
      </w:r>
      <w:proofErr w:type="spellEnd"/>
      <w:r w:rsidR="00140FE6" w:rsidRPr="00861362">
        <w:rPr>
          <w:rFonts w:ascii="Times New Roman" w:hAnsi="Times New Roman" w:cs="Times New Roman"/>
          <w:i/>
          <w:iCs/>
        </w:rPr>
        <w:t xml:space="preserve"> </w:t>
      </w:r>
      <w:proofErr w:type="spellStart"/>
      <w:r w:rsidR="00140FE6" w:rsidRPr="00861362">
        <w:rPr>
          <w:rFonts w:ascii="Times New Roman" w:hAnsi="Times New Roman" w:cs="Times New Roman"/>
          <w:i/>
          <w:iCs/>
        </w:rPr>
        <w:t>luetkeana</w:t>
      </w:r>
      <w:proofErr w:type="spellEnd"/>
      <w:r w:rsidR="00140FE6" w:rsidRPr="00861362">
        <w:rPr>
          <w:rFonts w:ascii="Times New Roman" w:hAnsi="Times New Roman" w:cs="Times New Roman"/>
        </w:rPr>
        <w:t xml:space="preserve">, </w:t>
      </w:r>
      <w:r w:rsidR="00043265">
        <w:rPr>
          <w:rFonts w:ascii="Times New Roman" w:hAnsi="Times New Roman" w:cs="Times New Roman"/>
        </w:rPr>
        <w:t>n</w:t>
      </w:r>
      <w:r w:rsidR="00140FE6" w:rsidRPr="00861362">
        <w:rPr>
          <w:rFonts w:ascii="Times New Roman" w:hAnsi="Times New Roman" w:cs="Times New Roman"/>
        </w:rPr>
        <w:t>one = no kelp control.</w:t>
      </w:r>
    </w:p>
    <w:tbl>
      <w:tblPr>
        <w:tblStyle w:val="Nikola"/>
        <w:tblW w:w="0" w:type="auto"/>
        <w:tblLook w:val="04A0" w:firstRow="1" w:lastRow="0" w:firstColumn="1" w:lastColumn="0" w:noHBand="0" w:noVBand="1"/>
      </w:tblPr>
      <w:tblGrid>
        <w:gridCol w:w="1985"/>
        <w:gridCol w:w="1559"/>
        <w:gridCol w:w="1701"/>
        <w:gridCol w:w="1475"/>
        <w:gridCol w:w="1640"/>
      </w:tblGrid>
      <w:tr w:rsidR="00140FE6" w:rsidRPr="00140FE6" w14:paraId="2316D48A" w14:textId="77777777" w:rsidTr="00170D95">
        <w:trPr>
          <w:cnfStyle w:val="100000000000" w:firstRow="1" w:lastRow="0" w:firstColumn="0" w:lastColumn="0" w:oddVBand="0" w:evenVBand="0" w:oddHBand="0" w:evenHBand="0" w:firstRowFirstColumn="0" w:firstRowLastColumn="0" w:lastRowFirstColumn="0" w:lastRowLastColumn="0"/>
          <w:trHeight w:val="320"/>
        </w:trPr>
        <w:tc>
          <w:tcPr>
            <w:tcW w:w="1985" w:type="dxa"/>
            <w:noWrap/>
            <w:hideMark/>
          </w:tcPr>
          <w:p w14:paraId="1C4842C8" w14:textId="77777777" w:rsidR="00140FE6" w:rsidRPr="00C62CA7" w:rsidRDefault="00140FE6" w:rsidP="00140FE6">
            <w:pPr>
              <w:rPr>
                <w:rFonts w:ascii="Times New Roman" w:hAnsi="Times New Roman" w:cs="Times New Roman"/>
                <w:bCs/>
              </w:rPr>
            </w:pPr>
          </w:p>
        </w:tc>
        <w:tc>
          <w:tcPr>
            <w:tcW w:w="1559" w:type="dxa"/>
            <w:noWrap/>
            <w:hideMark/>
          </w:tcPr>
          <w:p w14:paraId="1B36BE1D"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Estimate</w:t>
            </w:r>
          </w:p>
        </w:tc>
        <w:tc>
          <w:tcPr>
            <w:tcW w:w="1701" w:type="dxa"/>
            <w:noWrap/>
            <w:hideMark/>
          </w:tcPr>
          <w:p w14:paraId="1E280EA4" w14:textId="2272EEBA"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Std. error</w:t>
            </w:r>
          </w:p>
        </w:tc>
        <w:tc>
          <w:tcPr>
            <w:tcW w:w="1475" w:type="dxa"/>
            <w:noWrap/>
            <w:hideMark/>
          </w:tcPr>
          <w:p w14:paraId="01C67496"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z value</w:t>
            </w:r>
          </w:p>
        </w:tc>
        <w:tc>
          <w:tcPr>
            <w:tcW w:w="1640" w:type="dxa"/>
            <w:noWrap/>
            <w:hideMark/>
          </w:tcPr>
          <w:p w14:paraId="35734B27"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p value</w:t>
            </w:r>
          </w:p>
        </w:tc>
      </w:tr>
      <w:tr w:rsidR="00C62CA7" w:rsidRPr="00140FE6" w14:paraId="2CE8BE42" w14:textId="77777777" w:rsidTr="00FD1BCE">
        <w:trPr>
          <w:trHeight w:val="320"/>
        </w:trPr>
        <w:tc>
          <w:tcPr>
            <w:tcW w:w="1985" w:type="dxa"/>
            <w:noWrap/>
            <w:hideMark/>
          </w:tcPr>
          <w:p w14:paraId="3DE4738C"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Intercept</w:t>
            </w:r>
          </w:p>
        </w:tc>
        <w:tc>
          <w:tcPr>
            <w:tcW w:w="1559" w:type="dxa"/>
            <w:noWrap/>
            <w:vAlign w:val="top"/>
            <w:hideMark/>
          </w:tcPr>
          <w:p w14:paraId="00318B4B" w14:textId="0112A92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0.16</w:t>
            </w:r>
          </w:p>
        </w:tc>
        <w:tc>
          <w:tcPr>
            <w:tcW w:w="1701" w:type="dxa"/>
            <w:noWrap/>
            <w:vAlign w:val="top"/>
            <w:hideMark/>
          </w:tcPr>
          <w:p w14:paraId="07B97006" w14:textId="67BEB24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700B5D5C" w14:textId="210B31A3"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5.91</w:t>
            </w:r>
          </w:p>
        </w:tc>
        <w:tc>
          <w:tcPr>
            <w:tcW w:w="1640" w:type="dxa"/>
            <w:noWrap/>
            <w:vAlign w:val="top"/>
            <w:hideMark/>
          </w:tcPr>
          <w:p w14:paraId="7F099010" w14:textId="7F076F0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DD4E289" w14:textId="77777777" w:rsidTr="00FD1BCE">
        <w:trPr>
          <w:trHeight w:val="320"/>
        </w:trPr>
        <w:tc>
          <w:tcPr>
            <w:tcW w:w="1985" w:type="dxa"/>
            <w:noWrap/>
            <w:hideMark/>
          </w:tcPr>
          <w:p w14:paraId="77D7BAF9" w14:textId="5FE54AD6"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 xml:space="preserve">Kelp </w:t>
            </w:r>
            <w:proofErr w:type="spellStart"/>
            <w:r w:rsidRPr="00C62CA7">
              <w:rPr>
                <w:rFonts w:ascii="Times New Roman" w:hAnsi="Times New Roman" w:cs="Times New Roman"/>
                <w:bCs/>
              </w:rPr>
              <w:t>nereo</w:t>
            </w:r>
            <w:proofErr w:type="spellEnd"/>
          </w:p>
        </w:tc>
        <w:tc>
          <w:tcPr>
            <w:tcW w:w="1559" w:type="dxa"/>
            <w:noWrap/>
            <w:vAlign w:val="top"/>
            <w:hideMark/>
          </w:tcPr>
          <w:p w14:paraId="2A2CC9DC" w14:textId="18E8751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0.24</w:t>
            </w:r>
          </w:p>
        </w:tc>
        <w:tc>
          <w:tcPr>
            <w:tcW w:w="1701" w:type="dxa"/>
            <w:noWrap/>
            <w:vAlign w:val="top"/>
            <w:hideMark/>
          </w:tcPr>
          <w:p w14:paraId="1348C9E0" w14:textId="532FA8B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0.07</w:t>
            </w:r>
          </w:p>
        </w:tc>
        <w:tc>
          <w:tcPr>
            <w:tcW w:w="1475" w:type="dxa"/>
            <w:noWrap/>
            <w:vAlign w:val="top"/>
            <w:hideMark/>
          </w:tcPr>
          <w:p w14:paraId="6A755EC1" w14:textId="3E629DC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3.64</w:t>
            </w:r>
          </w:p>
        </w:tc>
        <w:tc>
          <w:tcPr>
            <w:tcW w:w="1640" w:type="dxa"/>
            <w:noWrap/>
            <w:vAlign w:val="top"/>
            <w:hideMark/>
          </w:tcPr>
          <w:p w14:paraId="33C0FDC9" w14:textId="5B3B1C2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7826AF1F" w14:textId="77777777" w:rsidTr="00FD1BCE">
        <w:trPr>
          <w:trHeight w:val="320"/>
        </w:trPr>
        <w:tc>
          <w:tcPr>
            <w:tcW w:w="1985" w:type="dxa"/>
            <w:noWrap/>
            <w:hideMark/>
          </w:tcPr>
          <w:p w14:paraId="3B03656E" w14:textId="749029F4"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Kelp none</w:t>
            </w:r>
          </w:p>
        </w:tc>
        <w:tc>
          <w:tcPr>
            <w:tcW w:w="1559" w:type="dxa"/>
            <w:noWrap/>
            <w:vAlign w:val="top"/>
            <w:hideMark/>
          </w:tcPr>
          <w:p w14:paraId="0C5707A1" w14:textId="79C31D6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-0.40</w:t>
            </w:r>
          </w:p>
        </w:tc>
        <w:tc>
          <w:tcPr>
            <w:tcW w:w="1701" w:type="dxa"/>
            <w:noWrap/>
            <w:vAlign w:val="top"/>
            <w:hideMark/>
          </w:tcPr>
          <w:p w14:paraId="01CC56BA" w14:textId="1A3A029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0.10</w:t>
            </w:r>
          </w:p>
        </w:tc>
        <w:tc>
          <w:tcPr>
            <w:tcW w:w="1475" w:type="dxa"/>
            <w:noWrap/>
            <w:vAlign w:val="top"/>
            <w:hideMark/>
          </w:tcPr>
          <w:p w14:paraId="1727C9A2" w14:textId="0001A2E6"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-4.13</w:t>
            </w:r>
          </w:p>
        </w:tc>
        <w:tc>
          <w:tcPr>
            <w:tcW w:w="1640" w:type="dxa"/>
            <w:noWrap/>
            <w:vAlign w:val="top"/>
            <w:hideMark/>
          </w:tcPr>
          <w:p w14:paraId="6C6EF7D6" w14:textId="05B428CA"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3B5ED12E" w14:textId="77777777" w:rsidTr="00FD1BCE">
        <w:trPr>
          <w:trHeight w:val="320"/>
        </w:trPr>
        <w:tc>
          <w:tcPr>
            <w:tcW w:w="1985" w:type="dxa"/>
            <w:noWrap/>
            <w:hideMark/>
          </w:tcPr>
          <w:p w14:paraId="7F192521"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Kelp biomass</w:t>
            </w:r>
          </w:p>
        </w:tc>
        <w:tc>
          <w:tcPr>
            <w:tcW w:w="1559" w:type="dxa"/>
            <w:noWrap/>
            <w:vAlign w:val="top"/>
            <w:hideMark/>
          </w:tcPr>
          <w:p w14:paraId="02B26059" w14:textId="71016C3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0.29</w:t>
            </w:r>
          </w:p>
        </w:tc>
        <w:tc>
          <w:tcPr>
            <w:tcW w:w="1701" w:type="dxa"/>
            <w:noWrap/>
            <w:vAlign w:val="top"/>
            <w:hideMark/>
          </w:tcPr>
          <w:p w14:paraId="1026E577" w14:textId="79CCAA46"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475" w:type="dxa"/>
            <w:noWrap/>
            <w:vAlign w:val="top"/>
            <w:hideMark/>
          </w:tcPr>
          <w:p w14:paraId="3F3DC360" w14:textId="01CACBE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5.95</w:t>
            </w:r>
          </w:p>
        </w:tc>
        <w:tc>
          <w:tcPr>
            <w:tcW w:w="1640" w:type="dxa"/>
            <w:noWrap/>
            <w:vAlign w:val="top"/>
            <w:hideMark/>
          </w:tcPr>
          <w:p w14:paraId="3F7D0CBF" w14:textId="6B8D835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E167293" w14:textId="77777777" w:rsidTr="00FD1BCE">
        <w:trPr>
          <w:trHeight w:val="320"/>
        </w:trPr>
        <w:tc>
          <w:tcPr>
            <w:tcW w:w="1985" w:type="dxa"/>
            <w:noWrap/>
            <w:hideMark/>
          </w:tcPr>
          <w:p w14:paraId="3F8BAABA" w14:textId="5A44F508"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Tide exchange</w:t>
            </w:r>
          </w:p>
        </w:tc>
        <w:tc>
          <w:tcPr>
            <w:tcW w:w="1559" w:type="dxa"/>
            <w:noWrap/>
            <w:vAlign w:val="top"/>
            <w:hideMark/>
          </w:tcPr>
          <w:p w14:paraId="6C217351" w14:textId="755EEE0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0.06</w:t>
            </w:r>
          </w:p>
        </w:tc>
        <w:tc>
          <w:tcPr>
            <w:tcW w:w="1701" w:type="dxa"/>
            <w:noWrap/>
            <w:vAlign w:val="top"/>
            <w:hideMark/>
          </w:tcPr>
          <w:p w14:paraId="5A51CAC8" w14:textId="55FCB78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0EDD4B20" w14:textId="031B4FF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2.25</w:t>
            </w:r>
          </w:p>
        </w:tc>
        <w:tc>
          <w:tcPr>
            <w:tcW w:w="1640" w:type="dxa"/>
            <w:noWrap/>
            <w:vAlign w:val="top"/>
            <w:hideMark/>
          </w:tcPr>
          <w:p w14:paraId="5A97D6C0" w14:textId="5582BAB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r>
      <w:tr w:rsidR="00C62CA7" w:rsidRPr="00140FE6" w14:paraId="4A32073D" w14:textId="77777777" w:rsidTr="00FD1BCE">
        <w:trPr>
          <w:trHeight w:val="320"/>
        </w:trPr>
        <w:tc>
          <w:tcPr>
            <w:tcW w:w="1985" w:type="dxa"/>
            <w:noWrap/>
            <w:hideMark/>
          </w:tcPr>
          <w:p w14:paraId="0E361752"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Animal biomass</w:t>
            </w:r>
          </w:p>
        </w:tc>
        <w:tc>
          <w:tcPr>
            <w:tcW w:w="1559" w:type="dxa"/>
            <w:noWrap/>
            <w:vAlign w:val="top"/>
            <w:hideMark/>
          </w:tcPr>
          <w:p w14:paraId="4C2954D1" w14:textId="4FBB4FC2"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701" w:type="dxa"/>
            <w:noWrap/>
            <w:vAlign w:val="top"/>
            <w:hideMark/>
          </w:tcPr>
          <w:p w14:paraId="68A7C052" w14:textId="09045DFA"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068A074C" w14:textId="204CE92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1.64</w:t>
            </w:r>
          </w:p>
        </w:tc>
        <w:tc>
          <w:tcPr>
            <w:tcW w:w="1640" w:type="dxa"/>
            <w:noWrap/>
            <w:vAlign w:val="top"/>
            <w:hideMark/>
          </w:tcPr>
          <w:p w14:paraId="7846AB99" w14:textId="21F0BA1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0.10</w:t>
            </w:r>
          </w:p>
        </w:tc>
      </w:tr>
      <w:tr w:rsidR="00C62CA7" w:rsidRPr="00140FE6" w14:paraId="19ED4F5B" w14:textId="77777777" w:rsidTr="00FD1BCE">
        <w:trPr>
          <w:trHeight w:val="320"/>
        </w:trPr>
        <w:tc>
          <w:tcPr>
            <w:tcW w:w="1985" w:type="dxa"/>
            <w:noWrap/>
            <w:hideMark/>
          </w:tcPr>
          <w:p w14:paraId="7C4C9655"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Biodiversity</w:t>
            </w:r>
          </w:p>
        </w:tc>
        <w:tc>
          <w:tcPr>
            <w:tcW w:w="1559" w:type="dxa"/>
            <w:noWrap/>
            <w:vAlign w:val="top"/>
            <w:hideMark/>
          </w:tcPr>
          <w:p w14:paraId="21303FA7" w14:textId="06A0B08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701" w:type="dxa"/>
            <w:noWrap/>
            <w:vAlign w:val="top"/>
            <w:hideMark/>
          </w:tcPr>
          <w:p w14:paraId="5306BE69" w14:textId="76618F42"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44C3ACB1" w14:textId="7F21773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-1.20</w:t>
            </w:r>
          </w:p>
        </w:tc>
        <w:tc>
          <w:tcPr>
            <w:tcW w:w="1640" w:type="dxa"/>
            <w:noWrap/>
            <w:vAlign w:val="top"/>
            <w:hideMark/>
          </w:tcPr>
          <w:p w14:paraId="21C4E762" w14:textId="6B374E2E"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0.23</w:t>
            </w:r>
          </w:p>
        </w:tc>
      </w:tr>
      <w:tr w:rsidR="00C62CA7" w:rsidRPr="00140FE6" w14:paraId="3034AAD3" w14:textId="77777777" w:rsidTr="00FD1BCE">
        <w:trPr>
          <w:trHeight w:val="320"/>
        </w:trPr>
        <w:tc>
          <w:tcPr>
            <w:tcW w:w="1985" w:type="dxa"/>
            <w:noWrap/>
            <w:hideMark/>
          </w:tcPr>
          <w:p w14:paraId="400A04BD"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Depth</w:t>
            </w:r>
          </w:p>
        </w:tc>
        <w:tc>
          <w:tcPr>
            <w:tcW w:w="1559" w:type="dxa"/>
            <w:noWrap/>
            <w:vAlign w:val="top"/>
            <w:hideMark/>
          </w:tcPr>
          <w:p w14:paraId="5B64A6B8" w14:textId="1716794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c>
          <w:tcPr>
            <w:tcW w:w="1701" w:type="dxa"/>
            <w:noWrap/>
            <w:vAlign w:val="top"/>
            <w:hideMark/>
          </w:tcPr>
          <w:p w14:paraId="3F5CB570" w14:textId="707188C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62A9664C" w14:textId="70A9611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1.31</w:t>
            </w:r>
          </w:p>
        </w:tc>
        <w:tc>
          <w:tcPr>
            <w:tcW w:w="1640" w:type="dxa"/>
            <w:noWrap/>
            <w:vAlign w:val="top"/>
            <w:hideMark/>
          </w:tcPr>
          <w:p w14:paraId="17C65EEF" w14:textId="607A0F5C"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0.19</w:t>
            </w:r>
          </w:p>
        </w:tc>
      </w:tr>
      <w:tr w:rsidR="00C62CA7" w:rsidRPr="00140FE6" w14:paraId="5EE87AD9" w14:textId="77777777" w:rsidTr="00FD1BCE">
        <w:trPr>
          <w:trHeight w:val="320"/>
        </w:trPr>
        <w:tc>
          <w:tcPr>
            <w:tcW w:w="1985" w:type="dxa"/>
            <w:noWrap/>
            <w:hideMark/>
          </w:tcPr>
          <w:p w14:paraId="6F8A3CBD"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Kelp:tide</w:t>
            </w:r>
            <w:proofErr w:type="spellEnd"/>
            <w:proofErr w:type="gramEnd"/>
          </w:p>
        </w:tc>
        <w:tc>
          <w:tcPr>
            <w:tcW w:w="1559" w:type="dxa"/>
            <w:noWrap/>
            <w:vAlign w:val="top"/>
            <w:hideMark/>
          </w:tcPr>
          <w:p w14:paraId="25490191" w14:textId="7B0BFE6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0.29</w:t>
            </w:r>
          </w:p>
        </w:tc>
        <w:tc>
          <w:tcPr>
            <w:tcW w:w="1701" w:type="dxa"/>
            <w:noWrap/>
            <w:vAlign w:val="top"/>
            <w:hideMark/>
          </w:tcPr>
          <w:p w14:paraId="7CCDE885" w14:textId="11937063"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0.08</w:t>
            </w:r>
          </w:p>
        </w:tc>
        <w:tc>
          <w:tcPr>
            <w:tcW w:w="1475" w:type="dxa"/>
            <w:noWrap/>
            <w:vAlign w:val="top"/>
            <w:hideMark/>
          </w:tcPr>
          <w:p w14:paraId="025E3626" w14:textId="42B640E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3.85</w:t>
            </w:r>
          </w:p>
        </w:tc>
        <w:tc>
          <w:tcPr>
            <w:tcW w:w="1640" w:type="dxa"/>
            <w:noWrap/>
            <w:vAlign w:val="top"/>
            <w:hideMark/>
          </w:tcPr>
          <w:p w14:paraId="734FFEA2" w14:textId="2EF4255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8F3C274" w14:textId="77777777" w:rsidTr="00FD1BCE">
        <w:trPr>
          <w:trHeight w:val="320"/>
        </w:trPr>
        <w:tc>
          <w:tcPr>
            <w:tcW w:w="1985" w:type="dxa"/>
            <w:noWrap/>
            <w:hideMark/>
          </w:tcPr>
          <w:p w14:paraId="17BDBA1D"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Kelp:animals</w:t>
            </w:r>
            <w:proofErr w:type="spellEnd"/>
            <w:proofErr w:type="gramEnd"/>
          </w:p>
        </w:tc>
        <w:tc>
          <w:tcPr>
            <w:tcW w:w="1559" w:type="dxa"/>
            <w:noWrap/>
            <w:vAlign w:val="top"/>
            <w:hideMark/>
          </w:tcPr>
          <w:p w14:paraId="6499B7DC" w14:textId="054D328F"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701" w:type="dxa"/>
            <w:noWrap/>
            <w:vAlign w:val="top"/>
            <w:hideMark/>
          </w:tcPr>
          <w:p w14:paraId="782F5E24" w14:textId="7D31834B"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4C3B8882" w14:textId="1FCDF15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-2.08</w:t>
            </w:r>
          </w:p>
        </w:tc>
        <w:tc>
          <w:tcPr>
            <w:tcW w:w="1640" w:type="dxa"/>
            <w:noWrap/>
            <w:vAlign w:val="top"/>
            <w:hideMark/>
          </w:tcPr>
          <w:p w14:paraId="22F0BF9E" w14:textId="1B8671BB"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r>
      <w:tr w:rsidR="00C62CA7" w:rsidRPr="00140FE6" w14:paraId="3B9CE643" w14:textId="77777777" w:rsidTr="00FD1BCE">
        <w:trPr>
          <w:trHeight w:val="320"/>
        </w:trPr>
        <w:tc>
          <w:tcPr>
            <w:tcW w:w="1985" w:type="dxa"/>
            <w:noWrap/>
            <w:hideMark/>
          </w:tcPr>
          <w:p w14:paraId="0A779C82"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Tide:animals</w:t>
            </w:r>
            <w:proofErr w:type="spellEnd"/>
            <w:proofErr w:type="gramEnd"/>
          </w:p>
        </w:tc>
        <w:tc>
          <w:tcPr>
            <w:tcW w:w="1559" w:type="dxa"/>
            <w:noWrap/>
            <w:vAlign w:val="top"/>
            <w:hideMark/>
          </w:tcPr>
          <w:p w14:paraId="29BBDBD4" w14:textId="3205F40F"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-0.13</w:t>
            </w:r>
          </w:p>
        </w:tc>
        <w:tc>
          <w:tcPr>
            <w:tcW w:w="1701" w:type="dxa"/>
            <w:noWrap/>
            <w:vAlign w:val="top"/>
            <w:hideMark/>
          </w:tcPr>
          <w:p w14:paraId="26ED1B20" w14:textId="6279EFD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c>
          <w:tcPr>
            <w:tcW w:w="1475" w:type="dxa"/>
            <w:noWrap/>
            <w:vAlign w:val="top"/>
            <w:hideMark/>
          </w:tcPr>
          <w:p w14:paraId="71365C8F" w14:textId="317F6E9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-3.19</w:t>
            </w:r>
          </w:p>
        </w:tc>
        <w:tc>
          <w:tcPr>
            <w:tcW w:w="1640" w:type="dxa"/>
            <w:noWrap/>
            <w:vAlign w:val="top"/>
            <w:hideMark/>
          </w:tcPr>
          <w:p w14:paraId="4D89D428" w14:textId="4A90626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0.001</w:t>
            </w:r>
          </w:p>
        </w:tc>
      </w:tr>
    </w:tbl>
    <w:p w14:paraId="6E519A9B" w14:textId="77777777" w:rsidR="008F7E10" w:rsidRDefault="008F7E10" w:rsidP="00747EF0">
      <w:pPr>
        <w:spacing w:line="480" w:lineRule="auto"/>
        <w:rPr>
          <w:rFonts w:ascii="Times New Roman" w:hAnsi="Times New Roman" w:cs="Times New Roman"/>
          <w:bCs/>
        </w:rPr>
      </w:pPr>
    </w:p>
    <w:p w14:paraId="246F2ED5" w14:textId="77777777" w:rsidR="00DA1F54" w:rsidRDefault="00DA1F54">
      <w:pPr>
        <w:rPr>
          <w:rFonts w:ascii="Times New Roman" w:hAnsi="Times New Roman" w:cs="Times New Roman"/>
          <w:bCs/>
        </w:rPr>
      </w:pPr>
      <w:r>
        <w:rPr>
          <w:rFonts w:ascii="Times New Roman" w:hAnsi="Times New Roman" w:cs="Times New Roman"/>
          <w:bCs/>
        </w:rPr>
        <w:br w:type="page"/>
      </w:r>
    </w:p>
    <w:p w14:paraId="081AC851" w14:textId="35A43FA8" w:rsidR="008E7C00" w:rsidRDefault="008E7C00" w:rsidP="00747EF0">
      <w:pPr>
        <w:spacing w:line="480" w:lineRule="auto"/>
        <w:rPr>
          <w:rFonts w:ascii="Times New Roman" w:hAnsi="Times New Roman" w:cs="Times New Roman"/>
          <w:bCs/>
        </w:rPr>
      </w:pPr>
      <w:r w:rsidRPr="00DA1F54">
        <w:rPr>
          <w:rFonts w:ascii="Times New Roman" w:hAnsi="Times New Roman" w:cs="Times New Roman"/>
          <w:b/>
        </w:rPr>
        <w:lastRenderedPageBreak/>
        <w:t>Table S1.10</w:t>
      </w:r>
      <w:r w:rsidR="00DA1F54">
        <w:rPr>
          <w:rFonts w:ascii="Times New Roman" w:hAnsi="Times New Roman" w:cs="Times New Roman"/>
          <w:bCs/>
        </w:rPr>
        <w:t>. Summary of the model describing fine-scale ammonium variation between cages with 0, 1, or 2 California sea cucumbers (</w:t>
      </w:r>
      <w:proofErr w:type="spellStart"/>
      <w:r w:rsidR="00DA1F54" w:rsidRPr="00DA1F54">
        <w:rPr>
          <w:rFonts w:ascii="Times New Roman" w:hAnsi="Times New Roman" w:cs="Times New Roman"/>
          <w:bCs/>
          <w:i/>
          <w:iCs/>
        </w:rPr>
        <w:t>Apostichopus</w:t>
      </w:r>
      <w:proofErr w:type="spellEnd"/>
      <w:r w:rsidR="00DA1F54" w:rsidRPr="00DA1F54">
        <w:rPr>
          <w:rFonts w:ascii="Times New Roman" w:hAnsi="Times New Roman" w:cs="Times New Roman"/>
          <w:bCs/>
          <w:i/>
          <w:iCs/>
        </w:rPr>
        <w:t xml:space="preserve"> </w:t>
      </w:r>
      <w:proofErr w:type="spellStart"/>
      <w:r w:rsidR="00DA1F54" w:rsidRPr="00DA1F54">
        <w:rPr>
          <w:rFonts w:ascii="Times New Roman" w:hAnsi="Times New Roman" w:cs="Times New Roman"/>
          <w:bCs/>
          <w:i/>
          <w:iCs/>
        </w:rPr>
        <w:t>californicus</w:t>
      </w:r>
      <w:proofErr w:type="spellEnd"/>
      <w:r w:rsidR="00DA1F54">
        <w:rPr>
          <w:rFonts w:ascii="Times New Roman" w:hAnsi="Times New Roman" w:cs="Times New Roman"/>
          <w:bCs/>
          <w:i/>
          <w:iCs/>
        </w:rPr>
        <w:t>)</w:t>
      </w:r>
      <w:r w:rsidR="00DA1F54">
        <w:rPr>
          <w:rFonts w:ascii="Times New Roman" w:hAnsi="Times New Roman" w:cs="Times New Roman"/>
          <w:bCs/>
        </w:rPr>
        <w:t>.</w:t>
      </w:r>
      <w:r w:rsidR="00F50180">
        <w:rPr>
          <w:rFonts w:ascii="Times New Roman" w:hAnsi="Times New Roman" w:cs="Times New Roman"/>
          <w:bCs/>
        </w:rPr>
        <w:t xml:space="preserve"> </w:t>
      </w:r>
    </w:p>
    <w:tbl>
      <w:tblPr>
        <w:tblStyle w:val="Nikola"/>
        <w:tblW w:w="7274" w:type="dxa"/>
        <w:tblLook w:val="04A0" w:firstRow="1" w:lastRow="0" w:firstColumn="1" w:lastColumn="0" w:noHBand="0" w:noVBand="1"/>
      </w:tblPr>
      <w:tblGrid>
        <w:gridCol w:w="2127"/>
        <w:gridCol w:w="1247"/>
        <w:gridCol w:w="1446"/>
        <w:gridCol w:w="1276"/>
        <w:gridCol w:w="1178"/>
      </w:tblGrid>
      <w:tr w:rsidR="00DA1F54" w:rsidRPr="00DA1F54" w14:paraId="668550FD"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6408A064" w14:textId="77777777" w:rsidR="00DA1F54" w:rsidRPr="00DA1F54" w:rsidRDefault="00DA1F54" w:rsidP="00DA1F54">
            <w:pPr>
              <w:rPr>
                <w:rFonts w:ascii="Times New Roman" w:eastAsia="Times New Roman" w:hAnsi="Times New Roman" w:cs="Times New Roman"/>
              </w:rPr>
            </w:pPr>
          </w:p>
        </w:tc>
        <w:tc>
          <w:tcPr>
            <w:tcW w:w="1247" w:type="dxa"/>
            <w:noWrap/>
            <w:hideMark/>
          </w:tcPr>
          <w:p w14:paraId="39FE0E5F"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Estimate</w:t>
            </w:r>
          </w:p>
        </w:tc>
        <w:tc>
          <w:tcPr>
            <w:tcW w:w="1446" w:type="dxa"/>
            <w:noWrap/>
            <w:hideMark/>
          </w:tcPr>
          <w:p w14:paraId="627A1785" w14:textId="77777777" w:rsidR="00DA1F54" w:rsidRPr="00DA1F54" w:rsidRDefault="00DA1F54" w:rsidP="00213F7E">
            <w:pPr>
              <w:jc w:val="left"/>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Std. error</w:t>
            </w:r>
          </w:p>
        </w:tc>
        <w:tc>
          <w:tcPr>
            <w:tcW w:w="1276" w:type="dxa"/>
            <w:noWrap/>
            <w:hideMark/>
          </w:tcPr>
          <w:p w14:paraId="00E52E53"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z value</w:t>
            </w:r>
          </w:p>
        </w:tc>
        <w:tc>
          <w:tcPr>
            <w:tcW w:w="1178" w:type="dxa"/>
            <w:noWrap/>
            <w:hideMark/>
          </w:tcPr>
          <w:p w14:paraId="732ED3EE"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p value</w:t>
            </w:r>
          </w:p>
        </w:tc>
      </w:tr>
      <w:tr w:rsidR="00DA1F54" w:rsidRPr="00DA1F54" w14:paraId="204DA00D" w14:textId="77777777" w:rsidTr="00213F7E">
        <w:trPr>
          <w:trHeight w:val="320"/>
        </w:trPr>
        <w:tc>
          <w:tcPr>
            <w:tcW w:w="2127" w:type="dxa"/>
            <w:noWrap/>
            <w:hideMark/>
          </w:tcPr>
          <w:p w14:paraId="2380E5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Intercept</w:t>
            </w:r>
          </w:p>
        </w:tc>
        <w:tc>
          <w:tcPr>
            <w:tcW w:w="1247" w:type="dxa"/>
            <w:noWrap/>
            <w:hideMark/>
          </w:tcPr>
          <w:p w14:paraId="22E3206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0.91</w:t>
            </w:r>
          </w:p>
        </w:tc>
        <w:tc>
          <w:tcPr>
            <w:tcW w:w="1446" w:type="dxa"/>
            <w:noWrap/>
            <w:hideMark/>
          </w:tcPr>
          <w:p w14:paraId="7E5F8541"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0.07</w:t>
            </w:r>
          </w:p>
        </w:tc>
        <w:tc>
          <w:tcPr>
            <w:tcW w:w="1276" w:type="dxa"/>
            <w:noWrap/>
            <w:hideMark/>
          </w:tcPr>
          <w:p w14:paraId="31880D6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12.43</w:t>
            </w:r>
          </w:p>
        </w:tc>
        <w:tc>
          <w:tcPr>
            <w:tcW w:w="1178" w:type="dxa"/>
            <w:noWrap/>
            <w:hideMark/>
          </w:tcPr>
          <w:p w14:paraId="4B769C0E"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r w:rsidR="00DA1F54" w:rsidRPr="00DA1F54" w14:paraId="07E05FB6" w14:textId="77777777" w:rsidTr="00213F7E">
        <w:trPr>
          <w:trHeight w:val="320"/>
        </w:trPr>
        <w:tc>
          <w:tcPr>
            <w:tcW w:w="2127" w:type="dxa"/>
            <w:noWrap/>
            <w:hideMark/>
          </w:tcPr>
          <w:p w14:paraId="5D01D9D4" w14:textId="653D4AF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w:t>
            </w:r>
          </w:p>
        </w:tc>
        <w:tc>
          <w:tcPr>
            <w:tcW w:w="1247" w:type="dxa"/>
            <w:noWrap/>
            <w:hideMark/>
          </w:tcPr>
          <w:p w14:paraId="2B0E8251"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0.03</w:t>
            </w:r>
          </w:p>
        </w:tc>
        <w:tc>
          <w:tcPr>
            <w:tcW w:w="1446" w:type="dxa"/>
            <w:noWrap/>
            <w:hideMark/>
          </w:tcPr>
          <w:p w14:paraId="66AA314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2A3107B9"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0.31</w:t>
            </w:r>
          </w:p>
        </w:tc>
        <w:tc>
          <w:tcPr>
            <w:tcW w:w="1178" w:type="dxa"/>
            <w:noWrap/>
            <w:hideMark/>
          </w:tcPr>
          <w:p w14:paraId="36020E03"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0.76</w:t>
            </w:r>
          </w:p>
        </w:tc>
      </w:tr>
      <w:tr w:rsidR="00DA1F54" w:rsidRPr="00DA1F54" w14:paraId="2247CAD9" w14:textId="77777777" w:rsidTr="00213F7E">
        <w:trPr>
          <w:trHeight w:val="320"/>
        </w:trPr>
        <w:tc>
          <w:tcPr>
            <w:tcW w:w="2127" w:type="dxa"/>
            <w:noWrap/>
            <w:hideMark/>
          </w:tcPr>
          <w:p w14:paraId="45C47BB2" w14:textId="0611A9D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sidRPr="00DA1F54">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two</w:t>
            </w:r>
          </w:p>
        </w:tc>
        <w:tc>
          <w:tcPr>
            <w:tcW w:w="1247" w:type="dxa"/>
            <w:noWrap/>
            <w:hideMark/>
          </w:tcPr>
          <w:p w14:paraId="1DCA2672"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0.00</w:t>
            </w:r>
          </w:p>
        </w:tc>
        <w:tc>
          <w:tcPr>
            <w:tcW w:w="1446" w:type="dxa"/>
            <w:noWrap/>
            <w:hideMark/>
          </w:tcPr>
          <w:p w14:paraId="6F31A187"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5E0EA8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0.01</w:t>
            </w:r>
          </w:p>
        </w:tc>
        <w:tc>
          <w:tcPr>
            <w:tcW w:w="1178" w:type="dxa"/>
            <w:noWrap/>
            <w:hideMark/>
          </w:tcPr>
          <w:p w14:paraId="7355165C"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0.99</w:t>
            </w:r>
          </w:p>
        </w:tc>
      </w:tr>
      <w:tr w:rsidR="00DA1F54" w:rsidRPr="00DA1F54" w14:paraId="39A3CD83" w14:textId="77777777" w:rsidTr="00213F7E">
        <w:trPr>
          <w:trHeight w:val="320"/>
        </w:trPr>
        <w:tc>
          <w:tcPr>
            <w:tcW w:w="2127" w:type="dxa"/>
            <w:noWrap/>
            <w:hideMark/>
          </w:tcPr>
          <w:p w14:paraId="373DB13D"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Depth</w:t>
            </w:r>
          </w:p>
        </w:tc>
        <w:tc>
          <w:tcPr>
            <w:tcW w:w="1247" w:type="dxa"/>
            <w:noWrap/>
            <w:hideMark/>
          </w:tcPr>
          <w:p w14:paraId="54C532C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0.38</w:t>
            </w:r>
          </w:p>
        </w:tc>
        <w:tc>
          <w:tcPr>
            <w:tcW w:w="1446" w:type="dxa"/>
            <w:noWrap/>
            <w:hideMark/>
          </w:tcPr>
          <w:p w14:paraId="2C3A9A7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0.05</w:t>
            </w:r>
          </w:p>
        </w:tc>
        <w:tc>
          <w:tcPr>
            <w:tcW w:w="1276" w:type="dxa"/>
            <w:noWrap/>
            <w:hideMark/>
          </w:tcPr>
          <w:p w14:paraId="5F43D530"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8.07</w:t>
            </w:r>
          </w:p>
        </w:tc>
        <w:tc>
          <w:tcPr>
            <w:tcW w:w="1178" w:type="dxa"/>
            <w:noWrap/>
            <w:hideMark/>
          </w:tcPr>
          <w:p w14:paraId="4856811B"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bl>
    <w:p w14:paraId="58C9EBED" w14:textId="77777777" w:rsidR="00DA1F54" w:rsidRPr="00DA1F54" w:rsidRDefault="00DA1F54" w:rsidP="00747EF0">
      <w:pPr>
        <w:spacing w:line="480" w:lineRule="auto"/>
        <w:rPr>
          <w:rFonts w:ascii="Times New Roman" w:hAnsi="Times New Roman" w:cs="Times New Roman"/>
          <w:bCs/>
        </w:rPr>
      </w:pPr>
    </w:p>
    <w:p w14:paraId="4BC97912" w14:textId="313C8F30" w:rsidR="00213F7E" w:rsidRDefault="00213F7E" w:rsidP="00213F7E">
      <w:pPr>
        <w:spacing w:line="480" w:lineRule="auto"/>
        <w:rPr>
          <w:rFonts w:ascii="Times New Roman" w:hAnsi="Times New Roman" w:cs="Times New Roman"/>
          <w:bCs/>
        </w:rPr>
      </w:pPr>
      <w:r>
        <w:rPr>
          <w:rFonts w:ascii="Times New Roman" w:hAnsi="Times New Roman" w:cs="Times New Roman"/>
          <w:b/>
        </w:rPr>
        <w:t xml:space="preserve">Table S1.11. </w:t>
      </w:r>
      <w:r>
        <w:rPr>
          <w:rFonts w:ascii="Times New Roman" w:hAnsi="Times New Roman" w:cs="Times New Roman"/>
          <w:bCs/>
        </w:rPr>
        <w:t>Summary of the model describing fine-scale ammonium variation between cages with zero, medium, or large crabs.</w:t>
      </w:r>
      <w:r w:rsidR="00B12153" w:rsidRPr="00B12153">
        <w:rPr>
          <w:rFonts w:ascii="Times New Roman" w:hAnsi="Times New Roman" w:cs="Times New Roman"/>
          <w:bCs/>
        </w:rPr>
        <w:t xml:space="preserve"> </w:t>
      </w:r>
      <w:r w:rsidR="00B12153" w:rsidRPr="008F7E10">
        <w:rPr>
          <w:rFonts w:ascii="Times New Roman" w:hAnsi="Times New Roman" w:cs="Times New Roman"/>
          <w:bCs/>
        </w:rPr>
        <w:t xml:space="preserve">The </w:t>
      </w:r>
      <w:r w:rsidR="00B12153">
        <w:rPr>
          <w:rFonts w:ascii="Times New Roman" w:hAnsi="Times New Roman" w:cs="Times New Roman"/>
          <w:bCs/>
        </w:rPr>
        <w:t>model was constructed with a</w:t>
      </w:r>
      <w:r w:rsidR="00B12153" w:rsidRPr="008F7E10">
        <w:rPr>
          <w:rFonts w:ascii="Times New Roman" w:hAnsi="Times New Roman" w:cs="Times New Roman"/>
          <w:bCs/>
        </w:rPr>
        <w:t xml:space="preserve"> gamma distribution (link = ‘log’), so coefficients are presented in log space.</w:t>
      </w:r>
    </w:p>
    <w:tbl>
      <w:tblPr>
        <w:tblStyle w:val="Nikola"/>
        <w:tblW w:w="7230" w:type="dxa"/>
        <w:tblLook w:val="04A0" w:firstRow="1" w:lastRow="0" w:firstColumn="1" w:lastColumn="0" w:noHBand="0" w:noVBand="1"/>
      </w:tblPr>
      <w:tblGrid>
        <w:gridCol w:w="2127"/>
        <w:gridCol w:w="1275"/>
        <w:gridCol w:w="1418"/>
        <w:gridCol w:w="1319"/>
        <w:gridCol w:w="1091"/>
      </w:tblGrid>
      <w:tr w:rsidR="00213F7E" w:rsidRPr="00213F7E" w14:paraId="1C8D28B9"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365B85F0" w14:textId="77777777" w:rsidR="00213F7E" w:rsidRPr="00213F7E" w:rsidRDefault="00213F7E">
            <w:pPr>
              <w:rPr>
                <w:rFonts w:ascii="Times New Roman" w:hAnsi="Times New Roman" w:cs="Times New Roman"/>
                <w:b/>
              </w:rPr>
            </w:pPr>
          </w:p>
        </w:tc>
        <w:tc>
          <w:tcPr>
            <w:tcW w:w="1275" w:type="dxa"/>
            <w:noWrap/>
            <w:hideMark/>
          </w:tcPr>
          <w:p w14:paraId="702E2792"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Estimate</w:t>
            </w:r>
          </w:p>
        </w:tc>
        <w:tc>
          <w:tcPr>
            <w:tcW w:w="1418" w:type="dxa"/>
            <w:noWrap/>
            <w:hideMark/>
          </w:tcPr>
          <w:p w14:paraId="35B0EEA5"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Std. error</w:t>
            </w:r>
          </w:p>
        </w:tc>
        <w:tc>
          <w:tcPr>
            <w:tcW w:w="1319" w:type="dxa"/>
            <w:noWrap/>
            <w:hideMark/>
          </w:tcPr>
          <w:p w14:paraId="5FC00B47"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z value</w:t>
            </w:r>
          </w:p>
        </w:tc>
        <w:tc>
          <w:tcPr>
            <w:tcW w:w="1091" w:type="dxa"/>
            <w:noWrap/>
            <w:hideMark/>
          </w:tcPr>
          <w:p w14:paraId="657D8CBD"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p value</w:t>
            </w:r>
          </w:p>
        </w:tc>
      </w:tr>
      <w:tr w:rsidR="00213F7E" w:rsidRPr="00213F7E" w14:paraId="256E5942" w14:textId="77777777" w:rsidTr="00213F7E">
        <w:trPr>
          <w:trHeight w:val="320"/>
        </w:trPr>
        <w:tc>
          <w:tcPr>
            <w:tcW w:w="2127" w:type="dxa"/>
            <w:noWrap/>
            <w:hideMark/>
          </w:tcPr>
          <w:p w14:paraId="6E5FF08F" w14:textId="77777777" w:rsidR="00213F7E" w:rsidRPr="00213F7E" w:rsidRDefault="00213F7E">
            <w:pPr>
              <w:rPr>
                <w:rFonts w:ascii="Times New Roman" w:hAnsi="Times New Roman" w:cs="Times New Roman"/>
                <w:bCs/>
              </w:rPr>
            </w:pPr>
            <w:r w:rsidRPr="00213F7E">
              <w:rPr>
                <w:rFonts w:ascii="Times New Roman" w:hAnsi="Times New Roman" w:cs="Times New Roman"/>
                <w:bCs/>
              </w:rPr>
              <w:t>Intercept</w:t>
            </w:r>
          </w:p>
        </w:tc>
        <w:tc>
          <w:tcPr>
            <w:tcW w:w="1275" w:type="dxa"/>
            <w:noWrap/>
            <w:hideMark/>
          </w:tcPr>
          <w:p w14:paraId="719C965B"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-1.78</w:t>
            </w:r>
          </w:p>
        </w:tc>
        <w:tc>
          <w:tcPr>
            <w:tcW w:w="1418" w:type="dxa"/>
            <w:noWrap/>
            <w:hideMark/>
          </w:tcPr>
          <w:p w14:paraId="1F411D5E"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0.25</w:t>
            </w:r>
          </w:p>
        </w:tc>
        <w:tc>
          <w:tcPr>
            <w:tcW w:w="1319" w:type="dxa"/>
            <w:noWrap/>
            <w:hideMark/>
          </w:tcPr>
          <w:p w14:paraId="20105FD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-7.25</w:t>
            </w:r>
          </w:p>
        </w:tc>
        <w:tc>
          <w:tcPr>
            <w:tcW w:w="1091" w:type="dxa"/>
            <w:noWrap/>
            <w:hideMark/>
          </w:tcPr>
          <w:p w14:paraId="2F387F09"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3783B778" w14:textId="77777777" w:rsidTr="00213F7E">
        <w:trPr>
          <w:trHeight w:val="320"/>
        </w:trPr>
        <w:tc>
          <w:tcPr>
            <w:tcW w:w="2127" w:type="dxa"/>
            <w:noWrap/>
            <w:hideMark/>
          </w:tcPr>
          <w:p w14:paraId="1562FC6A" w14:textId="0F32A49D" w:rsidR="00213F7E" w:rsidRPr="00213F7E" w:rsidRDefault="00213F7E">
            <w:pPr>
              <w:rPr>
                <w:rFonts w:ascii="Times New Roman" w:hAnsi="Times New Roman" w:cs="Times New Roman"/>
                <w:bCs/>
              </w:rPr>
            </w:pPr>
            <w:r>
              <w:rPr>
                <w:rFonts w:ascii="Times New Roman" w:hAnsi="Times New Roman" w:cs="Times New Roman"/>
                <w:bCs/>
              </w:rPr>
              <w:t>Crabs - medium</w:t>
            </w:r>
          </w:p>
        </w:tc>
        <w:tc>
          <w:tcPr>
            <w:tcW w:w="1275" w:type="dxa"/>
            <w:noWrap/>
            <w:hideMark/>
          </w:tcPr>
          <w:p w14:paraId="117A344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2.20</w:t>
            </w:r>
          </w:p>
        </w:tc>
        <w:tc>
          <w:tcPr>
            <w:tcW w:w="1418" w:type="dxa"/>
            <w:noWrap/>
            <w:hideMark/>
          </w:tcPr>
          <w:p w14:paraId="1833F2A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0.26</w:t>
            </w:r>
          </w:p>
        </w:tc>
        <w:tc>
          <w:tcPr>
            <w:tcW w:w="1319" w:type="dxa"/>
            <w:noWrap/>
            <w:hideMark/>
          </w:tcPr>
          <w:p w14:paraId="1BF1350F"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8.48</w:t>
            </w:r>
          </w:p>
        </w:tc>
        <w:tc>
          <w:tcPr>
            <w:tcW w:w="1091" w:type="dxa"/>
            <w:noWrap/>
            <w:hideMark/>
          </w:tcPr>
          <w:p w14:paraId="0F8D3700"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248E44B2" w14:textId="77777777" w:rsidTr="00213F7E">
        <w:trPr>
          <w:trHeight w:val="320"/>
        </w:trPr>
        <w:tc>
          <w:tcPr>
            <w:tcW w:w="2127" w:type="dxa"/>
            <w:noWrap/>
            <w:hideMark/>
          </w:tcPr>
          <w:p w14:paraId="53224079" w14:textId="2E504E74" w:rsidR="00213F7E" w:rsidRPr="00213F7E" w:rsidRDefault="00213F7E" w:rsidP="00213F7E">
            <w:pPr>
              <w:rPr>
                <w:rFonts w:ascii="Times New Roman" w:hAnsi="Times New Roman" w:cs="Times New Roman"/>
                <w:bCs/>
              </w:rPr>
            </w:pPr>
            <w:r>
              <w:rPr>
                <w:rFonts w:ascii="Times New Roman" w:hAnsi="Times New Roman" w:cs="Times New Roman"/>
                <w:bCs/>
              </w:rPr>
              <w:t>Crabs - large</w:t>
            </w:r>
          </w:p>
        </w:tc>
        <w:tc>
          <w:tcPr>
            <w:tcW w:w="1275" w:type="dxa"/>
            <w:noWrap/>
            <w:hideMark/>
          </w:tcPr>
          <w:p w14:paraId="64103F8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2.61</w:t>
            </w:r>
          </w:p>
        </w:tc>
        <w:tc>
          <w:tcPr>
            <w:tcW w:w="1418" w:type="dxa"/>
            <w:noWrap/>
            <w:hideMark/>
          </w:tcPr>
          <w:p w14:paraId="5E628C5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0.27</w:t>
            </w:r>
          </w:p>
        </w:tc>
        <w:tc>
          <w:tcPr>
            <w:tcW w:w="1319" w:type="dxa"/>
            <w:noWrap/>
            <w:hideMark/>
          </w:tcPr>
          <w:p w14:paraId="05ADCA9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9.83</w:t>
            </w:r>
          </w:p>
        </w:tc>
        <w:tc>
          <w:tcPr>
            <w:tcW w:w="1091" w:type="dxa"/>
            <w:noWrap/>
            <w:hideMark/>
          </w:tcPr>
          <w:p w14:paraId="774170B8"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&lt; 0.001</w:t>
            </w:r>
          </w:p>
        </w:tc>
      </w:tr>
    </w:tbl>
    <w:p w14:paraId="0B2F766B" w14:textId="53525EDE" w:rsidR="00336BBE" w:rsidRPr="00861362" w:rsidRDefault="00213F7E" w:rsidP="0036279F">
      <w:pPr>
        <w:rPr>
          <w:rFonts w:ascii="Times New Roman" w:hAnsi="Times New Roman" w:cs="Times New Roman"/>
          <w:b/>
        </w:rPr>
      </w:pPr>
      <w:r w:rsidRPr="00213F7E">
        <w:rPr>
          <w:rFonts w:ascii="Times New Roman" w:hAnsi="Times New Roman" w:cs="Times New Roman"/>
          <w:b/>
        </w:rPr>
        <w:t xml:space="preserve"> </w:t>
      </w:r>
      <w:r w:rsidR="00336BBE"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46AB8930"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w:t>
      </w:r>
      <w:r w:rsidR="00023D8D">
        <w:rPr>
          <w:rFonts w:ascii="Times New Roman" w:hAnsi="Times New Roman" w:cs="Times New Roman"/>
        </w:rPr>
        <w:t>0</w:t>
      </w:r>
      <w:r w:rsidRPr="00861362">
        <w:rPr>
          <w:rFonts w:ascii="Times New Roman" w:hAnsi="Times New Roman" w:cs="Times New Roman"/>
        </w:rPr>
        <w:t>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375BC48F" w:rsidR="00336BBE" w:rsidRPr="00861362" w:rsidRDefault="00820C99" w:rsidP="00336BBE">
      <w:pPr>
        <w:rPr>
          <w:rFonts w:ascii="Times New Roman" w:hAnsi="Times New Roman" w:cs="Times New Roman"/>
          <w:b/>
        </w:rPr>
      </w:pPr>
      <w:r>
        <w:rPr>
          <w:rFonts w:ascii="Times New Roman" w:hAnsi="Times New Roman" w:cs="Times New Roman"/>
          <w:b/>
          <w:noProof/>
        </w:rPr>
        <w:lastRenderedPageBreak/>
        <w:drawing>
          <wp:inline distT="0" distB="0" distL="0" distR="0" wp14:anchorId="59576894" wp14:editId="7D602347">
            <wp:extent cx="5943600" cy="3343275"/>
            <wp:effectExtent l="0" t="0" r="0" b="0"/>
            <wp:docPr id="338756030" name="Picture 10"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6030" name="Picture 10" descr="A graph of different types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3DBACBA2"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Figure S2.</w:t>
      </w:r>
      <w:r w:rsidR="00023D8D">
        <w:rPr>
          <w:rFonts w:ascii="Times New Roman" w:hAnsi="Times New Roman" w:cs="Times New Roman"/>
          <w:b/>
        </w:rPr>
        <w:t>0</w:t>
      </w:r>
      <w:r w:rsidRPr="00861362">
        <w:rPr>
          <w:rFonts w:ascii="Times New Roman" w:hAnsi="Times New Roman" w:cs="Times New Roman"/>
          <w:b/>
        </w:rPr>
        <w:t xml:space="preserve">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4222CD7C"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Table S2.</w:t>
      </w:r>
      <w:r w:rsidR="00023D8D">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1B48AA96"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2EBADDD5" w14:textId="7941BD7A" w:rsidR="00336BBE" w:rsidRPr="00657643" w:rsidRDefault="00657643" w:rsidP="00657643">
      <w:pPr>
        <w:rPr>
          <w:rStyle w:val="gnvwddmdl3b"/>
          <w:rFonts w:ascii="Times New Roman" w:eastAsia="Times New Roman" w:hAnsi="Times New Roman" w:cs="Times New Roman"/>
          <w:color w:val="000000"/>
          <w:kern w:val="0"/>
          <w:sz w:val="18"/>
          <w:szCs w:val="18"/>
          <w:bdr w:val="none" w:sz="0" w:space="0" w:color="auto" w:frame="1"/>
          <w14:ligatures w14:val="none"/>
        </w:rPr>
      </w:pPr>
      <w:r>
        <w:rPr>
          <w:rStyle w:val="gnvwddmdl3b"/>
          <w:rFonts w:ascii="Times New Roman" w:hAnsi="Times New Roman" w:cs="Times New Roman"/>
          <w:color w:val="000000"/>
          <w:sz w:val="18"/>
          <w:szCs w:val="18"/>
          <w:bdr w:val="none" w:sz="0" w:space="0" w:color="auto" w:frame="1"/>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4A6CE20F"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154DC04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3F5C28CE"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23CB8889"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57778B42" w14:textId="1FAFC150" w:rsidR="00336BBE" w:rsidRPr="00657643" w:rsidRDefault="00657643" w:rsidP="00657643">
      <w:pPr>
        <w:rPr>
          <w:rFonts w:ascii="Times New Roman" w:eastAsia="Times New Roman" w:hAnsi="Times New Roman" w:cs="Times New Roman"/>
          <w:color w:val="000000"/>
          <w:kern w:val="0"/>
          <w:sz w:val="18"/>
          <w:szCs w:val="18"/>
          <w14:ligatures w14:val="none"/>
        </w:rPr>
      </w:pPr>
      <w:r>
        <w:rPr>
          <w:rFonts w:ascii="Times New Roman" w:hAnsi="Times New Roman" w:cs="Times New Roman"/>
          <w:color w:val="000000"/>
          <w:sz w:val="18"/>
          <w:szCs w:val="18"/>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5FADCC1D"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t>Within-site (small-scale) variation</w:t>
      </w:r>
    </w:p>
    <w:p w14:paraId="10C172D2" w14:textId="0709B5C1"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00E57366" w:rsidRPr="00E57366">
        <w:rPr>
          <w:rFonts w:ascii="Times New Roman" w:hAnsi="Times New Roman" w:cs="Times New Roman"/>
        </w:rPr>
        <w:t>Hexagrammidae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w:t>
      </w:r>
      <w:proofErr w:type="spellStart"/>
      <w:r w:rsidR="00E57366" w:rsidRPr="00E57366">
        <w:rPr>
          <w:rFonts w:ascii="Times New Roman" w:hAnsi="Times New Roman" w:cs="Times New Roman"/>
        </w:rPr>
        <w:t>Turbinidae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w:t>
      </w:r>
      <w:r w:rsidR="00E57366">
        <w:rPr>
          <w:rFonts w:ascii="Times New Roman" w:hAnsi="Times New Roman" w:cs="Times New Roman"/>
        </w:rPr>
        <w:t>4</w:t>
      </w:r>
      <w:r w:rsidRPr="00861362">
        <w:rPr>
          <w:rFonts w:ascii="Times New Roman" w:hAnsi="Times New Roman" w:cs="Times New Roman"/>
        </w:rPr>
        <w:t>%) of the total biomass observed on the surveys.</w:t>
      </w:r>
    </w:p>
    <w:p w14:paraId="0073C2CE" w14:textId="7836E1A4" w:rsidR="00336BBE" w:rsidRPr="00184450" w:rsidRDefault="00336BBE" w:rsidP="00657643">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w:t>
      </w:r>
      <w:r w:rsidR="004938E4">
        <w:rPr>
          <w:rFonts w:ascii="Times New Roman" w:hAnsi="Times New Roman" w:cs="Times New Roman"/>
        </w:rPr>
        <w:t xml:space="preserve">a </w:t>
      </w:r>
      <w:r w:rsidRPr="00861362">
        <w:rPr>
          <w:rFonts w:ascii="Times New Roman" w:hAnsi="Times New Roman" w:cs="Times New Roman"/>
        </w:rPr>
        <w:t xml:space="preserve">positive </w:t>
      </w:r>
      <w:proofErr w:type="spellStart"/>
      <w:proofErr w:type="gramStart"/>
      <w:r w:rsidRPr="00861362">
        <w:rPr>
          <w:rFonts w:ascii="Times New Roman" w:hAnsi="Times New Roman" w:cs="Times New Roman"/>
        </w:rPr>
        <w:t>tide:goby</w:t>
      </w:r>
      <w:proofErr w:type="spellEnd"/>
      <w:proofErr w:type="gramEnd"/>
      <w:r w:rsidRPr="00861362">
        <w:rPr>
          <w:rFonts w:ascii="Times New Roman" w:hAnsi="Times New Roman" w:cs="Times New Roman"/>
        </w:rPr>
        <w:t xml:space="preserve"> biomass interaction (</w:t>
      </w:r>
      <w:r w:rsidR="004938E4" w:rsidRPr="00861362">
        <w:rPr>
          <w:rFonts w:ascii="Times New Roman" w:hAnsi="Times New Roman" w:cs="Times New Roman"/>
        </w:rPr>
        <w:t>LMM</w:t>
      </w:r>
      <w:r w:rsidRPr="00861362">
        <w:rPr>
          <w:rFonts w:ascii="Times New Roman" w:hAnsi="Times New Roman" w:cs="Times New Roman"/>
        </w:rPr>
        <w:t>, p &lt; 0.00</w:t>
      </w:r>
      <w:r w:rsidR="00E57366">
        <w:rPr>
          <w:rFonts w:ascii="Times New Roman" w:hAnsi="Times New Roman" w:cs="Times New Roman"/>
        </w:rPr>
        <w:t>1</w:t>
      </w:r>
      <w:r w:rsidRPr="00861362">
        <w:rPr>
          <w:rFonts w:ascii="Times New Roman" w:hAnsi="Times New Roman" w:cs="Times New Roman"/>
        </w:rPr>
        <w:t>, Fig. S2.</w:t>
      </w:r>
      <w:r w:rsidR="00023D8D">
        <w:rPr>
          <w:rFonts w:ascii="Times New Roman" w:hAnsi="Times New Roman" w:cs="Times New Roman"/>
        </w:rPr>
        <w:t>0</w:t>
      </w:r>
      <w:r w:rsidRPr="00861362">
        <w:rPr>
          <w:rFonts w:ascii="Times New Roman" w:hAnsi="Times New Roman" w:cs="Times New Roman"/>
        </w:rPr>
        <w:t xml:space="preserve">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w:t>
      </w:r>
      <w:r w:rsidR="00E57366">
        <w:rPr>
          <w:rFonts w:ascii="Times New Roman" w:hAnsi="Times New Roman" w:cs="Times New Roman"/>
        </w:rPr>
        <w:t>3</w:t>
      </w:r>
      <w:r w:rsidRPr="00861362">
        <w:rPr>
          <w:rFonts w:ascii="Times New Roman" w:hAnsi="Times New Roman" w:cs="Times New Roman"/>
        </w:rPr>
        <w:t xml:space="preserve">) and </w:t>
      </w:r>
      <w:r w:rsidR="00E57366">
        <w:rPr>
          <w:rFonts w:ascii="Times New Roman" w:hAnsi="Times New Roman" w:cs="Times New Roman"/>
        </w:rPr>
        <w:t>greenlings</w:t>
      </w:r>
      <w:r w:rsidRPr="00861362">
        <w:rPr>
          <w:rFonts w:ascii="Times New Roman" w:hAnsi="Times New Roman" w:cs="Times New Roman"/>
        </w:rPr>
        <w:t xml:space="preserve"> (</w:t>
      </w:r>
      <w:proofErr w:type="spellStart"/>
      <w:r w:rsidR="00E57366" w:rsidRPr="00E57366">
        <w:rPr>
          <w:rFonts w:ascii="Times New Roman" w:hAnsi="Times New Roman" w:cs="Times New Roman"/>
        </w:rPr>
        <w:t>Hexagrammidae</w:t>
      </w:r>
      <w:proofErr w:type="spellEnd"/>
      <w:r w:rsidRPr="00861362">
        <w:rPr>
          <w:rFonts w:ascii="Times New Roman" w:hAnsi="Times New Roman" w:cs="Times New Roman"/>
        </w:rPr>
        <w:t xml:space="preserve">; p </w:t>
      </w:r>
      <w:r w:rsidR="00E57366">
        <w:rPr>
          <w:rFonts w:ascii="Times New Roman" w:hAnsi="Times New Roman" w:cs="Times New Roman"/>
        </w:rPr>
        <w:t>&lt;</w:t>
      </w:r>
      <w:r w:rsidRPr="00861362">
        <w:rPr>
          <w:rFonts w:ascii="Times New Roman" w:hAnsi="Times New Roman" w:cs="Times New Roman"/>
        </w:rPr>
        <w:t xml:space="preserve"> 0.00</w:t>
      </w:r>
      <w:r w:rsidR="00E57366">
        <w:rPr>
          <w:rFonts w:ascii="Times New Roman" w:hAnsi="Times New Roman" w:cs="Times New Roman"/>
        </w:rPr>
        <w:t>1</w:t>
      </w:r>
      <w:r w:rsidRPr="00861362">
        <w:rPr>
          <w:rFonts w:ascii="Times New Roman" w:hAnsi="Times New Roman" w:cs="Times New Roman"/>
        </w:rPr>
        <w:t>), but no interactions with biomass were significant (p &gt; 0.</w:t>
      </w:r>
      <w:r w:rsidR="00E57366">
        <w:rPr>
          <w:rFonts w:ascii="Times New Roman" w:hAnsi="Times New Roman" w:cs="Times New Roman"/>
        </w:rPr>
        <w:t>32</w:t>
      </w:r>
      <w:r w:rsidRPr="00861362">
        <w:rPr>
          <w:rFonts w:ascii="Times New Roman" w:hAnsi="Times New Roman" w:cs="Times New Roman"/>
        </w:rPr>
        <w:t xml:space="preserve">).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w:t>
      </w:r>
      <w:r w:rsidR="00E57366">
        <w:rPr>
          <w:rFonts w:ascii="Times New Roman" w:hAnsi="Times New Roman" w:cs="Times New Roman"/>
          <w:color w:val="000000"/>
        </w:rPr>
        <w:t>1</w:t>
      </w:r>
      <w:r w:rsidRPr="00861362">
        <w:rPr>
          <w:rFonts w:ascii="Times New Roman" w:hAnsi="Times New Roman" w:cs="Times New Roman"/>
          <w:color w:val="000000"/>
        </w:rPr>
        <w:t xml:space="preserve">).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w:t>
      </w:r>
      <w:r w:rsidR="00E57366">
        <w:rPr>
          <w:rFonts w:ascii="Times New Roman" w:hAnsi="Times New Roman" w:cs="Times New Roman"/>
          <w:color w:val="000000"/>
        </w:rPr>
        <w:t>snails</w:t>
      </w:r>
      <w:r w:rsidRPr="00861362">
        <w:rPr>
          <w:rFonts w:ascii="Times New Roman" w:hAnsi="Times New Roman" w:cs="Times New Roman"/>
          <w:color w:val="000000"/>
        </w:rPr>
        <w:t xml:space="preserve"> in the family </w:t>
      </w:r>
      <w:proofErr w:type="spellStart"/>
      <w:r w:rsidR="00E57366" w:rsidRPr="00E57366">
        <w:rPr>
          <w:rFonts w:ascii="Times New Roman" w:hAnsi="Times New Roman" w:cs="Times New Roman"/>
          <w:color w:val="000000"/>
        </w:rPr>
        <w:t>Turbinidae</w:t>
      </w:r>
      <w:proofErr w:type="spellEnd"/>
      <w:r w:rsidR="00E57366" w:rsidRPr="00E57366">
        <w:rPr>
          <w:rFonts w:ascii="Times New Roman" w:hAnsi="Times New Roman" w:cs="Times New Roman"/>
          <w:color w:val="000000"/>
        </w:rPr>
        <w:t xml:space="preserve"> </w:t>
      </w:r>
      <w:r w:rsidRPr="00861362">
        <w:rPr>
          <w:rFonts w:ascii="Times New Roman" w:hAnsi="Times New Roman" w:cs="Times New Roman"/>
          <w:color w:val="000000"/>
        </w:rPr>
        <w:t>and ∆NH₄⁺ (p &lt; 0.0</w:t>
      </w:r>
      <w:r w:rsidR="00E57366">
        <w:rPr>
          <w:rFonts w:ascii="Times New Roman" w:hAnsi="Times New Roman" w:cs="Times New Roman"/>
          <w:color w:val="000000"/>
        </w:rPr>
        <w:t>2</w:t>
      </w:r>
      <w:r w:rsidRPr="00861362">
        <w:rPr>
          <w:rFonts w:ascii="Times New Roman" w:hAnsi="Times New Roman" w:cs="Times New Roman"/>
          <w:color w:val="000000"/>
        </w:rPr>
        <w:t>), but no interactions with biomass were significant (p &gt; 0.</w:t>
      </w:r>
      <w:r w:rsidR="00E57366">
        <w:rPr>
          <w:rFonts w:ascii="Times New Roman" w:hAnsi="Times New Roman" w:cs="Times New Roman"/>
          <w:color w:val="000000"/>
        </w:rPr>
        <w:t>26</w:t>
      </w:r>
      <w:r w:rsidRPr="00861362">
        <w:rPr>
          <w:rFonts w:ascii="Times New Roman" w:hAnsi="Times New Roman" w:cs="Times New Roman"/>
          <w:color w:val="000000"/>
        </w:rPr>
        <w:t>).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2.</w:t>
      </w:r>
    </w:p>
    <w:p w14:paraId="7404F90D" w14:textId="756F9AA8" w:rsidR="00336BBE" w:rsidRPr="00184450" w:rsidRDefault="004938E4" w:rsidP="00336BBE">
      <w:pPr>
        <w:rPr>
          <w:rFonts w:ascii="Times New Roman" w:hAnsi="Times New Roman" w:cs="Times New Roman"/>
        </w:rPr>
      </w:pPr>
      <w:r>
        <w:rPr>
          <w:rFonts w:ascii="Times New Roman" w:hAnsi="Times New Roman" w:cs="Times New Roman"/>
          <w:noProof/>
        </w:rPr>
        <w:lastRenderedPageBreak/>
        <w:drawing>
          <wp:inline distT="0" distB="0" distL="0" distR="0" wp14:anchorId="0736ADCD" wp14:editId="231F0519">
            <wp:extent cx="5943600" cy="3343275"/>
            <wp:effectExtent l="0" t="0" r="0" b="0"/>
            <wp:docPr id="1974586092" name="Picture 5" descr="A graph of different types of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6092" name="Picture 5" descr="A graph of different types of ma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6910C0C8" w:rsidR="00336BBE" w:rsidRPr="00184450" w:rsidRDefault="00336BBE" w:rsidP="00657643">
      <w:pPr>
        <w:spacing w:line="480" w:lineRule="auto"/>
        <w:rPr>
          <w:rFonts w:ascii="Times New Roman" w:hAnsi="Times New Roman" w:cs="Times New Roman"/>
        </w:rPr>
      </w:pPr>
      <w:r w:rsidRPr="00184450">
        <w:rPr>
          <w:rFonts w:ascii="Times New Roman" w:hAnsi="Times New Roman" w:cs="Times New Roman"/>
          <w:b/>
        </w:rPr>
        <w:t>Figure S2.</w:t>
      </w:r>
      <w:r w:rsidR="00023D8D">
        <w:rPr>
          <w:rFonts w:ascii="Times New Roman" w:hAnsi="Times New Roman" w:cs="Times New Roman"/>
          <w:b/>
        </w:rPr>
        <w:t>0</w:t>
      </w:r>
      <w:r w:rsidRPr="00184450">
        <w:rPr>
          <w:rFonts w:ascii="Times New Roman" w:hAnsi="Times New Roman" w:cs="Times New Roman"/>
          <w:b/>
        </w:rPr>
        <w:t xml:space="preserve">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657643">
      <w:pPr>
        <w:spacing w:line="480" w:lineRule="auto"/>
        <w:rPr>
          <w:rFonts w:ascii="Times New Roman" w:hAnsi="Times New Roman" w:cs="Times New Roman"/>
          <w:b/>
        </w:rPr>
      </w:pPr>
    </w:p>
    <w:p w14:paraId="45CD459E" w14:textId="77777777" w:rsidR="00657643" w:rsidRDefault="00657643">
      <w:pPr>
        <w:rPr>
          <w:rFonts w:ascii="Times New Roman" w:hAnsi="Times New Roman" w:cs="Times New Roman"/>
          <w:b/>
        </w:rPr>
      </w:pPr>
      <w:r>
        <w:rPr>
          <w:rFonts w:ascii="Times New Roman" w:hAnsi="Times New Roman" w:cs="Times New Roman"/>
          <w:b/>
        </w:rPr>
        <w:br w:type="page"/>
      </w:r>
    </w:p>
    <w:p w14:paraId="23F04157" w14:textId="42C0B689" w:rsidR="00336BBE" w:rsidRPr="004938E4" w:rsidRDefault="00336BBE" w:rsidP="00657643">
      <w:pPr>
        <w:spacing w:line="480" w:lineRule="auto"/>
        <w:rPr>
          <w:rFonts w:ascii="Times New Roman" w:hAnsi="Times New Roman" w:cs="Times New Roman"/>
          <w:b/>
        </w:rPr>
      </w:pPr>
      <w:r w:rsidRPr="004938E4">
        <w:rPr>
          <w:rFonts w:ascii="Times New Roman" w:hAnsi="Times New Roman" w:cs="Times New Roman"/>
          <w:b/>
        </w:rPr>
        <w:lastRenderedPageBreak/>
        <w:t>Table S2.</w:t>
      </w:r>
      <w:r w:rsidR="00023D8D" w:rsidRPr="004938E4">
        <w:rPr>
          <w:rFonts w:ascii="Times New Roman" w:hAnsi="Times New Roman" w:cs="Times New Roman"/>
          <w:b/>
        </w:rPr>
        <w:t>0</w:t>
      </w:r>
      <w:r w:rsidRPr="004938E4">
        <w:rPr>
          <w:rFonts w:ascii="Times New Roman" w:hAnsi="Times New Roman" w:cs="Times New Roman"/>
          <w:b/>
        </w:rPr>
        <w:t>2.</w:t>
      </w:r>
      <w:r w:rsidRPr="004938E4">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4938E4" w:rsidRDefault="00336BBE" w:rsidP="00336BBE">
      <w:pPr>
        <w:pStyle w:val="HTMLPreformatted"/>
        <w:shd w:val="clear" w:color="auto" w:fill="FFFFFF"/>
        <w:wordWrap w:val="0"/>
        <w:rPr>
          <w:rFonts w:ascii="Times New Roman" w:hAnsi="Times New Roman" w:cs="Times New Roman"/>
          <w:color w:val="000000"/>
          <w:sz w:val="24"/>
          <w:szCs w:val="24"/>
          <w:u w:val="single"/>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3CEDF110"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282CF3A9"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Echinasteridae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w:t>
            </w:r>
            <w:r w:rsidR="004938E4" w:rsidRPr="004938E4">
              <w:rPr>
                <w:rFonts w:ascii="Times New Roman" w:hAnsi="Times New Roman" w:cs="Times New Roman"/>
              </w:rPr>
              <w:t>6</w:t>
            </w:r>
            <w:r w:rsidRPr="004938E4">
              <w:rPr>
                <w:rFonts w:ascii="Times New Roman" w:hAnsi="Times New Roman" w:cs="Times New Roman"/>
              </w:rPr>
              <w:t>)</w:t>
            </w:r>
          </w:p>
        </w:tc>
        <w:tc>
          <w:tcPr>
            <w:tcW w:w="1247" w:type="dxa"/>
            <w:noWrap/>
            <w:hideMark/>
          </w:tcPr>
          <w:p w14:paraId="297A5C06"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56291AC9"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01F56B3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3F1FAAF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527B520D" w14:textId="77777777" w:rsidTr="004938E4">
        <w:trPr>
          <w:trHeight w:val="320"/>
        </w:trPr>
        <w:tc>
          <w:tcPr>
            <w:tcW w:w="3686" w:type="dxa"/>
            <w:noWrap/>
            <w:hideMark/>
          </w:tcPr>
          <w:p w14:paraId="0F45D9EB"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top"/>
            <w:hideMark/>
          </w:tcPr>
          <w:p w14:paraId="05C5BD74" w14:textId="2AA907C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2.59</w:t>
            </w:r>
          </w:p>
        </w:tc>
        <w:tc>
          <w:tcPr>
            <w:tcW w:w="1507" w:type="dxa"/>
            <w:noWrap/>
            <w:vAlign w:val="top"/>
            <w:hideMark/>
          </w:tcPr>
          <w:p w14:paraId="0E01BDA5" w14:textId="5448FF0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0.93</w:t>
            </w:r>
          </w:p>
        </w:tc>
        <w:tc>
          <w:tcPr>
            <w:tcW w:w="1093" w:type="dxa"/>
            <w:noWrap/>
            <w:vAlign w:val="top"/>
            <w:hideMark/>
          </w:tcPr>
          <w:p w14:paraId="73D526C0" w14:textId="2BF6FAE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2.79</w:t>
            </w:r>
          </w:p>
        </w:tc>
        <w:tc>
          <w:tcPr>
            <w:tcW w:w="1300" w:type="dxa"/>
            <w:noWrap/>
            <w:vAlign w:val="top"/>
            <w:hideMark/>
          </w:tcPr>
          <w:p w14:paraId="533C7C59" w14:textId="4404CD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0.01</w:t>
            </w:r>
          </w:p>
        </w:tc>
      </w:tr>
      <w:tr w:rsidR="004938E4" w:rsidRPr="004938E4" w14:paraId="1146D5A6" w14:textId="77777777" w:rsidTr="004938E4">
        <w:trPr>
          <w:trHeight w:val="320"/>
        </w:trPr>
        <w:tc>
          <w:tcPr>
            <w:tcW w:w="3686" w:type="dxa"/>
            <w:noWrap/>
            <w:hideMark/>
          </w:tcPr>
          <w:p w14:paraId="60078FE4" w14:textId="7A5D18B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top"/>
            <w:hideMark/>
          </w:tcPr>
          <w:p w14:paraId="1D280F7F" w14:textId="57C4C89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0.26</w:t>
            </w:r>
          </w:p>
        </w:tc>
        <w:tc>
          <w:tcPr>
            <w:tcW w:w="1507" w:type="dxa"/>
            <w:noWrap/>
            <w:vAlign w:val="top"/>
            <w:hideMark/>
          </w:tcPr>
          <w:p w14:paraId="24E743AB" w14:textId="208444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0.05</w:t>
            </w:r>
          </w:p>
        </w:tc>
        <w:tc>
          <w:tcPr>
            <w:tcW w:w="1093" w:type="dxa"/>
            <w:noWrap/>
            <w:vAlign w:val="top"/>
            <w:hideMark/>
          </w:tcPr>
          <w:p w14:paraId="571BCA5E" w14:textId="07CD14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5.52</w:t>
            </w:r>
          </w:p>
        </w:tc>
        <w:tc>
          <w:tcPr>
            <w:tcW w:w="1300" w:type="dxa"/>
            <w:noWrap/>
            <w:vAlign w:val="top"/>
            <w:hideMark/>
          </w:tcPr>
          <w:p w14:paraId="602F4A6B" w14:textId="67FE756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3E6FC0ED" w14:textId="77777777" w:rsidTr="004938E4">
        <w:trPr>
          <w:trHeight w:val="320"/>
        </w:trPr>
        <w:tc>
          <w:tcPr>
            <w:tcW w:w="3686" w:type="dxa"/>
            <w:noWrap/>
            <w:hideMark/>
          </w:tcPr>
          <w:p w14:paraId="657EEE8F" w14:textId="5B251F3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top"/>
            <w:hideMark/>
          </w:tcPr>
          <w:p w14:paraId="5192D910" w14:textId="0A85A40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-0.06</w:t>
            </w:r>
          </w:p>
        </w:tc>
        <w:tc>
          <w:tcPr>
            <w:tcW w:w="1507" w:type="dxa"/>
            <w:noWrap/>
            <w:vAlign w:val="top"/>
            <w:hideMark/>
          </w:tcPr>
          <w:p w14:paraId="099E10FC" w14:textId="1DCAFCE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0.09</w:t>
            </w:r>
          </w:p>
        </w:tc>
        <w:tc>
          <w:tcPr>
            <w:tcW w:w="1093" w:type="dxa"/>
            <w:noWrap/>
            <w:vAlign w:val="top"/>
            <w:hideMark/>
          </w:tcPr>
          <w:p w14:paraId="0FFE42AE" w14:textId="49B20FD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-0.60</w:t>
            </w:r>
          </w:p>
        </w:tc>
        <w:tc>
          <w:tcPr>
            <w:tcW w:w="1300" w:type="dxa"/>
            <w:noWrap/>
            <w:vAlign w:val="top"/>
            <w:hideMark/>
          </w:tcPr>
          <w:p w14:paraId="2850CA5B" w14:textId="2EF9BDF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0.55</w:t>
            </w:r>
          </w:p>
        </w:tc>
      </w:tr>
      <w:tr w:rsidR="004938E4" w:rsidRPr="004938E4" w14:paraId="6EEC6EEC" w14:textId="77777777" w:rsidTr="004938E4">
        <w:trPr>
          <w:trHeight w:val="320"/>
        </w:trPr>
        <w:tc>
          <w:tcPr>
            <w:tcW w:w="3686" w:type="dxa"/>
            <w:noWrap/>
            <w:hideMark/>
          </w:tcPr>
          <w:p w14:paraId="604922F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top"/>
            <w:hideMark/>
          </w:tcPr>
          <w:p w14:paraId="70CEE931" w14:textId="0DC5169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-3.47</w:t>
            </w:r>
          </w:p>
        </w:tc>
        <w:tc>
          <w:tcPr>
            <w:tcW w:w="1507" w:type="dxa"/>
            <w:noWrap/>
            <w:vAlign w:val="top"/>
            <w:hideMark/>
          </w:tcPr>
          <w:p w14:paraId="4CD4F4FC" w14:textId="6146469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1.21</w:t>
            </w:r>
          </w:p>
        </w:tc>
        <w:tc>
          <w:tcPr>
            <w:tcW w:w="1093" w:type="dxa"/>
            <w:noWrap/>
            <w:vAlign w:val="top"/>
            <w:hideMark/>
          </w:tcPr>
          <w:p w14:paraId="20C74EE0" w14:textId="68528E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-2.87</w:t>
            </w:r>
          </w:p>
        </w:tc>
        <w:tc>
          <w:tcPr>
            <w:tcW w:w="1300" w:type="dxa"/>
            <w:noWrap/>
            <w:vAlign w:val="top"/>
            <w:hideMark/>
          </w:tcPr>
          <w:p w14:paraId="1929AD5C" w14:textId="1438D1A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0.004</w:t>
            </w:r>
          </w:p>
        </w:tc>
      </w:tr>
      <w:tr w:rsidR="004938E4" w:rsidRPr="004938E4" w14:paraId="078F4F80" w14:textId="77777777" w:rsidTr="004938E4">
        <w:trPr>
          <w:trHeight w:val="320"/>
        </w:trPr>
        <w:tc>
          <w:tcPr>
            <w:tcW w:w="3686" w:type="dxa"/>
            <w:noWrap/>
            <w:hideMark/>
          </w:tcPr>
          <w:p w14:paraId="7F683F0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top"/>
            <w:hideMark/>
          </w:tcPr>
          <w:p w14:paraId="5D46F3F1" w14:textId="3373F6E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3.06</w:t>
            </w:r>
          </w:p>
        </w:tc>
        <w:tc>
          <w:tcPr>
            <w:tcW w:w="1507" w:type="dxa"/>
            <w:noWrap/>
            <w:vAlign w:val="top"/>
            <w:hideMark/>
          </w:tcPr>
          <w:p w14:paraId="06093CE5" w14:textId="74E6E8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1.02</w:t>
            </w:r>
          </w:p>
        </w:tc>
        <w:tc>
          <w:tcPr>
            <w:tcW w:w="1093" w:type="dxa"/>
            <w:noWrap/>
            <w:vAlign w:val="top"/>
            <w:hideMark/>
          </w:tcPr>
          <w:p w14:paraId="2B71D697" w14:textId="49A1C29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3.01</w:t>
            </w:r>
          </w:p>
        </w:tc>
        <w:tc>
          <w:tcPr>
            <w:tcW w:w="1300" w:type="dxa"/>
            <w:noWrap/>
            <w:vAlign w:val="top"/>
            <w:hideMark/>
          </w:tcPr>
          <w:p w14:paraId="49421793" w14:textId="3DD6A0F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0.003</w:t>
            </w:r>
          </w:p>
        </w:tc>
      </w:tr>
      <w:tr w:rsidR="004938E4" w:rsidRPr="004938E4" w14:paraId="0DCD3200" w14:textId="77777777" w:rsidTr="004938E4">
        <w:trPr>
          <w:trHeight w:val="320"/>
        </w:trPr>
        <w:tc>
          <w:tcPr>
            <w:tcW w:w="3686" w:type="dxa"/>
            <w:noWrap/>
            <w:hideMark/>
          </w:tcPr>
          <w:p w14:paraId="1FE9A6F6"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top"/>
            <w:hideMark/>
          </w:tcPr>
          <w:p w14:paraId="61B6ED74" w14:textId="3404FB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5.87</w:t>
            </w:r>
          </w:p>
        </w:tc>
        <w:tc>
          <w:tcPr>
            <w:tcW w:w="1507" w:type="dxa"/>
            <w:noWrap/>
            <w:vAlign w:val="top"/>
            <w:hideMark/>
          </w:tcPr>
          <w:p w14:paraId="41C05CEC" w14:textId="7F84E23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2.19</w:t>
            </w:r>
          </w:p>
        </w:tc>
        <w:tc>
          <w:tcPr>
            <w:tcW w:w="1093" w:type="dxa"/>
            <w:noWrap/>
            <w:vAlign w:val="top"/>
            <w:hideMark/>
          </w:tcPr>
          <w:p w14:paraId="0BB9A527" w14:textId="6A89216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2.68</w:t>
            </w:r>
          </w:p>
        </w:tc>
        <w:tc>
          <w:tcPr>
            <w:tcW w:w="1300" w:type="dxa"/>
            <w:noWrap/>
            <w:vAlign w:val="top"/>
            <w:hideMark/>
          </w:tcPr>
          <w:p w14:paraId="6C016D5B" w14:textId="0B209E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0.01</w:t>
            </w:r>
          </w:p>
        </w:tc>
      </w:tr>
      <w:tr w:rsidR="004938E4" w:rsidRPr="004938E4" w14:paraId="08D1CF65" w14:textId="77777777" w:rsidTr="004938E4">
        <w:trPr>
          <w:trHeight w:val="320"/>
        </w:trPr>
        <w:tc>
          <w:tcPr>
            <w:tcW w:w="3686" w:type="dxa"/>
            <w:noWrap/>
            <w:hideMark/>
          </w:tcPr>
          <w:p w14:paraId="1403D9BB"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top"/>
            <w:hideMark/>
          </w:tcPr>
          <w:p w14:paraId="72C4A975" w14:textId="2C633B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-0.09</w:t>
            </w:r>
          </w:p>
        </w:tc>
        <w:tc>
          <w:tcPr>
            <w:tcW w:w="1507" w:type="dxa"/>
            <w:noWrap/>
            <w:vAlign w:val="top"/>
            <w:hideMark/>
          </w:tcPr>
          <w:p w14:paraId="7DA5D520" w14:textId="0978A7D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0.03</w:t>
            </w:r>
          </w:p>
        </w:tc>
        <w:tc>
          <w:tcPr>
            <w:tcW w:w="1093" w:type="dxa"/>
            <w:noWrap/>
            <w:vAlign w:val="top"/>
            <w:hideMark/>
          </w:tcPr>
          <w:p w14:paraId="5DEE34EB" w14:textId="1A15A82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-3.41</w:t>
            </w:r>
          </w:p>
        </w:tc>
        <w:tc>
          <w:tcPr>
            <w:tcW w:w="1300" w:type="dxa"/>
            <w:noWrap/>
            <w:vAlign w:val="top"/>
            <w:hideMark/>
          </w:tcPr>
          <w:p w14:paraId="167104CC" w14:textId="33DAAF3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4A9C74D7" w14:textId="77777777" w:rsidTr="004938E4">
        <w:trPr>
          <w:trHeight w:val="320"/>
        </w:trPr>
        <w:tc>
          <w:tcPr>
            <w:tcW w:w="3686" w:type="dxa"/>
            <w:noWrap/>
            <w:hideMark/>
          </w:tcPr>
          <w:p w14:paraId="740DFB8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top"/>
            <w:hideMark/>
          </w:tcPr>
          <w:p w14:paraId="57775FD4" w14:textId="696392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0.03</w:t>
            </w:r>
          </w:p>
        </w:tc>
        <w:tc>
          <w:tcPr>
            <w:tcW w:w="1507" w:type="dxa"/>
            <w:noWrap/>
            <w:vAlign w:val="top"/>
            <w:hideMark/>
          </w:tcPr>
          <w:p w14:paraId="19A4368A" w14:textId="456AAD9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0.02</w:t>
            </w:r>
          </w:p>
        </w:tc>
        <w:tc>
          <w:tcPr>
            <w:tcW w:w="1093" w:type="dxa"/>
            <w:noWrap/>
            <w:vAlign w:val="top"/>
            <w:hideMark/>
          </w:tcPr>
          <w:p w14:paraId="4BCCFC89" w14:textId="32BE5C7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1.02</w:t>
            </w:r>
          </w:p>
        </w:tc>
        <w:tc>
          <w:tcPr>
            <w:tcW w:w="1300" w:type="dxa"/>
            <w:noWrap/>
            <w:vAlign w:val="top"/>
            <w:hideMark/>
          </w:tcPr>
          <w:p w14:paraId="1200FAA6" w14:textId="69C1B61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0.31</w:t>
            </w:r>
          </w:p>
        </w:tc>
      </w:tr>
      <w:tr w:rsidR="004938E4" w:rsidRPr="004938E4" w14:paraId="6BFE57D2" w14:textId="77777777" w:rsidTr="004938E4">
        <w:trPr>
          <w:trHeight w:val="320"/>
        </w:trPr>
        <w:tc>
          <w:tcPr>
            <w:tcW w:w="3686" w:type="dxa"/>
            <w:noWrap/>
            <w:hideMark/>
          </w:tcPr>
          <w:p w14:paraId="6F3B4155"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top"/>
            <w:hideMark/>
          </w:tcPr>
          <w:p w14:paraId="4F4642EE" w14:textId="24D4269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0.20</w:t>
            </w:r>
          </w:p>
        </w:tc>
        <w:tc>
          <w:tcPr>
            <w:tcW w:w="1507" w:type="dxa"/>
            <w:noWrap/>
            <w:vAlign w:val="top"/>
            <w:hideMark/>
          </w:tcPr>
          <w:p w14:paraId="55827143" w14:textId="74CB156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0.05</w:t>
            </w:r>
          </w:p>
        </w:tc>
        <w:tc>
          <w:tcPr>
            <w:tcW w:w="1093" w:type="dxa"/>
            <w:noWrap/>
            <w:vAlign w:val="top"/>
            <w:hideMark/>
          </w:tcPr>
          <w:p w14:paraId="083FF827" w14:textId="69CD6EF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3.91</w:t>
            </w:r>
          </w:p>
        </w:tc>
        <w:tc>
          <w:tcPr>
            <w:tcW w:w="1300" w:type="dxa"/>
            <w:noWrap/>
            <w:vAlign w:val="top"/>
            <w:hideMark/>
          </w:tcPr>
          <w:p w14:paraId="191F975C" w14:textId="2D08EDD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5D1E94EB" w14:textId="77777777" w:rsidTr="004938E4">
        <w:trPr>
          <w:trHeight w:val="320"/>
        </w:trPr>
        <w:tc>
          <w:tcPr>
            <w:tcW w:w="3686" w:type="dxa"/>
            <w:noWrap/>
            <w:hideMark/>
          </w:tcPr>
          <w:p w14:paraId="177C04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top"/>
            <w:hideMark/>
          </w:tcPr>
          <w:p w14:paraId="0BBFF4A6" w14:textId="616D2BB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-9.20</w:t>
            </w:r>
          </w:p>
        </w:tc>
        <w:tc>
          <w:tcPr>
            <w:tcW w:w="1507" w:type="dxa"/>
            <w:noWrap/>
            <w:vAlign w:val="top"/>
            <w:hideMark/>
          </w:tcPr>
          <w:p w14:paraId="5E1932C2" w14:textId="3FEDB7E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2.92</w:t>
            </w:r>
          </w:p>
        </w:tc>
        <w:tc>
          <w:tcPr>
            <w:tcW w:w="1093" w:type="dxa"/>
            <w:noWrap/>
            <w:vAlign w:val="top"/>
            <w:hideMark/>
          </w:tcPr>
          <w:p w14:paraId="07BD2DFF" w14:textId="16BC5E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-3.15</w:t>
            </w:r>
          </w:p>
        </w:tc>
        <w:tc>
          <w:tcPr>
            <w:tcW w:w="1300" w:type="dxa"/>
            <w:noWrap/>
            <w:vAlign w:val="top"/>
            <w:hideMark/>
          </w:tcPr>
          <w:p w14:paraId="7F9A4A3A" w14:textId="07756F6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0.002</w:t>
            </w:r>
          </w:p>
        </w:tc>
      </w:tr>
      <w:tr w:rsidR="004938E4" w:rsidRPr="004938E4" w14:paraId="43051063" w14:textId="77777777" w:rsidTr="004938E4">
        <w:trPr>
          <w:trHeight w:val="320"/>
        </w:trPr>
        <w:tc>
          <w:tcPr>
            <w:tcW w:w="3686" w:type="dxa"/>
            <w:noWrap/>
            <w:hideMark/>
          </w:tcPr>
          <w:p w14:paraId="7943F354"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top"/>
            <w:hideMark/>
          </w:tcPr>
          <w:p w14:paraId="3EDAD64D" w14:textId="5D4A5A9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7.02</w:t>
            </w:r>
          </w:p>
        </w:tc>
        <w:tc>
          <w:tcPr>
            <w:tcW w:w="1507" w:type="dxa"/>
            <w:noWrap/>
            <w:vAlign w:val="top"/>
            <w:hideMark/>
          </w:tcPr>
          <w:p w14:paraId="6C5C1A51" w14:textId="09BF23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2.39</w:t>
            </w:r>
          </w:p>
        </w:tc>
        <w:tc>
          <w:tcPr>
            <w:tcW w:w="1093" w:type="dxa"/>
            <w:noWrap/>
            <w:vAlign w:val="top"/>
            <w:hideMark/>
          </w:tcPr>
          <w:p w14:paraId="246A872B" w14:textId="5C0A51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2.93</w:t>
            </w:r>
          </w:p>
        </w:tc>
        <w:tc>
          <w:tcPr>
            <w:tcW w:w="1300" w:type="dxa"/>
            <w:noWrap/>
            <w:vAlign w:val="top"/>
            <w:hideMark/>
          </w:tcPr>
          <w:p w14:paraId="25D04C1F" w14:textId="1B7321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0.003</w:t>
            </w:r>
          </w:p>
        </w:tc>
      </w:tr>
    </w:tbl>
    <w:p w14:paraId="3452789D" w14:textId="6EF4A319" w:rsidR="00336BBE" w:rsidRPr="004938E4" w:rsidRDefault="00336BBE" w:rsidP="000A07F5">
      <w:pPr>
        <w:rPr>
          <w:rStyle w:val="gnvwddmdl3b"/>
          <w:rFonts w:ascii="Times New Roman" w:hAnsi="Times New Roman" w:cs="Times New Roman"/>
        </w:rPr>
      </w:pPr>
    </w:p>
    <w:p w14:paraId="4A918C36" w14:textId="77777777" w:rsidR="00657643" w:rsidRPr="004938E4" w:rsidRDefault="00657643" w:rsidP="000A07F5">
      <w:pPr>
        <w:rPr>
          <w:rStyle w:val="gnvwddmdl3b"/>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35F6D489"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Gobiidae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0.92)</w:t>
            </w:r>
          </w:p>
        </w:tc>
        <w:tc>
          <w:tcPr>
            <w:tcW w:w="1247" w:type="dxa"/>
            <w:noWrap/>
            <w:hideMark/>
          </w:tcPr>
          <w:p w14:paraId="5940461C"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11CE9729"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3D89C474"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694277B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60C344F2" w14:textId="77777777" w:rsidTr="004938E4">
        <w:trPr>
          <w:trHeight w:val="320"/>
        </w:trPr>
        <w:tc>
          <w:tcPr>
            <w:tcW w:w="3686" w:type="dxa"/>
            <w:noWrap/>
            <w:hideMark/>
          </w:tcPr>
          <w:p w14:paraId="594462A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2F8AC864" w14:textId="0BF383A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-0.74</w:t>
            </w:r>
          </w:p>
        </w:tc>
        <w:tc>
          <w:tcPr>
            <w:tcW w:w="1507" w:type="dxa"/>
            <w:noWrap/>
            <w:vAlign w:val="bottom"/>
            <w:hideMark/>
          </w:tcPr>
          <w:p w14:paraId="7A365E9E" w14:textId="737201F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0.27</w:t>
            </w:r>
          </w:p>
        </w:tc>
        <w:tc>
          <w:tcPr>
            <w:tcW w:w="1093" w:type="dxa"/>
            <w:noWrap/>
            <w:vAlign w:val="bottom"/>
            <w:hideMark/>
          </w:tcPr>
          <w:p w14:paraId="12D8DFBE" w14:textId="0A9161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-2.72</w:t>
            </w:r>
          </w:p>
        </w:tc>
        <w:tc>
          <w:tcPr>
            <w:tcW w:w="1300" w:type="dxa"/>
            <w:noWrap/>
            <w:vAlign w:val="bottom"/>
            <w:hideMark/>
          </w:tcPr>
          <w:p w14:paraId="250C37BE" w14:textId="7412A26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2754E073" w14:textId="77777777" w:rsidTr="004938E4">
        <w:trPr>
          <w:trHeight w:val="320"/>
        </w:trPr>
        <w:tc>
          <w:tcPr>
            <w:tcW w:w="3686" w:type="dxa"/>
            <w:noWrap/>
            <w:hideMark/>
          </w:tcPr>
          <w:p w14:paraId="3E38D859" w14:textId="0884B7D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25D09F68" w14:textId="1D20994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0.81</w:t>
            </w:r>
          </w:p>
        </w:tc>
        <w:tc>
          <w:tcPr>
            <w:tcW w:w="1507" w:type="dxa"/>
            <w:noWrap/>
            <w:vAlign w:val="bottom"/>
            <w:hideMark/>
          </w:tcPr>
          <w:p w14:paraId="4F8020C9" w14:textId="31794B5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0.35</w:t>
            </w:r>
          </w:p>
        </w:tc>
        <w:tc>
          <w:tcPr>
            <w:tcW w:w="1093" w:type="dxa"/>
            <w:noWrap/>
            <w:vAlign w:val="bottom"/>
            <w:hideMark/>
          </w:tcPr>
          <w:p w14:paraId="0176AE38" w14:textId="02622D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2.29</w:t>
            </w:r>
          </w:p>
        </w:tc>
        <w:tc>
          <w:tcPr>
            <w:tcW w:w="1300" w:type="dxa"/>
            <w:noWrap/>
            <w:vAlign w:val="bottom"/>
            <w:hideMark/>
          </w:tcPr>
          <w:p w14:paraId="41063CBC" w14:textId="744419F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1AECA80E" w14:textId="77777777" w:rsidTr="004938E4">
        <w:trPr>
          <w:trHeight w:val="320"/>
        </w:trPr>
        <w:tc>
          <w:tcPr>
            <w:tcW w:w="3686" w:type="dxa"/>
            <w:noWrap/>
            <w:hideMark/>
          </w:tcPr>
          <w:p w14:paraId="7E336D2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15EF2EB0" w14:textId="7BEE1AD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0.70</w:t>
            </w:r>
          </w:p>
        </w:tc>
        <w:tc>
          <w:tcPr>
            <w:tcW w:w="1507" w:type="dxa"/>
            <w:noWrap/>
            <w:vAlign w:val="bottom"/>
            <w:hideMark/>
          </w:tcPr>
          <w:p w14:paraId="13DECE5D" w14:textId="370D01F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0.42</w:t>
            </w:r>
          </w:p>
        </w:tc>
        <w:tc>
          <w:tcPr>
            <w:tcW w:w="1093" w:type="dxa"/>
            <w:noWrap/>
            <w:vAlign w:val="bottom"/>
            <w:hideMark/>
          </w:tcPr>
          <w:p w14:paraId="659F70A4" w14:textId="6029B4B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1.67</w:t>
            </w:r>
          </w:p>
        </w:tc>
        <w:tc>
          <w:tcPr>
            <w:tcW w:w="1300" w:type="dxa"/>
            <w:noWrap/>
            <w:vAlign w:val="bottom"/>
            <w:hideMark/>
          </w:tcPr>
          <w:p w14:paraId="30B13FE3" w14:textId="2E55F81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r>
      <w:tr w:rsidR="004938E4" w:rsidRPr="004938E4" w14:paraId="393654D0" w14:textId="77777777" w:rsidTr="004938E4">
        <w:trPr>
          <w:trHeight w:val="320"/>
        </w:trPr>
        <w:tc>
          <w:tcPr>
            <w:tcW w:w="3686" w:type="dxa"/>
            <w:noWrap/>
            <w:hideMark/>
          </w:tcPr>
          <w:p w14:paraId="03F7EA98"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58EF83F6" w14:textId="652953D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4.71</w:t>
            </w:r>
          </w:p>
        </w:tc>
        <w:tc>
          <w:tcPr>
            <w:tcW w:w="1507" w:type="dxa"/>
            <w:noWrap/>
            <w:vAlign w:val="bottom"/>
            <w:hideMark/>
          </w:tcPr>
          <w:p w14:paraId="77A65DCA" w14:textId="62C7581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1.00</w:t>
            </w:r>
          </w:p>
        </w:tc>
        <w:tc>
          <w:tcPr>
            <w:tcW w:w="1093" w:type="dxa"/>
            <w:noWrap/>
            <w:vAlign w:val="bottom"/>
            <w:hideMark/>
          </w:tcPr>
          <w:p w14:paraId="4468FE07" w14:textId="508A2B9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4.70</w:t>
            </w:r>
          </w:p>
        </w:tc>
        <w:tc>
          <w:tcPr>
            <w:tcW w:w="1300" w:type="dxa"/>
            <w:noWrap/>
            <w:vAlign w:val="bottom"/>
            <w:hideMark/>
          </w:tcPr>
          <w:p w14:paraId="0AE61EC0" w14:textId="21CE73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4C5F1F71" w14:textId="77777777" w:rsidTr="004938E4">
        <w:trPr>
          <w:trHeight w:val="320"/>
        </w:trPr>
        <w:tc>
          <w:tcPr>
            <w:tcW w:w="3686" w:type="dxa"/>
            <w:noWrap/>
            <w:hideMark/>
          </w:tcPr>
          <w:p w14:paraId="746077B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3DDA49D" w14:textId="103FCAD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-2.17</w:t>
            </w:r>
          </w:p>
        </w:tc>
        <w:tc>
          <w:tcPr>
            <w:tcW w:w="1507" w:type="dxa"/>
            <w:noWrap/>
            <w:vAlign w:val="bottom"/>
            <w:hideMark/>
          </w:tcPr>
          <w:p w14:paraId="5900DB8C" w14:textId="5CC99AE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093" w:type="dxa"/>
            <w:noWrap/>
            <w:vAlign w:val="bottom"/>
            <w:hideMark/>
          </w:tcPr>
          <w:p w14:paraId="10F372C3" w14:textId="4FD1CB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-3.28</w:t>
            </w:r>
          </w:p>
        </w:tc>
        <w:tc>
          <w:tcPr>
            <w:tcW w:w="1300" w:type="dxa"/>
            <w:noWrap/>
            <w:vAlign w:val="bottom"/>
            <w:hideMark/>
          </w:tcPr>
          <w:p w14:paraId="668661B4" w14:textId="77495F0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6A66ED5C" w14:textId="77777777" w:rsidTr="004938E4">
        <w:trPr>
          <w:trHeight w:val="320"/>
        </w:trPr>
        <w:tc>
          <w:tcPr>
            <w:tcW w:w="3686" w:type="dxa"/>
            <w:noWrap/>
            <w:hideMark/>
          </w:tcPr>
          <w:p w14:paraId="7845FED9"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304ED201" w14:textId="5552A70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0.13</w:t>
            </w:r>
          </w:p>
        </w:tc>
        <w:tc>
          <w:tcPr>
            <w:tcW w:w="1507" w:type="dxa"/>
            <w:noWrap/>
            <w:vAlign w:val="bottom"/>
            <w:hideMark/>
          </w:tcPr>
          <w:p w14:paraId="5ADB3DEA" w14:textId="1A2BDD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7E313C6" w14:textId="7BFFFAC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3.45</w:t>
            </w:r>
          </w:p>
        </w:tc>
        <w:tc>
          <w:tcPr>
            <w:tcW w:w="1300" w:type="dxa"/>
            <w:noWrap/>
            <w:vAlign w:val="bottom"/>
            <w:hideMark/>
          </w:tcPr>
          <w:p w14:paraId="4D7A5DA2" w14:textId="400BF0A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31AD721A" w14:textId="77777777" w:rsidTr="004938E4">
        <w:trPr>
          <w:trHeight w:val="320"/>
        </w:trPr>
        <w:tc>
          <w:tcPr>
            <w:tcW w:w="3686" w:type="dxa"/>
            <w:noWrap/>
            <w:hideMark/>
          </w:tcPr>
          <w:p w14:paraId="09ACD6A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46B2FA7D" w14:textId="65E5507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0.002</w:t>
            </w:r>
          </w:p>
        </w:tc>
        <w:tc>
          <w:tcPr>
            <w:tcW w:w="1507" w:type="dxa"/>
            <w:noWrap/>
            <w:vAlign w:val="bottom"/>
            <w:hideMark/>
          </w:tcPr>
          <w:p w14:paraId="5B406DFE" w14:textId="5E5F0DE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51C88848" w14:textId="023A926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300" w:type="dxa"/>
            <w:noWrap/>
            <w:vAlign w:val="bottom"/>
            <w:hideMark/>
          </w:tcPr>
          <w:p w14:paraId="15211849" w14:textId="0735643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0.94</w:t>
            </w:r>
          </w:p>
        </w:tc>
      </w:tr>
      <w:tr w:rsidR="004938E4" w:rsidRPr="004938E4" w14:paraId="34E4A1CA" w14:textId="77777777" w:rsidTr="004938E4">
        <w:trPr>
          <w:trHeight w:val="320"/>
        </w:trPr>
        <w:tc>
          <w:tcPr>
            <w:tcW w:w="3686" w:type="dxa"/>
            <w:noWrap/>
            <w:hideMark/>
          </w:tcPr>
          <w:p w14:paraId="65FF1128"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054210D7" w14:textId="15F58FB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507" w:type="dxa"/>
            <w:noWrap/>
            <w:vAlign w:val="bottom"/>
            <w:hideMark/>
          </w:tcPr>
          <w:p w14:paraId="528CAB65" w14:textId="036EC96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799830BB" w14:textId="1F59B4B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1.31</w:t>
            </w:r>
          </w:p>
        </w:tc>
        <w:tc>
          <w:tcPr>
            <w:tcW w:w="1300" w:type="dxa"/>
            <w:noWrap/>
            <w:vAlign w:val="bottom"/>
            <w:hideMark/>
          </w:tcPr>
          <w:p w14:paraId="5E927D7A" w14:textId="6A5E79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r>
      <w:tr w:rsidR="004938E4" w:rsidRPr="004938E4" w14:paraId="32007DC4" w14:textId="77777777" w:rsidTr="004938E4">
        <w:trPr>
          <w:trHeight w:val="320"/>
        </w:trPr>
        <w:tc>
          <w:tcPr>
            <w:tcW w:w="3686" w:type="dxa"/>
            <w:noWrap/>
            <w:hideMark/>
          </w:tcPr>
          <w:p w14:paraId="421F8E83"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FAB000B" w14:textId="411AF35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1.74</w:t>
            </w:r>
          </w:p>
        </w:tc>
        <w:tc>
          <w:tcPr>
            <w:tcW w:w="1507" w:type="dxa"/>
            <w:noWrap/>
            <w:vAlign w:val="bottom"/>
            <w:hideMark/>
          </w:tcPr>
          <w:p w14:paraId="6E2D98A2" w14:textId="21280B2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1.05</w:t>
            </w:r>
          </w:p>
        </w:tc>
        <w:tc>
          <w:tcPr>
            <w:tcW w:w="1093" w:type="dxa"/>
            <w:noWrap/>
            <w:vAlign w:val="bottom"/>
            <w:hideMark/>
          </w:tcPr>
          <w:p w14:paraId="66457B9B" w14:textId="70E530F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1.66</w:t>
            </w:r>
          </w:p>
        </w:tc>
        <w:tc>
          <w:tcPr>
            <w:tcW w:w="1300" w:type="dxa"/>
            <w:noWrap/>
            <w:vAlign w:val="bottom"/>
            <w:hideMark/>
          </w:tcPr>
          <w:p w14:paraId="12A3D3C9" w14:textId="784028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r>
      <w:tr w:rsidR="004938E4" w:rsidRPr="004938E4" w14:paraId="2B2FF575" w14:textId="77777777" w:rsidTr="004938E4">
        <w:trPr>
          <w:trHeight w:val="320"/>
        </w:trPr>
        <w:tc>
          <w:tcPr>
            <w:tcW w:w="3686" w:type="dxa"/>
            <w:noWrap/>
            <w:hideMark/>
          </w:tcPr>
          <w:p w14:paraId="57E5A770"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2055485C" w14:textId="278F64E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12.00</w:t>
            </w:r>
          </w:p>
        </w:tc>
        <w:tc>
          <w:tcPr>
            <w:tcW w:w="1507" w:type="dxa"/>
            <w:noWrap/>
            <w:vAlign w:val="bottom"/>
            <w:hideMark/>
          </w:tcPr>
          <w:p w14:paraId="02C5AEA4" w14:textId="2F2E56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2.53</w:t>
            </w:r>
          </w:p>
        </w:tc>
        <w:tc>
          <w:tcPr>
            <w:tcW w:w="1093" w:type="dxa"/>
            <w:noWrap/>
            <w:vAlign w:val="bottom"/>
            <w:hideMark/>
          </w:tcPr>
          <w:p w14:paraId="74C98C69" w14:textId="1C6532C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4.74</w:t>
            </w:r>
          </w:p>
        </w:tc>
        <w:tc>
          <w:tcPr>
            <w:tcW w:w="1300" w:type="dxa"/>
            <w:noWrap/>
            <w:vAlign w:val="bottom"/>
            <w:hideMark/>
          </w:tcPr>
          <w:p w14:paraId="731C993F" w14:textId="3E08DC7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bl>
    <w:p w14:paraId="69E84ECF" w14:textId="77777777" w:rsidR="00336BBE" w:rsidRPr="004938E4" w:rsidRDefault="00336BBE" w:rsidP="000A07F5">
      <w:pPr>
        <w:rPr>
          <w:rFonts w:ascii="Times New Roman" w:hAnsi="Times New Roman" w:cs="Times New Roman"/>
          <w:color w:val="000000"/>
        </w:rPr>
      </w:pPr>
    </w:p>
    <w:p w14:paraId="036D644F" w14:textId="16ADD02B" w:rsidR="00336BBE" w:rsidRPr="004938E4" w:rsidRDefault="00657643" w:rsidP="000A07F5">
      <w:pPr>
        <w:rPr>
          <w:rFonts w:ascii="Times New Roman" w:hAnsi="Times New Roman" w:cs="Times New Roman"/>
          <w:color w:val="000000"/>
        </w:rPr>
      </w:pPr>
      <w:r w:rsidRPr="004938E4">
        <w:rPr>
          <w:rFonts w:ascii="Times New Roman" w:hAnsi="Times New Roman" w:cs="Times New Roman"/>
          <w:color w:val="000000"/>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1C27D096"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5B204176"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lastRenderedPageBreak/>
              <w:t>Cottidae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w:t>
            </w:r>
            <w:r w:rsidR="004938E4" w:rsidRPr="004938E4">
              <w:rPr>
                <w:rFonts w:ascii="Times New Roman" w:hAnsi="Times New Roman" w:cs="Times New Roman"/>
              </w:rPr>
              <w:t>1</w:t>
            </w:r>
            <w:r w:rsidRPr="004938E4">
              <w:rPr>
                <w:rFonts w:ascii="Times New Roman" w:hAnsi="Times New Roman" w:cs="Times New Roman"/>
              </w:rPr>
              <w:t>)</w:t>
            </w:r>
          </w:p>
        </w:tc>
        <w:tc>
          <w:tcPr>
            <w:tcW w:w="1247" w:type="dxa"/>
            <w:noWrap/>
            <w:hideMark/>
          </w:tcPr>
          <w:p w14:paraId="6F2E14C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55DF4E70"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72D0F12E"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54C1716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61880123" w14:textId="77777777" w:rsidTr="004938E4">
        <w:trPr>
          <w:trHeight w:val="320"/>
        </w:trPr>
        <w:tc>
          <w:tcPr>
            <w:tcW w:w="3686" w:type="dxa"/>
            <w:noWrap/>
            <w:hideMark/>
          </w:tcPr>
          <w:p w14:paraId="3E79DA5E"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63BB13C0" w14:textId="1878F20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1.54</w:t>
            </w:r>
          </w:p>
        </w:tc>
        <w:tc>
          <w:tcPr>
            <w:tcW w:w="1507" w:type="dxa"/>
            <w:noWrap/>
            <w:vAlign w:val="bottom"/>
            <w:hideMark/>
          </w:tcPr>
          <w:p w14:paraId="1AF19128" w14:textId="0F00305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093" w:type="dxa"/>
            <w:noWrap/>
            <w:vAlign w:val="bottom"/>
            <w:hideMark/>
          </w:tcPr>
          <w:p w14:paraId="405A6E4B" w14:textId="2F69EE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2.35</w:t>
            </w:r>
          </w:p>
        </w:tc>
        <w:tc>
          <w:tcPr>
            <w:tcW w:w="1300" w:type="dxa"/>
            <w:noWrap/>
            <w:vAlign w:val="bottom"/>
            <w:hideMark/>
          </w:tcPr>
          <w:p w14:paraId="68460704" w14:textId="778DFC4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56C35370" w14:textId="77777777" w:rsidTr="004938E4">
        <w:trPr>
          <w:trHeight w:val="320"/>
        </w:trPr>
        <w:tc>
          <w:tcPr>
            <w:tcW w:w="3686" w:type="dxa"/>
            <w:noWrap/>
            <w:hideMark/>
          </w:tcPr>
          <w:p w14:paraId="39A09001" w14:textId="029E3BE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5FC14C9B" w14:textId="274080E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15A4B2C6" w14:textId="6211F2A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6A6B0EF3" w14:textId="7D69947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1.03</w:t>
            </w:r>
          </w:p>
        </w:tc>
        <w:tc>
          <w:tcPr>
            <w:tcW w:w="1300" w:type="dxa"/>
            <w:noWrap/>
            <w:vAlign w:val="bottom"/>
            <w:hideMark/>
          </w:tcPr>
          <w:p w14:paraId="282962E2" w14:textId="4486FB0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0.30</w:t>
            </w:r>
          </w:p>
        </w:tc>
      </w:tr>
      <w:tr w:rsidR="004938E4" w:rsidRPr="004938E4" w14:paraId="134DDBDF" w14:textId="77777777" w:rsidTr="004938E4">
        <w:trPr>
          <w:trHeight w:val="320"/>
        </w:trPr>
        <w:tc>
          <w:tcPr>
            <w:tcW w:w="3686" w:type="dxa"/>
            <w:noWrap/>
            <w:hideMark/>
          </w:tcPr>
          <w:p w14:paraId="1E64D9A3" w14:textId="5AA6D8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DFE15EA" w14:textId="63BA1CE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-0.45</w:t>
            </w:r>
          </w:p>
        </w:tc>
        <w:tc>
          <w:tcPr>
            <w:tcW w:w="1507" w:type="dxa"/>
            <w:noWrap/>
            <w:vAlign w:val="bottom"/>
            <w:hideMark/>
          </w:tcPr>
          <w:p w14:paraId="379B615D" w14:textId="2F28FF7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c>
          <w:tcPr>
            <w:tcW w:w="1093" w:type="dxa"/>
            <w:noWrap/>
            <w:vAlign w:val="bottom"/>
            <w:hideMark/>
          </w:tcPr>
          <w:p w14:paraId="5EF2FED4" w14:textId="3E52747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-4.53</w:t>
            </w:r>
          </w:p>
        </w:tc>
        <w:tc>
          <w:tcPr>
            <w:tcW w:w="1300" w:type="dxa"/>
            <w:noWrap/>
            <w:vAlign w:val="bottom"/>
            <w:hideMark/>
          </w:tcPr>
          <w:p w14:paraId="2B270740" w14:textId="6AF291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7A5E73F1" w14:textId="77777777" w:rsidTr="004938E4">
        <w:trPr>
          <w:trHeight w:val="320"/>
        </w:trPr>
        <w:tc>
          <w:tcPr>
            <w:tcW w:w="3686" w:type="dxa"/>
            <w:noWrap/>
            <w:hideMark/>
          </w:tcPr>
          <w:p w14:paraId="2CF8C7A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5F0F98F2" w14:textId="63B4DC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46B68DB" w14:textId="744F66E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0.46</w:t>
            </w:r>
          </w:p>
        </w:tc>
        <w:tc>
          <w:tcPr>
            <w:tcW w:w="1093" w:type="dxa"/>
            <w:noWrap/>
            <w:vAlign w:val="bottom"/>
            <w:hideMark/>
          </w:tcPr>
          <w:p w14:paraId="57A29DCE" w14:textId="19205FD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300" w:type="dxa"/>
            <w:noWrap/>
            <w:vAlign w:val="bottom"/>
            <w:hideMark/>
          </w:tcPr>
          <w:p w14:paraId="148CD89B" w14:textId="5671981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0.98</w:t>
            </w:r>
          </w:p>
        </w:tc>
      </w:tr>
      <w:tr w:rsidR="004938E4" w:rsidRPr="004938E4" w14:paraId="441DFD70" w14:textId="77777777" w:rsidTr="004938E4">
        <w:trPr>
          <w:trHeight w:val="320"/>
        </w:trPr>
        <w:tc>
          <w:tcPr>
            <w:tcW w:w="3686" w:type="dxa"/>
            <w:noWrap/>
            <w:hideMark/>
          </w:tcPr>
          <w:p w14:paraId="1492E940"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30B0A19" w14:textId="1702973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-0.16</w:t>
            </w:r>
          </w:p>
        </w:tc>
        <w:tc>
          <w:tcPr>
            <w:tcW w:w="1507" w:type="dxa"/>
            <w:noWrap/>
            <w:vAlign w:val="bottom"/>
            <w:hideMark/>
          </w:tcPr>
          <w:p w14:paraId="398F56B8" w14:textId="474795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1.35</w:t>
            </w:r>
          </w:p>
        </w:tc>
        <w:tc>
          <w:tcPr>
            <w:tcW w:w="1093" w:type="dxa"/>
            <w:noWrap/>
            <w:vAlign w:val="bottom"/>
            <w:hideMark/>
          </w:tcPr>
          <w:p w14:paraId="4AFEB16D" w14:textId="79A7E3F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300" w:type="dxa"/>
            <w:noWrap/>
            <w:vAlign w:val="bottom"/>
            <w:hideMark/>
          </w:tcPr>
          <w:p w14:paraId="27E9819C" w14:textId="40A86CC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0.91</w:t>
            </w:r>
          </w:p>
        </w:tc>
      </w:tr>
      <w:tr w:rsidR="004938E4" w:rsidRPr="004938E4" w14:paraId="10B78E4A" w14:textId="77777777" w:rsidTr="004938E4">
        <w:trPr>
          <w:trHeight w:val="320"/>
        </w:trPr>
        <w:tc>
          <w:tcPr>
            <w:tcW w:w="3686" w:type="dxa"/>
            <w:noWrap/>
            <w:hideMark/>
          </w:tcPr>
          <w:p w14:paraId="4D907B4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D5C7C7" w14:textId="1620888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3.29</w:t>
            </w:r>
          </w:p>
        </w:tc>
        <w:tc>
          <w:tcPr>
            <w:tcW w:w="1507" w:type="dxa"/>
            <w:noWrap/>
            <w:vAlign w:val="bottom"/>
            <w:hideMark/>
          </w:tcPr>
          <w:p w14:paraId="365E0299" w14:textId="2C7684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1.50</w:t>
            </w:r>
          </w:p>
        </w:tc>
        <w:tc>
          <w:tcPr>
            <w:tcW w:w="1093" w:type="dxa"/>
            <w:noWrap/>
            <w:vAlign w:val="bottom"/>
            <w:hideMark/>
          </w:tcPr>
          <w:p w14:paraId="4F96713C" w14:textId="5BAE43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2.19</w:t>
            </w:r>
          </w:p>
        </w:tc>
        <w:tc>
          <w:tcPr>
            <w:tcW w:w="1300" w:type="dxa"/>
            <w:noWrap/>
            <w:vAlign w:val="bottom"/>
            <w:hideMark/>
          </w:tcPr>
          <w:p w14:paraId="5982F9D7" w14:textId="0B9CC98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r>
      <w:tr w:rsidR="004938E4" w:rsidRPr="004938E4" w14:paraId="005BB539" w14:textId="77777777" w:rsidTr="004938E4">
        <w:trPr>
          <w:trHeight w:val="320"/>
        </w:trPr>
        <w:tc>
          <w:tcPr>
            <w:tcW w:w="3686" w:type="dxa"/>
            <w:noWrap/>
            <w:hideMark/>
          </w:tcPr>
          <w:p w14:paraId="6CDA76E9"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1410B42B" w14:textId="36CBEC3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-0.14</w:t>
            </w:r>
          </w:p>
        </w:tc>
        <w:tc>
          <w:tcPr>
            <w:tcW w:w="1507" w:type="dxa"/>
            <w:noWrap/>
            <w:vAlign w:val="bottom"/>
            <w:hideMark/>
          </w:tcPr>
          <w:p w14:paraId="5FDCA245" w14:textId="26EBD38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E4A2A4D" w14:textId="08738B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-3.89</w:t>
            </w:r>
          </w:p>
        </w:tc>
        <w:tc>
          <w:tcPr>
            <w:tcW w:w="1300" w:type="dxa"/>
            <w:noWrap/>
            <w:vAlign w:val="bottom"/>
            <w:hideMark/>
          </w:tcPr>
          <w:p w14:paraId="6E45A1C3" w14:textId="19ED62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3FBFA48D" w14:textId="77777777" w:rsidTr="004938E4">
        <w:trPr>
          <w:trHeight w:val="320"/>
        </w:trPr>
        <w:tc>
          <w:tcPr>
            <w:tcW w:w="3686" w:type="dxa"/>
            <w:noWrap/>
            <w:hideMark/>
          </w:tcPr>
          <w:p w14:paraId="5943F71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1F6B0DB8" w14:textId="7E1CEA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c>
          <w:tcPr>
            <w:tcW w:w="1507" w:type="dxa"/>
            <w:noWrap/>
            <w:vAlign w:val="bottom"/>
            <w:hideMark/>
          </w:tcPr>
          <w:p w14:paraId="68F9FDF8" w14:textId="557E115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599100CA" w14:textId="5A19CCB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2.92</w:t>
            </w:r>
          </w:p>
        </w:tc>
        <w:tc>
          <w:tcPr>
            <w:tcW w:w="1300" w:type="dxa"/>
            <w:noWrap/>
            <w:vAlign w:val="bottom"/>
            <w:hideMark/>
          </w:tcPr>
          <w:p w14:paraId="2AD81C3A" w14:textId="141E00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0.004</w:t>
            </w:r>
          </w:p>
        </w:tc>
      </w:tr>
      <w:tr w:rsidR="004938E4" w:rsidRPr="004938E4" w14:paraId="125A4F29" w14:textId="77777777" w:rsidTr="004938E4">
        <w:trPr>
          <w:trHeight w:val="320"/>
        </w:trPr>
        <w:tc>
          <w:tcPr>
            <w:tcW w:w="3686" w:type="dxa"/>
            <w:noWrap/>
            <w:hideMark/>
          </w:tcPr>
          <w:p w14:paraId="36189A01"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68D8D79A" w14:textId="626081A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0.22</w:t>
            </w:r>
          </w:p>
        </w:tc>
        <w:tc>
          <w:tcPr>
            <w:tcW w:w="1507" w:type="dxa"/>
            <w:noWrap/>
            <w:vAlign w:val="bottom"/>
            <w:hideMark/>
          </w:tcPr>
          <w:p w14:paraId="61D41479" w14:textId="5B31F92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20224485" w14:textId="19E3208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2.46</w:t>
            </w:r>
          </w:p>
        </w:tc>
        <w:tc>
          <w:tcPr>
            <w:tcW w:w="1300" w:type="dxa"/>
            <w:noWrap/>
            <w:vAlign w:val="bottom"/>
            <w:hideMark/>
          </w:tcPr>
          <w:p w14:paraId="5DAB5EA2" w14:textId="3A4E42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6A3190FB" w14:textId="77777777" w:rsidTr="004938E4">
        <w:trPr>
          <w:trHeight w:val="320"/>
        </w:trPr>
        <w:tc>
          <w:tcPr>
            <w:tcW w:w="3686" w:type="dxa"/>
            <w:noWrap/>
            <w:hideMark/>
          </w:tcPr>
          <w:p w14:paraId="2D9B97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50A787E" w14:textId="36C428F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-0.74</w:t>
            </w:r>
          </w:p>
        </w:tc>
        <w:tc>
          <w:tcPr>
            <w:tcW w:w="1507" w:type="dxa"/>
            <w:noWrap/>
            <w:vAlign w:val="bottom"/>
            <w:hideMark/>
          </w:tcPr>
          <w:p w14:paraId="3DBD4BF8" w14:textId="60A3BE0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1.05</w:t>
            </w:r>
          </w:p>
        </w:tc>
        <w:tc>
          <w:tcPr>
            <w:tcW w:w="1093" w:type="dxa"/>
            <w:noWrap/>
            <w:vAlign w:val="bottom"/>
            <w:hideMark/>
          </w:tcPr>
          <w:p w14:paraId="22184CE6" w14:textId="7CC4BD9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-0.70</w:t>
            </w:r>
          </w:p>
        </w:tc>
        <w:tc>
          <w:tcPr>
            <w:tcW w:w="1300" w:type="dxa"/>
            <w:noWrap/>
            <w:vAlign w:val="bottom"/>
            <w:hideMark/>
          </w:tcPr>
          <w:p w14:paraId="194AEB4C" w14:textId="224002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r>
      <w:tr w:rsidR="004938E4" w:rsidRPr="004938E4" w14:paraId="3620E7D8" w14:textId="77777777" w:rsidTr="004938E4">
        <w:trPr>
          <w:trHeight w:val="320"/>
        </w:trPr>
        <w:tc>
          <w:tcPr>
            <w:tcW w:w="3686" w:type="dxa"/>
            <w:noWrap/>
            <w:hideMark/>
          </w:tcPr>
          <w:p w14:paraId="0A93ED3D"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680100E5" w14:textId="15CB0E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-0.64</w:t>
            </w:r>
          </w:p>
        </w:tc>
        <w:tc>
          <w:tcPr>
            <w:tcW w:w="1507" w:type="dxa"/>
            <w:noWrap/>
            <w:vAlign w:val="bottom"/>
            <w:hideMark/>
          </w:tcPr>
          <w:p w14:paraId="098C32D4" w14:textId="4BD893B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3.18</w:t>
            </w:r>
          </w:p>
        </w:tc>
        <w:tc>
          <w:tcPr>
            <w:tcW w:w="1093" w:type="dxa"/>
            <w:noWrap/>
            <w:vAlign w:val="bottom"/>
            <w:hideMark/>
          </w:tcPr>
          <w:p w14:paraId="62869620" w14:textId="2C44E25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-0.20</w:t>
            </w:r>
          </w:p>
        </w:tc>
        <w:tc>
          <w:tcPr>
            <w:tcW w:w="1300" w:type="dxa"/>
            <w:noWrap/>
            <w:vAlign w:val="bottom"/>
            <w:hideMark/>
          </w:tcPr>
          <w:p w14:paraId="603A42C8" w14:textId="100B3E2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0.84</w:t>
            </w:r>
          </w:p>
        </w:tc>
      </w:tr>
    </w:tbl>
    <w:p w14:paraId="54B4D9AE" w14:textId="554D7A6F" w:rsidR="00336BBE" w:rsidRPr="004938E4" w:rsidRDefault="00336BBE" w:rsidP="000A07F5">
      <w:pPr>
        <w:rPr>
          <w:rFonts w:ascii="Times New Roman" w:hAnsi="Times New Roman" w:cs="Times New Roman"/>
          <w:color w:val="000000"/>
        </w:rPr>
      </w:pPr>
    </w:p>
    <w:p w14:paraId="088AEDC3" w14:textId="77777777" w:rsidR="00657643" w:rsidRPr="004938E4" w:rsidRDefault="00657643" w:rsidP="000A07F5">
      <w:pPr>
        <w:rPr>
          <w:rFonts w:ascii="Times New Roman" w:hAnsi="Times New Roman" w:cs="Times New Roman"/>
          <w:color w:val="000000"/>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5AD12C80"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0A401AF0"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Strongylocentrotidae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w:t>
            </w:r>
            <w:r w:rsidR="004938E4" w:rsidRPr="004938E4">
              <w:rPr>
                <w:rFonts w:ascii="Times New Roman" w:hAnsi="Times New Roman" w:cs="Times New Roman"/>
              </w:rPr>
              <w:t>90</w:t>
            </w:r>
            <w:r w:rsidRPr="004938E4">
              <w:rPr>
                <w:rFonts w:ascii="Times New Roman" w:hAnsi="Times New Roman" w:cs="Times New Roman"/>
              </w:rPr>
              <w:t>)</w:t>
            </w:r>
          </w:p>
        </w:tc>
        <w:tc>
          <w:tcPr>
            <w:tcW w:w="1247" w:type="dxa"/>
            <w:noWrap/>
            <w:hideMark/>
          </w:tcPr>
          <w:p w14:paraId="2E156D11"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0705EF6F"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09BF2907"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0595B1C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250C16D2" w14:textId="77777777" w:rsidTr="004938E4">
        <w:trPr>
          <w:trHeight w:val="320"/>
        </w:trPr>
        <w:tc>
          <w:tcPr>
            <w:tcW w:w="3686" w:type="dxa"/>
            <w:noWrap/>
            <w:hideMark/>
          </w:tcPr>
          <w:p w14:paraId="25A5203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4AD19F2B" w14:textId="568A736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66D40F82" w14:textId="3523B8E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7063D4BA" w14:textId="711C223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c>
          <w:tcPr>
            <w:tcW w:w="1300" w:type="dxa"/>
            <w:noWrap/>
            <w:vAlign w:val="bottom"/>
            <w:hideMark/>
          </w:tcPr>
          <w:p w14:paraId="40E4CFFE" w14:textId="273C91C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0.85</w:t>
            </w:r>
          </w:p>
        </w:tc>
      </w:tr>
      <w:tr w:rsidR="004938E4" w:rsidRPr="004938E4" w14:paraId="7AEB631A" w14:textId="77777777" w:rsidTr="004938E4">
        <w:trPr>
          <w:trHeight w:val="320"/>
        </w:trPr>
        <w:tc>
          <w:tcPr>
            <w:tcW w:w="3686" w:type="dxa"/>
            <w:noWrap/>
            <w:hideMark/>
          </w:tcPr>
          <w:p w14:paraId="5BD43E12" w14:textId="30F122D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785E12D3" w14:textId="717BF0E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507" w:type="dxa"/>
            <w:noWrap/>
            <w:vAlign w:val="bottom"/>
            <w:hideMark/>
          </w:tcPr>
          <w:p w14:paraId="4C052422" w14:textId="4A7C102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093" w:type="dxa"/>
            <w:noWrap/>
            <w:vAlign w:val="bottom"/>
            <w:hideMark/>
          </w:tcPr>
          <w:p w14:paraId="7C481360" w14:textId="5ACA445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0.82</w:t>
            </w:r>
          </w:p>
        </w:tc>
        <w:tc>
          <w:tcPr>
            <w:tcW w:w="1300" w:type="dxa"/>
            <w:noWrap/>
            <w:vAlign w:val="bottom"/>
            <w:hideMark/>
          </w:tcPr>
          <w:p w14:paraId="741C40B5" w14:textId="129CAD0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0.41</w:t>
            </w:r>
          </w:p>
        </w:tc>
      </w:tr>
      <w:tr w:rsidR="004938E4" w:rsidRPr="004938E4" w14:paraId="017E17F0" w14:textId="77777777" w:rsidTr="004938E4">
        <w:trPr>
          <w:trHeight w:val="320"/>
        </w:trPr>
        <w:tc>
          <w:tcPr>
            <w:tcW w:w="3686" w:type="dxa"/>
            <w:noWrap/>
            <w:hideMark/>
          </w:tcPr>
          <w:p w14:paraId="3345C652" w14:textId="72E1A38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6D60498" w14:textId="301BB2B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-0.65</w:t>
            </w:r>
          </w:p>
        </w:tc>
        <w:tc>
          <w:tcPr>
            <w:tcW w:w="1507" w:type="dxa"/>
            <w:noWrap/>
            <w:vAlign w:val="bottom"/>
            <w:hideMark/>
          </w:tcPr>
          <w:p w14:paraId="2B7AF5AA" w14:textId="4F17D1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093" w:type="dxa"/>
            <w:noWrap/>
            <w:vAlign w:val="bottom"/>
            <w:hideMark/>
          </w:tcPr>
          <w:p w14:paraId="272F484F" w14:textId="66C1F3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-5.26</w:t>
            </w:r>
          </w:p>
        </w:tc>
        <w:tc>
          <w:tcPr>
            <w:tcW w:w="1300" w:type="dxa"/>
            <w:noWrap/>
            <w:vAlign w:val="bottom"/>
            <w:hideMark/>
          </w:tcPr>
          <w:p w14:paraId="5BF5D876" w14:textId="5B95C16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4F79C8E7" w14:textId="77777777" w:rsidTr="004938E4">
        <w:trPr>
          <w:trHeight w:val="320"/>
        </w:trPr>
        <w:tc>
          <w:tcPr>
            <w:tcW w:w="3686" w:type="dxa"/>
            <w:noWrap/>
            <w:hideMark/>
          </w:tcPr>
          <w:p w14:paraId="5D69095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2197F619" w14:textId="397F6A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c>
          <w:tcPr>
            <w:tcW w:w="1507" w:type="dxa"/>
            <w:noWrap/>
            <w:vAlign w:val="bottom"/>
            <w:hideMark/>
          </w:tcPr>
          <w:p w14:paraId="5DC8D175" w14:textId="5429869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7C184E11" w14:textId="7D53E03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3.53</w:t>
            </w:r>
          </w:p>
        </w:tc>
        <w:tc>
          <w:tcPr>
            <w:tcW w:w="1300" w:type="dxa"/>
            <w:noWrap/>
            <w:vAlign w:val="bottom"/>
            <w:hideMark/>
          </w:tcPr>
          <w:p w14:paraId="4B77D6D7" w14:textId="1560F95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16C8685D" w14:textId="77777777" w:rsidTr="004938E4">
        <w:trPr>
          <w:trHeight w:val="320"/>
        </w:trPr>
        <w:tc>
          <w:tcPr>
            <w:tcW w:w="3686" w:type="dxa"/>
            <w:noWrap/>
            <w:hideMark/>
          </w:tcPr>
          <w:p w14:paraId="0E1D14B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0CB19A2A" w14:textId="7B765FC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507" w:type="dxa"/>
            <w:noWrap/>
            <w:vAlign w:val="bottom"/>
            <w:hideMark/>
          </w:tcPr>
          <w:p w14:paraId="1473E845" w14:textId="7D62EB4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3DA25C95" w14:textId="2D062C9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1.02</w:t>
            </w:r>
          </w:p>
        </w:tc>
        <w:tc>
          <w:tcPr>
            <w:tcW w:w="1300" w:type="dxa"/>
            <w:noWrap/>
            <w:vAlign w:val="bottom"/>
            <w:hideMark/>
          </w:tcPr>
          <w:p w14:paraId="18C69ED7" w14:textId="7875711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0.31</w:t>
            </w:r>
          </w:p>
        </w:tc>
      </w:tr>
      <w:tr w:rsidR="004938E4" w:rsidRPr="004938E4" w14:paraId="6EBC1E9F" w14:textId="77777777" w:rsidTr="004938E4">
        <w:trPr>
          <w:trHeight w:val="320"/>
        </w:trPr>
        <w:tc>
          <w:tcPr>
            <w:tcW w:w="3686" w:type="dxa"/>
            <w:noWrap/>
            <w:hideMark/>
          </w:tcPr>
          <w:p w14:paraId="21586B7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58205A9F" w14:textId="6B1CDEB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507" w:type="dxa"/>
            <w:noWrap/>
            <w:vAlign w:val="bottom"/>
            <w:hideMark/>
          </w:tcPr>
          <w:p w14:paraId="6C417926" w14:textId="02664CA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093" w:type="dxa"/>
            <w:noWrap/>
            <w:vAlign w:val="bottom"/>
            <w:hideMark/>
          </w:tcPr>
          <w:p w14:paraId="26D19C85" w14:textId="360B9C5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3.47</w:t>
            </w:r>
          </w:p>
        </w:tc>
        <w:tc>
          <w:tcPr>
            <w:tcW w:w="1300" w:type="dxa"/>
            <w:noWrap/>
            <w:vAlign w:val="bottom"/>
            <w:hideMark/>
          </w:tcPr>
          <w:p w14:paraId="526E5B94" w14:textId="12E1EF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09635548" w14:textId="77777777" w:rsidTr="004938E4">
        <w:trPr>
          <w:trHeight w:val="320"/>
        </w:trPr>
        <w:tc>
          <w:tcPr>
            <w:tcW w:w="3686" w:type="dxa"/>
            <w:noWrap/>
            <w:hideMark/>
          </w:tcPr>
          <w:p w14:paraId="41EF9C2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2045FDF4" w14:textId="3531A1E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382C2A32" w14:textId="34F411D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115B8E9E" w14:textId="33DF22C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1.34</w:t>
            </w:r>
          </w:p>
        </w:tc>
        <w:tc>
          <w:tcPr>
            <w:tcW w:w="1300" w:type="dxa"/>
            <w:noWrap/>
            <w:vAlign w:val="bottom"/>
            <w:hideMark/>
          </w:tcPr>
          <w:p w14:paraId="007AFDB2" w14:textId="0E2D4C7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0.18</w:t>
            </w:r>
          </w:p>
        </w:tc>
      </w:tr>
      <w:tr w:rsidR="004938E4" w:rsidRPr="004938E4" w14:paraId="0FDF5107" w14:textId="77777777" w:rsidTr="004938E4">
        <w:trPr>
          <w:trHeight w:val="320"/>
        </w:trPr>
        <w:tc>
          <w:tcPr>
            <w:tcW w:w="3686" w:type="dxa"/>
            <w:noWrap/>
            <w:hideMark/>
          </w:tcPr>
          <w:p w14:paraId="42CB66C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10339BEE" w14:textId="32F3CB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26F1C657" w14:textId="7ED2A54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2452B905" w14:textId="4ED883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3.09</w:t>
            </w:r>
          </w:p>
        </w:tc>
        <w:tc>
          <w:tcPr>
            <w:tcW w:w="1300" w:type="dxa"/>
            <w:noWrap/>
            <w:vAlign w:val="bottom"/>
            <w:hideMark/>
          </w:tcPr>
          <w:p w14:paraId="1490BE40" w14:textId="4E77328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0.002</w:t>
            </w:r>
          </w:p>
        </w:tc>
      </w:tr>
      <w:tr w:rsidR="004938E4" w:rsidRPr="004938E4" w14:paraId="3F30EAF9" w14:textId="77777777" w:rsidTr="004938E4">
        <w:trPr>
          <w:trHeight w:val="320"/>
        </w:trPr>
        <w:tc>
          <w:tcPr>
            <w:tcW w:w="3686" w:type="dxa"/>
            <w:noWrap/>
            <w:hideMark/>
          </w:tcPr>
          <w:p w14:paraId="053440BB"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40A3E87A" w14:textId="33726A3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0.14</w:t>
            </w:r>
          </w:p>
        </w:tc>
        <w:tc>
          <w:tcPr>
            <w:tcW w:w="1507" w:type="dxa"/>
            <w:noWrap/>
            <w:vAlign w:val="bottom"/>
            <w:hideMark/>
          </w:tcPr>
          <w:p w14:paraId="6B1A600B" w14:textId="6F6EE6C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6DE36A06" w14:textId="53382F2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2.40</w:t>
            </w:r>
          </w:p>
        </w:tc>
        <w:tc>
          <w:tcPr>
            <w:tcW w:w="1300" w:type="dxa"/>
            <w:noWrap/>
            <w:vAlign w:val="bottom"/>
            <w:hideMark/>
          </w:tcPr>
          <w:p w14:paraId="486754E7" w14:textId="7DCAD52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55CB1B97" w14:textId="77777777" w:rsidTr="004938E4">
        <w:trPr>
          <w:trHeight w:val="320"/>
        </w:trPr>
        <w:tc>
          <w:tcPr>
            <w:tcW w:w="3686" w:type="dxa"/>
            <w:noWrap/>
            <w:hideMark/>
          </w:tcPr>
          <w:p w14:paraId="52B3301E"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3F49CAB0" w14:textId="402075D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0CF188F9" w14:textId="7330768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093" w:type="dxa"/>
            <w:noWrap/>
            <w:vAlign w:val="bottom"/>
            <w:hideMark/>
          </w:tcPr>
          <w:p w14:paraId="2920736D" w14:textId="28266B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-0.87</w:t>
            </w:r>
          </w:p>
        </w:tc>
        <w:tc>
          <w:tcPr>
            <w:tcW w:w="1300" w:type="dxa"/>
            <w:noWrap/>
            <w:vAlign w:val="bottom"/>
            <w:hideMark/>
          </w:tcPr>
          <w:p w14:paraId="5CF8F490" w14:textId="2065B5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0.38</w:t>
            </w:r>
          </w:p>
        </w:tc>
      </w:tr>
      <w:tr w:rsidR="004938E4" w:rsidRPr="004938E4" w14:paraId="252D61B8" w14:textId="77777777" w:rsidTr="004938E4">
        <w:trPr>
          <w:trHeight w:val="320"/>
        </w:trPr>
        <w:tc>
          <w:tcPr>
            <w:tcW w:w="3686" w:type="dxa"/>
            <w:noWrap/>
            <w:hideMark/>
          </w:tcPr>
          <w:p w14:paraId="6BEE638B"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336DB6B8" w14:textId="72026C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507" w:type="dxa"/>
            <w:noWrap/>
            <w:vAlign w:val="bottom"/>
            <w:hideMark/>
          </w:tcPr>
          <w:p w14:paraId="130787FD" w14:textId="4150BC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093" w:type="dxa"/>
            <w:noWrap/>
            <w:vAlign w:val="bottom"/>
            <w:hideMark/>
          </w:tcPr>
          <w:p w14:paraId="22F8B1E7" w14:textId="3980ABB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-1.13</w:t>
            </w:r>
          </w:p>
        </w:tc>
        <w:tc>
          <w:tcPr>
            <w:tcW w:w="1300" w:type="dxa"/>
            <w:noWrap/>
            <w:vAlign w:val="bottom"/>
            <w:hideMark/>
          </w:tcPr>
          <w:p w14:paraId="39CDBF37" w14:textId="0F183DE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r>
    </w:tbl>
    <w:p w14:paraId="590AA749" w14:textId="77777777" w:rsidR="00336BBE" w:rsidRPr="004938E4" w:rsidRDefault="00336BBE" w:rsidP="000A07F5">
      <w:pPr>
        <w:rPr>
          <w:rFonts w:ascii="Times New Roman" w:hAnsi="Times New Roman" w:cs="Times New Roman"/>
        </w:rPr>
      </w:pPr>
    </w:p>
    <w:p w14:paraId="49A29A88" w14:textId="7E0F2BBE" w:rsidR="00336BBE" w:rsidRPr="004938E4" w:rsidRDefault="00657643" w:rsidP="000A07F5">
      <w:pPr>
        <w:rPr>
          <w:rFonts w:ascii="Times New Roman" w:hAnsi="Times New Roman" w:cs="Times New Roman"/>
          <w:color w:val="000000"/>
        </w:rPr>
      </w:pPr>
      <w:r w:rsidRPr="004938E4">
        <w:rPr>
          <w:rFonts w:ascii="Times New Roman" w:hAnsi="Times New Roman" w:cs="Times New Roman"/>
          <w:color w:val="000000"/>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6EB77C38"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25CFB689" w:rsidR="00336BBE" w:rsidRPr="004938E4" w:rsidRDefault="004938E4" w:rsidP="000A07F5">
            <w:pPr>
              <w:jc w:val="left"/>
              <w:rPr>
                <w:rFonts w:ascii="Times New Roman" w:hAnsi="Times New Roman" w:cs="Times New Roman"/>
                <w:b/>
                <w:bCs/>
              </w:rPr>
            </w:pPr>
            <w:proofErr w:type="spellStart"/>
            <w:r w:rsidRPr="004938E4">
              <w:rPr>
                <w:rFonts w:ascii="Times New Roman" w:hAnsi="Times New Roman" w:cs="Times New Roman"/>
                <w:b/>
                <w:bCs/>
              </w:rPr>
              <w:lastRenderedPageBreak/>
              <w:t>Hexagrammidae</w:t>
            </w:r>
            <w:proofErr w:type="spellEnd"/>
            <w:r w:rsidRPr="004938E4">
              <w:rPr>
                <w:rFonts w:ascii="Times New Roman" w:hAnsi="Times New Roman" w:cs="Times New Roman"/>
                <w:b/>
                <w:bCs/>
              </w:rPr>
              <w:t xml:space="preserve"> </w:t>
            </w:r>
            <w:r w:rsidR="00336BBE" w:rsidRPr="004938E4">
              <w:rPr>
                <w:rFonts w:ascii="Times New Roman" w:hAnsi="Times New Roman" w:cs="Times New Roman"/>
              </w:rPr>
              <w:t>(</w:t>
            </w:r>
            <w:r w:rsidR="00336BBE" w:rsidRPr="004938E4">
              <w:rPr>
                <w:rFonts w:ascii="Times New Roman" w:hAnsi="Times New Roman" w:cs="Times New Roman"/>
                <w:i/>
                <w:iCs/>
              </w:rPr>
              <w:t>R</w:t>
            </w:r>
            <w:r w:rsidR="00336BBE" w:rsidRPr="004938E4">
              <w:rPr>
                <w:rFonts w:ascii="Times New Roman" w:hAnsi="Times New Roman" w:cs="Times New Roman"/>
                <w:i/>
                <w:iCs/>
                <w:vertAlign w:val="superscript"/>
              </w:rPr>
              <w:t>2</w:t>
            </w:r>
            <w:r w:rsidR="00336BBE" w:rsidRPr="004938E4">
              <w:rPr>
                <w:rFonts w:ascii="Times New Roman" w:hAnsi="Times New Roman" w:cs="Times New Roman"/>
              </w:rPr>
              <w:t xml:space="preserve"> = 0.88)</w:t>
            </w:r>
          </w:p>
        </w:tc>
        <w:tc>
          <w:tcPr>
            <w:tcW w:w="1247" w:type="dxa"/>
            <w:noWrap/>
            <w:hideMark/>
          </w:tcPr>
          <w:p w14:paraId="0DA63D88"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3D9353C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5801330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410EC565"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7D50AE15" w14:textId="77777777" w:rsidTr="004938E4">
        <w:trPr>
          <w:trHeight w:val="320"/>
        </w:trPr>
        <w:tc>
          <w:tcPr>
            <w:tcW w:w="3686" w:type="dxa"/>
            <w:noWrap/>
            <w:hideMark/>
          </w:tcPr>
          <w:p w14:paraId="102569F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065E87FE" w14:textId="3CF794B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0.57</w:t>
            </w:r>
          </w:p>
        </w:tc>
        <w:tc>
          <w:tcPr>
            <w:tcW w:w="1507" w:type="dxa"/>
            <w:noWrap/>
            <w:vAlign w:val="bottom"/>
            <w:hideMark/>
          </w:tcPr>
          <w:p w14:paraId="7393C049" w14:textId="771306B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093" w:type="dxa"/>
            <w:noWrap/>
            <w:vAlign w:val="bottom"/>
            <w:hideMark/>
          </w:tcPr>
          <w:p w14:paraId="0644A663" w14:textId="27F2715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4.97</w:t>
            </w:r>
          </w:p>
        </w:tc>
        <w:tc>
          <w:tcPr>
            <w:tcW w:w="1300" w:type="dxa"/>
            <w:noWrap/>
            <w:vAlign w:val="bottom"/>
            <w:hideMark/>
          </w:tcPr>
          <w:p w14:paraId="12AFCCCE" w14:textId="56EA51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5B47A4F6" w14:textId="77777777" w:rsidTr="004938E4">
        <w:trPr>
          <w:trHeight w:val="320"/>
        </w:trPr>
        <w:tc>
          <w:tcPr>
            <w:tcW w:w="3686" w:type="dxa"/>
            <w:noWrap/>
            <w:hideMark/>
          </w:tcPr>
          <w:p w14:paraId="1B336520" w14:textId="624F996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1DBB3C17" w14:textId="2B1FAE9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507" w:type="dxa"/>
            <w:noWrap/>
            <w:vAlign w:val="bottom"/>
            <w:hideMark/>
          </w:tcPr>
          <w:p w14:paraId="32FD126D" w14:textId="7230FC0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31B8B1CC" w14:textId="0552C80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0.67</w:t>
            </w:r>
          </w:p>
        </w:tc>
        <w:tc>
          <w:tcPr>
            <w:tcW w:w="1300" w:type="dxa"/>
            <w:noWrap/>
            <w:vAlign w:val="bottom"/>
            <w:hideMark/>
          </w:tcPr>
          <w:p w14:paraId="15899C8E" w14:textId="176B4B8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0.50</w:t>
            </w:r>
          </w:p>
        </w:tc>
      </w:tr>
      <w:tr w:rsidR="004938E4" w:rsidRPr="004938E4" w14:paraId="629A547B" w14:textId="77777777" w:rsidTr="004938E4">
        <w:trPr>
          <w:trHeight w:val="320"/>
        </w:trPr>
        <w:tc>
          <w:tcPr>
            <w:tcW w:w="3686" w:type="dxa"/>
            <w:noWrap/>
            <w:hideMark/>
          </w:tcPr>
          <w:p w14:paraId="6690661A" w14:textId="6875C83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4CA9F37F" w14:textId="57B1B52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-0.42</w:t>
            </w:r>
          </w:p>
        </w:tc>
        <w:tc>
          <w:tcPr>
            <w:tcW w:w="1507" w:type="dxa"/>
            <w:noWrap/>
            <w:vAlign w:val="bottom"/>
            <w:hideMark/>
          </w:tcPr>
          <w:p w14:paraId="2EEF393D" w14:textId="56D2302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c>
          <w:tcPr>
            <w:tcW w:w="1093" w:type="dxa"/>
            <w:noWrap/>
            <w:vAlign w:val="bottom"/>
            <w:hideMark/>
          </w:tcPr>
          <w:p w14:paraId="2A73946E" w14:textId="7D9C804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-3.77</w:t>
            </w:r>
          </w:p>
        </w:tc>
        <w:tc>
          <w:tcPr>
            <w:tcW w:w="1300" w:type="dxa"/>
            <w:noWrap/>
            <w:vAlign w:val="bottom"/>
            <w:hideMark/>
          </w:tcPr>
          <w:p w14:paraId="2F120D70" w14:textId="0369213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6C819E9" w14:textId="77777777" w:rsidTr="004938E4">
        <w:trPr>
          <w:trHeight w:val="320"/>
        </w:trPr>
        <w:tc>
          <w:tcPr>
            <w:tcW w:w="3686" w:type="dxa"/>
            <w:noWrap/>
            <w:hideMark/>
          </w:tcPr>
          <w:p w14:paraId="55A7E7D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25773326" w14:textId="683F3E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0.45</w:t>
            </w:r>
          </w:p>
        </w:tc>
        <w:tc>
          <w:tcPr>
            <w:tcW w:w="1507" w:type="dxa"/>
            <w:noWrap/>
            <w:vAlign w:val="bottom"/>
            <w:hideMark/>
          </w:tcPr>
          <w:p w14:paraId="68F20A2D" w14:textId="0A545A2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093" w:type="dxa"/>
            <w:noWrap/>
            <w:vAlign w:val="bottom"/>
            <w:hideMark/>
          </w:tcPr>
          <w:p w14:paraId="287D443B" w14:textId="3D66CFA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2.69</w:t>
            </w:r>
          </w:p>
        </w:tc>
        <w:tc>
          <w:tcPr>
            <w:tcW w:w="1300" w:type="dxa"/>
            <w:noWrap/>
            <w:vAlign w:val="bottom"/>
            <w:hideMark/>
          </w:tcPr>
          <w:p w14:paraId="68AF43C7" w14:textId="7DF6F1C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59380564" w14:textId="77777777" w:rsidTr="004938E4">
        <w:trPr>
          <w:trHeight w:val="320"/>
        </w:trPr>
        <w:tc>
          <w:tcPr>
            <w:tcW w:w="3686" w:type="dxa"/>
            <w:noWrap/>
            <w:hideMark/>
          </w:tcPr>
          <w:p w14:paraId="6596D9B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72ADB54" w14:textId="0AD5F21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22D18E7" w14:textId="49D3C0D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093" w:type="dxa"/>
            <w:noWrap/>
            <w:vAlign w:val="bottom"/>
            <w:hideMark/>
          </w:tcPr>
          <w:p w14:paraId="47214BA1" w14:textId="3623AD9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-0.18</w:t>
            </w:r>
          </w:p>
        </w:tc>
        <w:tc>
          <w:tcPr>
            <w:tcW w:w="1300" w:type="dxa"/>
            <w:noWrap/>
            <w:vAlign w:val="bottom"/>
            <w:hideMark/>
          </w:tcPr>
          <w:p w14:paraId="635F471D" w14:textId="1652C4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0.85</w:t>
            </w:r>
          </w:p>
        </w:tc>
      </w:tr>
      <w:tr w:rsidR="004938E4" w:rsidRPr="004938E4" w14:paraId="74B51725" w14:textId="77777777" w:rsidTr="004938E4">
        <w:trPr>
          <w:trHeight w:val="320"/>
        </w:trPr>
        <w:tc>
          <w:tcPr>
            <w:tcW w:w="3686" w:type="dxa"/>
            <w:noWrap/>
            <w:hideMark/>
          </w:tcPr>
          <w:p w14:paraId="5533AFB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E89F8D" w14:textId="3B78D2F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1.33</w:t>
            </w:r>
          </w:p>
        </w:tc>
        <w:tc>
          <w:tcPr>
            <w:tcW w:w="1507" w:type="dxa"/>
            <w:noWrap/>
            <w:vAlign w:val="bottom"/>
            <w:hideMark/>
          </w:tcPr>
          <w:p w14:paraId="093DB42D" w14:textId="2423B82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0.34</w:t>
            </w:r>
          </w:p>
        </w:tc>
        <w:tc>
          <w:tcPr>
            <w:tcW w:w="1093" w:type="dxa"/>
            <w:noWrap/>
            <w:vAlign w:val="bottom"/>
            <w:hideMark/>
          </w:tcPr>
          <w:p w14:paraId="1F35CE8F" w14:textId="669C0E6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3.89</w:t>
            </w:r>
          </w:p>
        </w:tc>
        <w:tc>
          <w:tcPr>
            <w:tcW w:w="1300" w:type="dxa"/>
            <w:noWrap/>
            <w:vAlign w:val="bottom"/>
            <w:hideMark/>
          </w:tcPr>
          <w:p w14:paraId="6E41FDDE" w14:textId="1380483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A190B1B" w14:textId="77777777" w:rsidTr="004938E4">
        <w:trPr>
          <w:trHeight w:val="320"/>
        </w:trPr>
        <w:tc>
          <w:tcPr>
            <w:tcW w:w="3686" w:type="dxa"/>
            <w:noWrap/>
            <w:hideMark/>
          </w:tcPr>
          <w:p w14:paraId="6245DD0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2D3E2A3E" w14:textId="43FCD8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507" w:type="dxa"/>
            <w:noWrap/>
            <w:vAlign w:val="bottom"/>
            <w:hideMark/>
          </w:tcPr>
          <w:p w14:paraId="44E7634A" w14:textId="6DBCDF8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7BD8F4C2" w14:textId="4253BC8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-2.71</w:t>
            </w:r>
          </w:p>
        </w:tc>
        <w:tc>
          <w:tcPr>
            <w:tcW w:w="1300" w:type="dxa"/>
            <w:noWrap/>
            <w:vAlign w:val="bottom"/>
            <w:hideMark/>
          </w:tcPr>
          <w:p w14:paraId="4D329F60" w14:textId="33411C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5A70A88A" w14:textId="77777777" w:rsidTr="004938E4">
        <w:trPr>
          <w:trHeight w:val="320"/>
        </w:trPr>
        <w:tc>
          <w:tcPr>
            <w:tcW w:w="3686" w:type="dxa"/>
            <w:noWrap/>
            <w:hideMark/>
          </w:tcPr>
          <w:p w14:paraId="1DCBCD7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2E974DF1" w14:textId="6A59BC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D95D0FE" w14:textId="0D4A290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777F942F" w14:textId="3646B30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0.44</w:t>
            </w:r>
          </w:p>
        </w:tc>
        <w:tc>
          <w:tcPr>
            <w:tcW w:w="1300" w:type="dxa"/>
            <w:noWrap/>
            <w:vAlign w:val="bottom"/>
            <w:hideMark/>
          </w:tcPr>
          <w:p w14:paraId="7464CF46" w14:textId="3646CC4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r>
      <w:tr w:rsidR="004938E4" w:rsidRPr="004938E4" w14:paraId="366D842F" w14:textId="77777777" w:rsidTr="004938E4">
        <w:trPr>
          <w:trHeight w:val="320"/>
        </w:trPr>
        <w:tc>
          <w:tcPr>
            <w:tcW w:w="3686" w:type="dxa"/>
            <w:noWrap/>
            <w:hideMark/>
          </w:tcPr>
          <w:p w14:paraId="2EFE9691"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77E309BF" w14:textId="1987060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c>
          <w:tcPr>
            <w:tcW w:w="1507" w:type="dxa"/>
            <w:noWrap/>
            <w:vAlign w:val="bottom"/>
            <w:hideMark/>
          </w:tcPr>
          <w:p w14:paraId="5BF9D2C1" w14:textId="37C896B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093" w:type="dxa"/>
            <w:noWrap/>
            <w:vAlign w:val="bottom"/>
            <w:hideMark/>
          </w:tcPr>
          <w:p w14:paraId="1A172562" w14:textId="422BFA8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3.36</w:t>
            </w:r>
          </w:p>
        </w:tc>
        <w:tc>
          <w:tcPr>
            <w:tcW w:w="1300" w:type="dxa"/>
            <w:noWrap/>
            <w:vAlign w:val="bottom"/>
            <w:hideMark/>
          </w:tcPr>
          <w:p w14:paraId="0501F054" w14:textId="37E3E2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1B9E670F" w14:textId="77777777" w:rsidTr="004938E4">
        <w:trPr>
          <w:trHeight w:val="320"/>
        </w:trPr>
        <w:tc>
          <w:tcPr>
            <w:tcW w:w="3686" w:type="dxa"/>
            <w:noWrap/>
            <w:hideMark/>
          </w:tcPr>
          <w:p w14:paraId="2274C5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74C41C6E" w14:textId="5E3243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c>
          <w:tcPr>
            <w:tcW w:w="1507" w:type="dxa"/>
            <w:noWrap/>
            <w:vAlign w:val="bottom"/>
            <w:hideMark/>
          </w:tcPr>
          <w:p w14:paraId="2283A924" w14:textId="469303A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c>
          <w:tcPr>
            <w:tcW w:w="1093" w:type="dxa"/>
            <w:noWrap/>
            <w:vAlign w:val="bottom"/>
            <w:hideMark/>
          </w:tcPr>
          <w:p w14:paraId="2FFC8340" w14:textId="684E45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0.99</w:t>
            </w:r>
          </w:p>
        </w:tc>
        <w:tc>
          <w:tcPr>
            <w:tcW w:w="1300" w:type="dxa"/>
            <w:noWrap/>
            <w:vAlign w:val="bottom"/>
            <w:hideMark/>
          </w:tcPr>
          <w:p w14:paraId="0543F86F" w14:textId="34D01E9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0.32</w:t>
            </w:r>
          </w:p>
        </w:tc>
      </w:tr>
      <w:tr w:rsidR="004938E4" w:rsidRPr="004938E4" w14:paraId="39B7C35D" w14:textId="77777777" w:rsidTr="004938E4">
        <w:trPr>
          <w:trHeight w:val="320"/>
        </w:trPr>
        <w:tc>
          <w:tcPr>
            <w:tcW w:w="3686" w:type="dxa"/>
            <w:noWrap/>
            <w:hideMark/>
          </w:tcPr>
          <w:p w14:paraId="26E46EC9"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247AE1AC" w14:textId="493BF6F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507" w:type="dxa"/>
            <w:noWrap/>
            <w:vAlign w:val="bottom"/>
            <w:hideMark/>
          </w:tcPr>
          <w:p w14:paraId="1930565C" w14:textId="542795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c>
          <w:tcPr>
            <w:tcW w:w="1093" w:type="dxa"/>
            <w:noWrap/>
            <w:vAlign w:val="bottom"/>
            <w:hideMark/>
          </w:tcPr>
          <w:p w14:paraId="6E6DB6D9" w14:textId="6DE462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-0.67</w:t>
            </w:r>
          </w:p>
        </w:tc>
        <w:tc>
          <w:tcPr>
            <w:tcW w:w="1300" w:type="dxa"/>
            <w:noWrap/>
            <w:vAlign w:val="bottom"/>
            <w:hideMark/>
          </w:tcPr>
          <w:p w14:paraId="020CA237" w14:textId="09251C9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0.51</w:t>
            </w:r>
          </w:p>
        </w:tc>
      </w:tr>
    </w:tbl>
    <w:p w14:paraId="67EF178C" w14:textId="270E1E26" w:rsidR="00336BBE" w:rsidRPr="004938E4" w:rsidRDefault="00336BBE" w:rsidP="000A07F5">
      <w:pPr>
        <w:rPr>
          <w:rFonts w:ascii="Times New Roman" w:hAnsi="Times New Roman" w:cs="Times New Roman"/>
        </w:rPr>
      </w:pPr>
    </w:p>
    <w:p w14:paraId="24C911C7" w14:textId="77777777" w:rsidR="00657643" w:rsidRPr="004938E4" w:rsidRDefault="00657643" w:rsidP="000A07F5">
      <w:pPr>
        <w:rPr>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3E37744C" w:rsidR="00336BBE" w:rsidRPr="004938E4" w:rsidRDefault="004938E4" w:rsidP="000A07F5">
            <w:pPr>
              <w:jc w:val="left"/>
              <w:rPr>
                <w:rFonts w:ascii="Times New Roman" w:hAnsi="Times New Roman" w:cs="Times New Roman"/>
                <w:b/>
                <w:bCs/>
              </w:rPr>
            </w:pPr>
            <w:proofErr w:type="spellStart"/>
            <w:r w:rsidRPr="004938E4">
              <w:rPr>
                <w:rFonts w:ascii="Times New Roman" w:hAnsi="Times New Roman" w:cs="Times New Roman"/>
                <w:b/>
                <w:bCs/>
              </w:rPr>
              <w:t>Turbinidae</w:t>
            </w:r>
            <w:proofErr w:type="spellEnd"/>
            <w:r w:rsidRPr="004938E4">
              <w:rPr>
                <w:rFonts w:ascii="Times New Roman" w:hAnsi="Times New Roman" w:cs="Times New Roman"/>
                <w:b/>
                <w:bCs/>
              </w:rPr>
              <w:t xml:space="preserve"> </w:t>
            </w:r>
            <w:r w:rsidR="00336BBE" w:rsidRPr="004938E4">
              <w:rPr>
                <w:rFonts w:ascii="Times New Roman" w:hAnsi="Times New Roman" w:cs="Times New Roman"/>
              </w:rPr>
              <w:t>(</w:t>
            </w:r>
            <w:r w:rsidR="00336BBE" w:rsidRPr="004938E4">
              <w:rPr>
                <w:rFonts w:ascii="Times New Roman" w:hAnsi="Times New Roman" w:cs="Times New Roman"/>
                <w:i/>
                <w:iCs/>
              </w:rPr>
              <w:t>R</w:t>
            </w:r>
            <w:r w:rsidR="00336BBE" w:rsidRPr="004938E4">
              <w:rPr>
                <w:rFonts w:ascii="Times New Roman" w:hAnsi="Times New Roman" w:cs="Times New Roman"/>
                <w:i/>
                <w:iCs/>
                <w:vertAlign w:val="superscript"/>
              </w:rPr>
              <w:t>2</w:t>
            </w:r>
            <w:r w:rsidR="00336BBE" w:rsidRPr="004938E4">
              <w:rPr>
                <w:rFonts w:ascii="Times New Roman" w:hAnsi="Times New Roman" w:cs="Times New Roman"/>
              </w:rPr>
              <w:t xml:space="preserve"> = 0.88)</w:t>
            </w:r>
          </w:p>
        </w:tc>
        <w:tc>
          <w:tcPr>
            <w:tcW w:w="1247" w:type="dxa"/>
            <w:noWrap/>
            <w:hideMark/>
          </w:tcPr>
          <w:p w14:paraId="45F39CC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2DD330A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19FF2C46"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6D524195"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366FE337" w14:textId="77777777" w:rsidTr="00135304">
        <w:trPr>
          <w:trHeight w:val="320"/>
        </w:trPr>
        <w:tc>
          <w:tcPr>
            <w:tcW w:w="3686" w:type="dxa"/>
            <w:noWrap/>
            <w:hideMark/>
          </w:tcPr>
          <w:p w14:paraId="438340D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1D5BD419" w14:textId="45C2E7E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66E481F2" w14:textId="7FE2BA0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093" w:type="dxa"/>
            <w:noWrap/>
            <w:vAlign w:val="bottom"/>
            <w:hideMark/>
          </w:tcPr>
          <w:p w14:paraId="675A09F6" w14:textId="280B97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0.50</w:t>
            </w:r>
          </w:p>
        </w:tc>
        <w:tc>
          <w:tcPr>
            <w:tcW w:w="1300" w:type="dxa"/>
            <w:noWrap/>
            <w:vAlign w:val="bottom"/>
            <w:hideMark/>
          </w:tcPr>
          <w:p w14:paraId="043D1589" w14:textId="3A6CE42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0.61</w:t>
            </w:r>
          </w:p>
        </w:tc>
      </w:tr>
      <w:tr w:rsidR="004938E4" w:rsidRPr="004938E4" w14:paraId="36F788C3" w14:textId="77777777" w:rsidTr="00135304">
        <w:trPr>
          <w:trHeight w:val="320"/>
        </w:trPr>
        <w:tc>
          <w:tcPr>
            <w:tcW w:w="3686" w:type="dxa"/>
            <w:noWrap/>
            <w:hideMark/>
          </w:tcPr>
          <w:p w14:paraId="7D6C8287" w14:textId="3A99FD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46D8752C" w14:textId="713CE0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0.29</w:t>
            </w:r>
          </w:p>
        </w:tc>
        <w:tc>
          <w:tcPr>
            <w:tcW w:w="1507" w:type="dxa"/>
            <w:noWrap/>
            <w:vAlign w:val="bottom"/>
            <w:hideMark/>
          </w:tcPr>
          <w:p w14:paraId="7913E3AF" w14:textId="5D032E0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0B12B474" w14:textId="60A231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3.30</w:t>
            </w:r>
          </w:p>
        </w:tc>
        <w:tc>
          <w:tcPr>
            <w:tcW w:w="1300" w:type="dxa"/>
            <w:noWrap/>
            <w:vAlign w:val="bottom"/>
            <w:hideMark/>
          </w:tcPr>
          <w:p w14:paraId="67A16DA0" w14:textId="74DFD8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61EAD5AB" w14:textId="77777777" w:rsidTr="00135304">
        <w:trPr>
          <w:trHeight w:val="320"/>
        </w:trPr>
        <w:tc>
          <w:tcPr>
            <w:tcW w:w="3686" w:type="dxa"/>
            <w:noWrap/>
            <w:hideMark/>
          </w:tcPr>
          <w:p w14:paraId="5146816C" w14:textId="45442A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8DFEB3F" w14:textId="6372DA1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-0.34</w:t>
            </w:r>
          </w:p>
        </w:tc>
        <w:tc>
          <w:tcPr>
            <w:tcW w:w="1507" w:type="dxa"/>
            <w:noWrap/>
            <w:vAlign w:val="bottom"/>
            <w:hideMark/>
          </w:tcPr>
          <w:p w14:paraId="61508FA6" w14:textId="0FA161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0.21</w:t>
            </w:r>
          </w:p>
        </w:tc>
        <w:tc>
          <w:tcPr>
            <w:tcW w:w="1093" w:type="dxa"/>
            <w:noWrap/>
            <w:vAlign w:val="bottom"/>
            <w:hideMark/>
          </w:tcPr>
          <w:p w14:paraId="6AA3C33F" w14:textId="6EFB955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-1.60</w:t>
            </w:r>
          </w:p>
        </w:tc>
        <w:tc>
          <w:tcPr>
            <w:tcW w:w="1300" w:type="dxa"/>
            <w:noWrap/>
            <w:vAlign w:val="bottom"/>
            <w:hideMark/>
          </w:tcPr>
          <w:p w14:paraId="27862FF7" w14:textId="7D4C7F1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r>
      <w:tr w:rsidR="004938E4" w:rsidRPr="004938E4" w14:paraId="58FBAF0D" w14:textId="77777777" w:rsidTr="00135304">
        <w:trPr>
          <w:trHeight w:val="320"/>
        </w:trPr>
        <w:tc>
          <w:tcPr>
            <w:tcW w:w="3686" w:type="dxa"/>
            <w:noWrap/>
            <w:hideMark/>
          </w:tcPr>
          <w:p w14:paraId="0913F12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5D16BAC2" w14:textId="150CE9E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0.23</w:t>
            </w:r>
          </w:p>
        </w:tc>
        <w:tc>
          <w:tcPr>
            <w:tcW w:w="1507" w:type="dxa"/>
            <w:noWrap/>
            <w:vAlign w:val="bottom"/>
            <w:hideMark/>
          </w:tcPr>
          <w:p w14:paraId="4C0785A8" w14:textId="0CD2E43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579F6E6C" w14:textId="02B2F5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4.30</w:t>
            </w:r>
          </w:p>
        </w:tc>
        <w:tc>
          <w:tcPr>
            <w:tcW w:w="1300" w:type="dxa"/>
            <w:noWrap/>
            <w:vAlign w:val="bottom"/>
            <w:hideMark/>
          </w:tcPr>
          <w:p w14:paraId="1A5C10C2" w14:textId="78C27F5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E2660D1" w14:textId="77777777" w:rsidTr="00135304">
        <w:trPr>
          <w:trHeight w:val="320"/>
        </w:trPr>
        <w:tc>
          <w:tcPr>
            <w:tcW w:w="3686" w:type="dxa"/>
            <w:noWrap/>
            <w:hideMark/>
          </w:tcPr>
          <w:p w14:paraId="4A7777F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442FED2" w14:textId="6A41AD3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507" w:type="dxa"/>
            <w:noWrap/>
            <w:vAlign w:val="bottom"/>
            <w:hideMark/>
          </w:tcPr>
          <w:p w14:paraId="7936BD4A" w14:textId="26495F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4408BB84" w14:textId="12EFB8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0.35</w:t>
            </w:r>
          </w:p>
        </w:tc>
        <w:tc>
          <w:tcPr>
            <w:tcW w:w="1300" w:type="dxa"/>
            <w:noWrap/>
            <w:vAlign w:val="bottom"/>
            <w:hideMark/>
          </w:tcPr>
          <w:p w14:paraId="1E0E858E" w14:textId="5F23AD6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0.73</w:t>
            </w:r>
          </w:p>
        </w:tc>
      </w:tr>
      <w:tr w:rsidR="004938E4" w:rsidRPr="004938E4" w14:paraId="3D2160AB" w14:textId="77777777" w:rsidTr="00135304">
        <w:trPr>
          <w:trHeight w:val="320"/>
        </w:trPr>
        <w:tc>
          <w:tcPr>
            <w:tcW w:w="3686" w:type="dxa"/>
            <w:noWrap/>
            <w:hideMark/>
          </w:tcPr>
          <w:p w14:paraId="115D0FA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2EA927" w14:textId="3C4C679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c>
          <w:tcPr>
            <w:tcW w:w="1507" w:type="dxa"/>
            <w:noWrap/>
            <w:vAlign w:val="bottom"/>
            <w:hideMark/>
          </w:tcPr>
          <w:p w14:paraId="2B1C0015" w14:textId="54626D0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6C3BE0F8" w14:textId="219E6B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2.37</w:t>
            </w:r>
          </w:p>
        </w:tc>
        <w:tc>
          <w:tcPr>
            <w:tcW w:w="1300" w:type="dxa"/>
            <w:noWrap/>
            <w:vAlign w:val="bottom"/>
            <w:hideMark/>
          </w:tcPr>
          <w:p w14:paraId="503284E7" w14:textId="33A2071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376F1755" w14:textId="77777777" w:rsidTr="00135304">
        <w:trPr>
          <w:trHeight w:val="320"/>
        </w:trPr>
        <w:tc>
          <w:tcPr>
            <w:tcW w:w="3686" w:type="dxa"/>
            <w:noWrap/>
            <w:hideMark/>
          </w:tcPr>
          <w:p w14:paraId="4486564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70A92A60" w14:textId="5AC51B9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24CB8862" w14:textId="5B008D2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F3BD378" w14:textId="3E4B53C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2.27</w:t>
            </w:r>
          </w:p>
        </w:tc>
        <w:tc>
          <w:tcPr>
            <w:tcW w:w="1300" w:type="dxa"/>
            <w:noWrap/>
            <w:vAlign w:val="bottom"/>
            <w:hideMark/>
          </w:tcPr>
          <w:p w14:paraId="252C8174" w14:textId="514F1B3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4496E55C" w14:textId="77777777" w:rsidTr="00135304">
        <w:trPr>
          <w:trHeight w:val="320"/>
        </w:trPr>
        <w:tc>
          <w:tcPr>
            <w:tcW w:w="3686" w:type="dxa"/>
            <w:noWrap/>
            <w:hideMark/>
          </w:tcPr>
          <w:p w14:paraId="3BDEE9B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71B85F5A" w14:textId="538768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492EEC0B" w14:textId="04D0D9F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28222E80" w14:textId="190DB71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0.40</w:t>
            </w:r>
          </w:p>
        </w:tc>
        <w:tc>
          <w:tcPr>
            <w:tcW w:w="1300" w:type="dxa"/>
            <w:noWrap/>
            <w:vAlign w:val="bottom"/>
            <w:hideMark/>
          </w:tcPr>
          <w:p w14:paraId="425EA96F" w14:textId="1EF9A0B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0.69</w:t>
            </w:r>
          </w:p>
        </w:tc>
      </w:tr>
      <w:tr w:rsidR="004938E4" w:rsidRPr="004938E4" w14:paraId="58297E46" w14:textId="77777777" w:rsidTr="00135304">
        <w:trPr>
          <w:trHeight w:val="320"/>
        </w:trPr>
        <w:tc>
          <w:tcPr>
            <w:tcW w:w="3686" w:type="dxa"/>
            <w:noWrap/>
            <w:hideMark/>
          </w:tcPr>
          <w:p w14:paraId="6BE9D2AF"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044482BB" w14:textId="60F7D95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0.21</w:t>
            </w:r>
          </w:p>
        </w:tc>
        <w:tc>
          <w:tcPr>
            <w:tcW w:w="1507" w:type="dxa"/>
            <w:noWrap/>
            <w:vAlign w:val="bottom"/>
            <w:hideMark/>
          </w:tcPr>
          <w:p w14:paraId="5357FCD9" w14:textId="563E37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718C0485" w14:textId="0C22762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2.37</w:t>
            </w:r>
          </w:p>
        </w:tc>
        <w:tc>
          <w:tcPr>
            <w:tcW w:w="1300" w:type="dxa"/>
            <w:noWrap/>
            <w:vAlign w:val="bottom"/>
            <w:hideMark/>
          </w:tcPr>
          <w:p w14:paraId="23964D8A" w14:textId="43A838B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1F1FCAE0" w14:textId="77777777" w:rsidTr="00135304">
        <w:trPr>
          <w:trHeight w:val="320"/>
        </w:trPr>
        <w:tc>
          <w:tcPr>
            <w:tcW w:w="3686" w:type="dxa"/>
            <w:noWrap/>
            <w:hideMark/>
          </w:tcPr>
          <w:p w14:paraId="4ADE26C9"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782C150" w14:textId="0723B42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E3F0129" w14:textId="007F93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521C7FB3" w14:textId="375C4B9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300" w:type="dxa"/>
            <w:noWrap/>
            <w:vAlign w:val="bottom"/>
            <w:hideMark/>
          </w:tcPr>
          <w:p w14:paraId="2A5BCEF8" w14:textId="52B37A7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0.87</w:t>
            </w:r>
          </w:p>
        </w:tc>
      </w:tr>
      <w:tr w:rsidR="004938E4" w:rsidRPr="004938E4" w14:paraId="0F280B6F" w14:textId="77777777" w:rsidTr="00135304">
        <w:trPr>
          <w:trHeight w:val="320"/>
        </w:trPr>
        <w:tc>
          <w:tcPr>
            <w:tcW w:w="3686" w:type="dxa"/>
            <w:noWrap/>
            <w:hideMark/>
          </w:tcPr>
          <w:p w14:paraId="21B6B17E"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78C3F880" w14:textId="1CC407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11213C84" w14:textId="4BF873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431B4ABA" w14:textId="5C80A81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300" w:type="dxa"/>
            <w:noWrap/>
            <w:vAlign w:val="bottom"/>
            <w:hideMark/>
          </w:tcPr>
          <w:p w14:paraId="090E92F2" w14:textId="4A66181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0.51</w:t>
            </w:r>
          </w:p>
        </w:tc>
      </w:tr>
    </w:tbl>
    <w:p w14:paraId="0E4B59AC" w14:textId="77777777" w:rsidR="00336BBE" w:rsidRPr="004938E4"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23D8D"/>
    <w:rsid w:val="00043265"/>
    <w:rsid w:val="000A07F5"/>
    <w:rsid w:val="00125E70"/>
    <w:rsid w:val="00140FE6"/>
    <w:rsid w:val="00170D95"/>
    <w:rsid w:val="001A2AFA"/>
    <w:rsid w:val="001E46BA"/>
    <w:rsid w:val="00213F7E"/>
    <w:rsid w:val="00291048"/>
    <w:rsid w:val="002A2CE4"/>
    <w:rsid w:val="002E1BC3"/>
    <w:rsid w:val="00336BBE"/>
    <w:rsid w:val="0036279F"/>
    <w:rsid w:val="00445ECC"/>
    <w:rsid w:val="004463CB"/>
    <w:rsid w:val="00454772"/>
    <w:rsid w:val="00461423"/>
    <w:rsid w:val="004938E4"/>
    <w:rsid w:val="00546390"/>
    <w:rsid w:val="0055518E"/>
    <w:rsid w:val="005E4748"/>
    <w:rsid w:val="00657643"/>
    <w:rsid w:val="0071551A"/>
    <w:rsid w:val="00747EF0"/>
    <w:rsid w:val="007A639B"/>
    <w:rsid w:val="00820C99"/>
    <w:rsid w:val="00861362"/>
    <w:rsid w:val="008E7C00"/>
    <w:rsid w:val="008F7E10"/>
    <w:rsid w:val="00907730"/>
    <w:rsid w:val="009C0612"/>
    <w:rsid w:val="00A15ED4"/>
    <w:rsid w:val="00A46B7B"/>
    <w:rsid w:val="00A95FD9"/>
    <w:rsid w:val="00B12153"/>
    <w:rsid w:val="00B55FD5"/>
    <w:rsid w:val="00BE7F2E"/>
    <w:rsid w:val="00C27D8F"/>
    <w:rsid w:val="00C62CA7"/>
    <w:rsid w:val="00C62ED3"/>
    <w:rsid w:val="00D30C8F"/>
    <w:rsid w:val="00DA1F54"/>
    <w:rsid w:val="00E061EB"/>
    <w:rsid w:val="00E34CBB"/>
    <w:rsid w:val="00E4578F"/>
    <w:rsid w:val="00E57366"/>
    <w:rsid w:val="00E66950"/>
    <w:rsid w:val="00F50180"/>
    <w:rsid w:val="00F70C95"/>
    <w:rsid w:val="00F71618"/>
    <w:rsid w:val="00FF0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spacing w:line="480" w:lineRule="auto"/>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82145">
      <w:bodyDiv w:val="1"/>
      <w:marLeft w:val="0"/>
      <w:marRight w:val="0"/>
      <w:marTop w:val="0"/>
      <w:marBottom w:val="0"/>
      <w:divBdr>
        <w:top w:val="none" w:sz="0" w:space="0" w:color="auto"/>
        <w:left w:val="none" w:sz="0" w:space="0" w:color="auto"/>
        <w:bottom w:val="none" w:sz="0" w:space="0" w:color="auto"/>
        <w:right w:val="none" w:sz="0" w:space="0" w:color="auto"/>
      </w:divBdr>
    </w:div>
    <w:div w:id="654337179">
      <w:bodyDiv w:val="1"/>
      <w:marLeft w:val="0"/>
      <w:marRight w:val="0"/>
      <w:marTop w:val="0"/>
      <w:marBottom w:val="0"/>
      <w:divBdr>
        <w:top w:val="none" w:sz="0" w:space="0" w:color="auto"/>
        <w:left w:val="none" w:sz="0" w:space="0" w:color="auto"/>
        <w:bottom w:val="none" w:sz="0" w:space="0" w:color="auto"/>
        <w:right w:val="none" w:sz="0" w:space="0" w:color="auto"/>
      </w:divBdr>
    </w:div>
    <w:div w:id="663582853">
      <w:bodyDiv w:val="1"/>
      <w:marLeft w:val="0"/>
      <w:marRight w:val="0"/>
      <w:marTop w:val="0"/>
      <w:marBottom w:val="0"/>
      <w:divBdr>
        <w:top w:val="none" w:sz="0" w:space="0" w:color="auto"/>
        <w:left w:val="none" w:sz="0" w:space="0" w:color="auto"/>
        <w:bottom w:val="none" w:sz="0" w:space="0" w:color="auto"/>
        <w:right w:val="none" w:sz="0" w:space="0" w:color="auto"/>
      </w:divBdr>
    </w:div>
    <w:div w:id="1138762753">
      <w:bodyDiv w:val="1"/>
      <w:marLeft w:val="0"/>
      <w:marRight w:val="0"/>
      <w:marTop w:val="0"/>
      <w:marBottom w:val="0"/>
      <w:divBdr>
        <w:top w:val="none" w:sz="0" w:space="0" w:color="auto"/>
        <w:left w:val="none" w:sz="0" w:space="0" w:color="auto"/>
        <w:bottom w:val="none" w:sz="0" w:space="0" w:color="auto"/>
        <w:right w:val="none" w:sz="0" w:space="0" w:color="auto"/>
      </w:divBdr>
    </w:div>
    <w:div w:id="1724210625">
      <w:bodyDiv w:val="1"/>
      <w:marLeft w:val="0"/>
      <w:marRight w:val="0"/>
      <w:marTop w:val="0"/>
      <w:marBottom w:val="0"/>
      <w:divBdr>
        <w:top w:val="none" w:sz="0" w:space="0" w:color="auto"/>
        <w:left w:val="none" w:sz="0" w:space="0" w:color="auto"/>
        <w:bottom w:val="none" w:sz="0" w:space="0" w:color="auto"/>
        <w:right w:val="none" w:sz="0" w:space="0" w:color="auto"/>
      </w:divBdr>
    </w:div>
    <w:div w:id="1823692675">
      <w:bodyDiv w:val="1"/>
      <w:marLeft w:val="0"/>
      <w:marRight w:val="0"/>
      <w:marTop w:val="0"/>
      <w:marBottom w:val="0"/>
      <w:divBdr>
        <w:top w:val="none" w:sz="0" w:space="0" w:color="auto"/>
        <w:left w:val="none" w:sz="0" w:space="0" w:color="auto"/>
        <w:bottom w:val="none" w:sz="0" w:space="0" w:color="auto"/>
        <w:right w:val="none" w:sz="0" w:space="0" w:color="auto"/>
      </w:divBdr>
    </w:div>
    <w:div w:id="1873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m_lim@sfu.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24</Pages>
  <Words>12390</Words>
  <Characters>72856</Characters>
  <Application>Microsoft Office Word</Application>
  <DocSecurity>0</DocSecurity>
  <Lines>1256</Lines>
  <Paragraphs>258</Paragraphs>
  <ScaleCrop>false</ScaleCrop>
  <Company/>
  <LinksUpToDate>false</LinksUpToDate>
  <CharactersWithSpaces>84988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54</cp:revision>
  <dcterms:created xsi:type="dcterms:W3CDTF">2024-11-27T21:11:00Z</dcterms:created>
  <dcterms:modified xsi:type="dcterms:W3CDTF">2024-12-10T23:55:00Z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id="vBcNxIDc"/&gt;&lt;style id="http://www.zotero.org/styles/limnology-and-oceanography" hasBibliography="1" bibliographyStyleHasBeenSet="1"/&gt;&lt;prefs&gt;&lt;pref name="fieldType" value="Field"/&gt;&lt;/prefs&gt;&lt;/data&gt;</vt:lpwstr>
  </property>
</Properties>
</file>