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EF2" w:rsidRDefault="00745147">
      <w:pPr>
        <w:rPr>
          <w:rFonts w:ascii="Times New Roman" w:hAnsi="Times New Roman" w:cs="Times New Roman"/>
          <w:sz w:val="24"/>
          <w:szCs w:val="24"/>
        </w:rPr>
      </w:pPr>
      <w:r>
        <w:rPr>
          <w:rFonts w:ascii="Times New Roman" w:hAnsi="Times New Roman" w:cs="Times New Roman"/>
          <w:sz w:val="24"/>
          <w:szCs w:val="24"/>
        </w:rPr>
        <w:t xml:space="preserve">The SAM </w:t>
      </w:r>
      <w:r w:rsidR="004F6EF2">
        <w:rPr>
          <w:rFonts w:ascii="Times New Roman" w:hAnsi="Times New Roman" w:cs="Times New Roman"/>
          <w:sz w:val="24"/>
          <w:szCs w:val="24"/>
        </w:rPr>
        <w:t xml:space="preserve">used in our CGE model is </w:t>
      </w:r>
      <w:r>
        <w:rPr>
          <w:rFonts w:ascii="Times New Roman" w:hAnsi="Times New Roman" w:cs="Times New Roman"/>
          <w:sz w:val="24"/>
          <w:szCs w:val="24"/>
        </w:rPr>
        <w:t>constructed in</w:t>
      </w:r>
      <w:r w:rsidR="004F6EF2">
        <w:rPr>
          <w:rFonts w:ascii="Times New Roman" w:hAnsi="Times New Roman" w:cs="Times New Roman"/>
          <w:sz w:val="24"/>
          <w:szCs w:val="24"/>
        </w:rPr>
        <w:t xml:space="preserve"> </w:t>
      </w:r>
      <w:r>
        <w:rPr>
          <w:rFonts w:ascii="Times New Roman" w:hAnsi="Times New Roman" w:cs="Times New Roman"/>
          <w:sz w:val="24"/>
          <w:szCs w:val="24"/>
        </w:rPr>
        <w:t>five</w:t>
      </w:r>
      <w:r w:rsidR="004F6EF2">
        <w:rPr>
          <w:rFonts w:ascii="Times New Roman" w:hAnsi="Times New Roman" w:cs="Times New Roman"/>
          <w:sz w:val="24"/>
          <w:szCs w:val="24"/>
        </w:rPr>
        <w:t xml:space="preserve"> steps. Firstly, we build a preliminary SAM using IMPLAN data. Next, we clean the entries in this SAM to make it workable with our CGE model.</w:t>
      </w:r>
      <w:r w:rsidR="00C86330">
        <w:rPr>
          <w:rFonts w:ascii="Times New Roman" w:hAnsi="Times New Roman" w:cs="Times New Roman"/>
          <w:sz w:val="24"/>
          <w:szCs w:val="24"/>
        </w:rPr>
        <w:t xml:space="preserve"> </w:t>
      </w:r>
      <w:r w:rsidR="00C86330">
        <w:rPr>
          <w:rFonts w:ascii="Times New Roman" w:hAnsi="Times New Roman" w:cs="Times New Roman"/>
          <w:sz w:val="24"/>
          <w:szCs w:val="24"/>
        </w:rPr>
        <w:t xml:space="preserve">Thirdly, we use biomass waste data to create a biomass </w:t>
      </w:r>
      <w:r w:rsidR="00C86330">
        <w:rPr>
          <w:rFonts w:ascii="Times New Roman" w:hAnsi="Times New Roman" w:cs="Times New Roman"/>
          <w:sz w:val="24"/>
          <w:szCs w:val="24"/>
        </w:rPr>
        <w:t>sector</w:t>
      </w:r>
      <w:r w:rsidR="00C86330">
        <w:rPr>
          <w:rFonts w:ascii="Times New Roman" w:hAnsi="Times New Roman" w:cs="Times New Roman"/>
          <w:sz w:val="24"/>
          <w:szCs w:val="24"/>
        </w:rPr>
        <w:t xml:space="preserve"> that depends on other biomass-producing sectors. </w:t>
      </w:r>
      <w:r w:rsidR="00C86330">
        <w:rPr>
          <w:rFonts w:ascii="Times New Roman" w:hAnsi="Times New Roman" w:cs="Times New Roman"/>
          <w:sz w:val="24"/>
          <w:szCs w:val="24"/>
        </w:rPr>
        <w:t>Then</w:t>
      </w:r>
      <w:r w:rsidR="004F6EF2">
        <w:rPr>
          <w:rFonts w:ascii="Times New Roman" w:hAnsi="Times New Roman" w:cs="Times New Roman"/>
          <w:sz w:val="24"/>
          <w:szCs w:val="24"/>
        </w:rPr>
        <w:t>, we introduce a theoretical BECCS sector</w:t>
      </w:r>
      <w:r w:rsidR="00C86330">
        <w:rPr>
          <w:rFonts w:ascii="Times New Roman" w:hAnsi="Times New Roman" w:cs="Times New Roman"/>
          <w:sz w:val="24"/>
          <w:szCs w:val="24"/>
        </w:rPr>
        <w:t xml:space="preserve"> that uses this sector as an input</w:t>
      </w:r>
      <w:r w:rsidR="004F6EF2">
        <w:rPr>
          <w:rFonts w:ascii="Times New Roman" w:hAnsi="Times New Roman" w:cs="Times New Roman"/>
          <w:sz w:val="24"/>
          <w:szCs w:val="24"/>
        </w:rPr>
        <w:t xml:space="preserve">. </w:t>
      </w:r>
      <w:r w:rsidR="00C86330">
        <w:rPr>
          <w:rFonts w:ascii="Times New Roman" w:hAnsi="Times New Roman" w:cs="Times New Roman"/>
          <w:sz w:val="24"/>
          <w:szCs w:val="24"/>
        </w:rPr>
        <w:t>Fifth</w:t>
      </w:r>
      <w:r w:rsidR="004F6EF2">
        <w:rPr>
          <w:rFonts w:ascii="Times New Roman" w:hAnsi="Times New Roman" w:cs="Times New Roman"/>
          <w:sz w:val="24"/>
          <w:szCs w:val="24"/>
        </w:rPr>
        <w:t xml:space="preserve">, we process the electricity generation sectors into three bundles </w:t>
      </w:r>
      <w:r w:rsidR="00BA083F">
        <w:rPr>
          <w:rFonts w:ascii="Times New Roman" w:hAnsi="Times New Roman" w:cs="Times New Roman"/>
          <w:sz w:val="24"/>
          <w:szCs w:val="24"/>
        </w:rPr>
        <w:t>– renewables</w:t>
      </w:r>
      <w:r w:rsidR="004F6EF2">
        <w:rPr>
          <w:rFonts w:ascii="Times New Roman" w:hAnsi="Times New Roman" w:cs="Times New Roman"/>
          <w:sz w:val="24"/>
          <w:szCs w:val="24"/>
        </w:rPr>
        <w:t xml:space="preserve">, fossil fuels, and BECCS – which are themselves nested into a general electricity bundle. Finally, we balance the SAM and format it into a usable form for our CGE model. </w:t>
      </w:r>
    </w:p>
    <w:p w:rsidR="00EE036D" w:rsidRPr="002543AA" w:rsidRDefault="004F6EF2">
      <w:pPr>
        <w:rPr>
          <w:rFonts w:ascii="Times New Roman" w:hAnsi="Times New Roman" w:cs="Times New Roman"/>
          <w:sz w:val="24"/>
          <w:szCs w:val="24"/>
        </w:rPr>
      </w:pPr>
      <w:r>
        <w:rPr>
          <w:rFonts w:ascii="Times New Roman" w:hAnsi="Times New Roman" w:cs="Times New Roman"/>
          <w:sz w:val="24"/>
          <w:szCs w:val="24"/>
        </w:rPr>
        <w:t>To start, w</w:t>
      </w:r>
      <w:r w:rsidR="00710800" w:rsidRPr="002543AA">
        <w:rPr>
          <w:rFonts w:ascii="Times New Roman" w:hAnsi="Times New Roman" w:cs="Times New Roman"/>
          <w:sz w:val="24"/>
          <w:szCs w:val="24"/>
        </w:rPr>
        <w:t xml:space="preserve">e build the </w:t>
      </w:r>
      <w:r w:rsidR="006F5CC5">
        <w:rPr>
          <w:rFonts w:ascii="Times New Roman" w:hAnsi="Times New Roman" w:cs="Times New Roman"/>
          <w:sz w:val="24"/>
          <w:szCs w:val="24"/>
        </w:rPr>
        <w:t xml:space="preserve">preliminary </w:t>
      </w:r>
      <w:r w:rsidR="00710800" w:rsidRPr="002543AA">
        <w:rPr>
          <w:rFonts w:ascii="Times New Roman" w:hAnsi="Times New Roman" w:cs="Times New Roman"/>
          <w:sz w:val="24"/>
          <w:szCs w:val="24"/>
        </w:rPr>
        <w:t>SAM by first collectin</w:t>
      </w:r>
      <w:r w:rsidR="00A56C02" w:rsidRPr="002543AA">
        <w:rPr>
          <w:rFonts w:ascii="Times New Roman" w:hAnsi="Times New Roman" w:cs="Times New Roman"/>
          <w:sz w:val="24"/>
          <w:szCs w:val="24"/>
        </w:rPr>
        <w:t>g US economic data from IMPLAN. W</w:t>
      </w:r>
      <w:r w:rsidR="00710800" w:rsidRPr="002543AA">
        <w:rPr>
          <w:rFonts w:ascii="Times New Roman" w:hAnsi="Times New Roman" w:cs="Times New Roman"/>
          <w:sz w:val="24"/>
          <w:szCs w:val="24"/>
        </w:rPr>
        <w:t>e consider states in the PJM region</w:t>
      </w:r>
      <w:r w:rsidR="00710800" w:rsidRPr="002543AA">
        <w:rPr>
          <w:rStyle w:val="FootnoteReference"/>
          <w:rFonts w:ascii="Times New Roman" w:hAnsi="Times New Roman" w:cs="Times New Roman"/>
          <w:sz w:val="24"/>
          <w:szCs w:val="24"/>
        </w:rPr>
        <w:footnoteReference w:id="1"/>
      </w:r>
      <w:r w:rsidR="00710800" w:rsidRPr="002543AA">
        <w:rPr>
          <w:rFonts w:ascii="Times New Roman" w:hAnsi="Times New Roman" w:cs="Times New Roman"/>
          <w:sz w:val="24"/>
          <w:szCs w:val="24"/>
        </w:rPr>
        <w:t xml:space="preserve"> and the Northeastern region.</w:t>
      </w:r>
      <w:r w:rsidR="00710800" w:rsidRPr="002543AA">
        <w:rPr>
          <w:rStyle w:val="FootnoteReference"/>
          <w:rFonts w:ascii="Times New Roman" w:hAnsi="Times New Roman" w:cs="Times New Roman"/>
          <w:sz w:val="24"/>
          <w:szCs w:val="24"/>
        </w:rPr>
        <w:footnoteReference w:id="2"/>
      </w:r>
      <w:r w:rsidR="00710800" w:rsidRPr="002543AA">
        <w:rPr>
          <w:rFonts w:ascii="Times New Roman" w:hAnsi="Times New Roman" w:cs="Times New Roman"/>
          <w:sz w:val="24"/>
          <w:szCs w:val="24"/>
        </w:rPr>
        <w:t xml:space="preserve"> For each region, we aggregate economic data for all relevant states using IMPLAN. </w:t>
      </w:r>
      <w:r w:rsidR="00A56C02" w:rsidRPr="002543AA">
        <w:rPr>
          <w:rFonts w:ascii="Times New Roman" w:hAnsi="Times New Roman" w:cs="Times New Roman"/>
          <w:sz w:val="24"/>
          <w:szCs w:val="24"/>
        </w:rPr>
        <w:t xml:space="preserve">This procedure sums all economic activity for each sector across states. Next, we aggregate the region’s sectors according to the scheme described in Table 1. </w:t>
      </w:r>
      <w:r w:rsidR="00B20A11">
        <w:rPr>
          <w:rFonts w:ascii="Times New Roman" w:hAnsi="Times New Roman" w:cs="Times New Roman"/>
          <w:sz w:val="24"/>
          <w:szCs w:val="24"/>
        </w:rPr>
        <w:t>Using the aggregated data, we construct the social accounting matrix in IMPLAN and export it using IMPLAN’s Industry Detail format. This produces a table of industry inputs and outputs in millions of dollars which essentially describes each element of the SAM. We further process this ta</w:t>
      </w:r>
      <w:r w:rsidR="00B20A11">
        <w:rPr>
          <w:rFonts w:ascii="Times New Roman" w:hAnsi="Times New Roman" w:cs="Times New Roman"/>
          <w:sz w:val="24"/>
          <w:szCs w:val="24"/>
        </w:rPr>
        <w:t xml:space="preserve">ble to produce a workable SAM. </w:t>
      </w:r>
    </w:p>
    <w:tbl>
      <w:tblPr>
        <w:tblStyle w:val="TableGrid"/>
        <w:tblW w:w="0" w:type="auto"/>
        <w:jc w:val="center"/>
        <w:tblLook w:val="04A0" w:firstRow="1" w:lastRow="0" w:firstColumn="1" w:lastColumn="0" w:noHBand="0" w:noVBand="1"/>
      </w:tblPr>
      <w:tblGrid>
        <w:gridCol w:w="3690"/>
        <w:gridCol w:w="2160"/>
        <w:gridCol w:w="3325"/>
      </w:tblGrid>
      <w:tr w:rsidR="00A56C02" w:rsidRPr="002543AA" w:rsidTr="000B18DD">
        <w:trPr>
          <w:trHeight w:val="386"/>
          <w:jc w:val="center"/>
        </w:trPr>
        <w:tc>
          <w:tcPr>
            <w:tcW w:w="9175" w:type="dxa"/>
            <w:gridSpan w:val="3"/>
            <w:tcBorders>
              <w:top w:val="nil"/>
              <w:left w:val="nil"/>
              <w:bottom w:val="single" w:sz="4" w:space="0" w:color="auto"/>
              <w:right w:val="nil"/>
            </w:tcBorders>
          </w:tcPr>
          <w:p w:rsidR="00A56C02" w:rsidRPr="002543AA" w:rsidRDefault="002543AA" w:rsidP="0050784D">
            <w:pPr>
              <w:jc w:val="center"/>
              <w:rPr>
                <w:rFonts w:ascii="Times New Roman" w:hAnsi="Times New Roman" w:cs="Times New Roman"/>
                <w:b/>
                <w:sz w:val="24"/>
                <w:szCs w:val="24"/>
              </w:rPr>
            </w:pPr>
            <w:r w:rsidRPr="002543AA">
              <w:rPr>
                <w:rFonts w:ascii="Times New Roman" w:hAnsi="Times New Roman" w:cs="Times New Roman"/>
                <w:sz w:val="24"/>
                <w:szCs w:val="24"/>
              </w:rPr>
              <w:t xml:space="preserve">Table 1. </w:t>
            </w:r>
            <w:r w:rsidR="00A56C02" w:rsidRPr="002543AA">
              <w:rPr>
                <w:rFonts w:ascii="Times New Roman" w:hAnsi="Times New Roman" w:cs="Times New Roman"/>
                <w:sz w:val="24"/>
                <w:szCs w:val="24"/>
              </w:rPr>
              <w:t>IMPLAN Sector Aggregation Scheme</w:t>
            </w:r>
          </w:p>
        </w:tc>
      </w:tr>
      <w:tr w:rsidR="00A56C02" w:rsidRPr="002543AA" w:rsidTr="000B18DD">
        <w:trPr>
          <w:trHeight w:val="375"/>
          <w:jc w:val="center"/>
        </w:trPr>
        <w:tc>
          <w:tcPr>
            <w:tcW w:w="3690" w:type="dxa"/>
            <w:tcBorders>
              <w:top w:val="single" w:sz="4" w:space="0" w:color="auto"/>
              <w:left w:val="nil"/>
              <w:bottom w:val="single" w:sz="4" w:space="0" w:color="auto"/>
              <w:right w:val="nil"/>
            </w:tcBorders>
            <w:vAlign w:val="center"/>
          </w:tcPr>
          <w:p w:rsidR="00A56C02" w:rsidRPr="002543AA" w:rsidRDefault="00A56C02" w:rsidP="002543AA">
            <w:pPr>
              <w:rPr>
                <w:rFonts w:ascii="Times New Roman" w:hAnsi="Times New Roman" w:cs="Times New Roman"/>
                <w:b/>
                <w:sz w:val="24"/>
                <w:szCs w:val="24"/>
              </w:rPr>
            </w:pPr>
            <w:r w:rsidRPr="002543AA">
              <w:rPr>
                <w:rFonts w:ascii="Times New Roman" w:hAnsi="Times New Roman" w:cs="Times New Roman"/>
                <w:b/>
                <w:sz w:val="24"/>
                <w:szCs w:val="24"/>
              </w:rPr>
              <w:t>Aggregated Sector Name</w:t>
            </w:r>
          </w:p>
        </w:tc>
        <w:tc>
          <w:tcPr>
            <w:tcW w:w="2160" w:type="dxa"/>
            <w:tcBorders>
              <w:top w:val="single" w:sz="4" w:space="0" w:color="auto"/>
              <w:left w:val="nil"/>
              <w:bottom w:val="single" w:sz="4" w:space="0" w:color="auto"/>
              <w:right w:val="nil"/>
            </w:tcBorders>
            <w:vAlign w:val="center"/>
          </w:tcPr>
          <w:p w:rsidR="00A56C02" w:rsidRPr="002543AA" w:rsidRDefault="002543AA" w:rsidP="002543AA">
            <w:pPr>
              <w:rPr>
                <w:rFonts w:ascii="Times New Roman" w:hAnsi="Times New Roman" w:cs="Times New Roman"/>
                <w:b/>
                <w:sz w:val="24"/>
                <w:szCs w:val="24"/>
              </w:rPr>
            </w:pPr>
            <w:r w:rsidRPr="002543AA">
              <w:rPr>
                <w:rFonts w:ascii="Times New Roman" w:hAnsi="Times New Roman" w:cs="Times New Roman"/>
                <w:b/>
                <w:sz w:val="24"/>
                <w:szCs w:val="24"/>
              </w:rPr>
              <w:t>Name in SAM</w:t>
            </w:r>
          </w:p>
        </w:tc>
        <w:tc>
          <w:tcPr>
            <w:tcW w:w="3325" w:type="dxa"/>
            <w:tcBorders>
              <w:top w:val="single" w:sz="4" w:space="0" w:color="auto"/>
              <w:left w:val="nil"/>
              <w:bottom w:val="single" w:sz="4" w:space="0" w:color="auto"/>
              <w:right w:val="nil"/>
            </w:tcBorders>
            <w:vAlign w:val="center"/>
          </w:tcPr>
          <w:p w:rsidR="00A56C02" w:rsidRPr="002543AA" w:rsidRDefault="000B18DD" w:rsidP="002543AA">
            <w:pPr>
              <w:rPr>
                <w:rFonts w:ascii="Times New Roman" w:hAnsi="Times New Roman" w:cs="Times New Roman"/>
                <w:b/>
                <w:sz w:val="24"/>
                <w:szCs w:val="24"/>
              </w:rPr>
            </w:pPr>
            <w:r>
              <w:rPr>
                <w:rFonts w:ascii="Times New Roman" w:hAnsi="Times New Roman" w:cs="Times New Roman"/>
                <w:b/>
                <w:sz w:val="24"/>
                <w:szCs w:val="24"/>
              </w:rPr>
              <w:t xml:space="preserve">IMPLAN </w:t>
            </w:r>
            <w:r w:rsidR="00A56C02" w:rsidRPr="002543AA">
              <w:rPr>
                <w:rFonts w:ascii="Times New Roman" w:hAnsi="Times New Roman" w:cs="Times New Roman"/>
                <w:b/>
                <w:sz w:val="24"/>
                <w:szCs w:val="24"/>
              </w:rPr>
              <w:t>Sector Codes</w:t>
            </w:r>
          </w:p>
        </w:tc>
      </w:tr>
      <w:tr w:rsidR="00A56C02" w:rsidRPr="002543AA" w:rsidTr="000B18DD">
        <w:trPr>
          <w:jc w:val="center"/>
        </w:trPr>
        <w:tc>
          <w:tcPr>
            <w:tcW w:w="3690" w:type="dxa"/>
            <w:tcBorders>
              <w:top w:val="single" w:sz="4" w:space="0" w:color="auto"/>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Crop Agriculture</w:t>
            </w:r>
          </w:p>
        </w:tc>
        <w:tc>
          <w:tcPr>
            <w:tcW w:w="2160" w:type="dxa"/>
            <w:tcBorders>
              <w:top w:val="single" w:sz="4" w:space="0" w:color="auto"/>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AGR_CRP</w:t>
            </w:r>
          </w:p>
        </w:tc>
        <w:tc>
          <w:tcPr>
            <w:tcW w:w="3325" w:type="dxa"/>
            <w:tcBorders>
              <w:top w:val="single" w:sz="4" w:space="0" w:color="auto"/>
              <w:left w:val="nil"/>
              <w:bottom w:val="nil"/>
              <w:right w:val="nil"/>
            </w:tcBorders>
          </w:tcPr>
          <w:p w:rsidR="00A56C02" w:rsidRPr="002543AA" w:rsidRDefault="00A56C02">
            <w:pPr>
              <w:rPr>
                <w:rFonts w:ascii="Times New Roman" w:hAnsi="Times New Roman" w:cs="Times New Roman"/>
                <w:sz w:val="24"/>
                <w:szCs w:val="24"/>
              </w:rPr>
            </w:pPr>
            <w:r w:rsidRPr="002543AA">
              <w:rPr>
                <w:rFonts w:ascii="Times New Roman" w:hAnsi="Times New Roman" w:cs="Times New Roman"/>
                <w:sz w:val="24"/>
                <w:szCs w:val="24"/>
              </w:rPr>
              <w:t>1-10</w:t>
            </w:r>
          </w:p>
        </w:tc>
      </w:tr>
      <w:tr w:rsidR="00A56C02" w:rsidRPr="002543AA" w:rsidTr="000B18DD">
        <w:trPr>
          <w:jc w:val="center"/>
        </w:trPr>
        <w:tc>
          <w:tcPr>
            <w:tcW w:w="369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Livestock Agriculture</w:t>
            </w:r>
          </w:p>
        </w:tc>
        <w:tc>
          <w:tcPr>
            <w:tcW w:w="216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AGR_LIV</w:t>
            </w:r>
          </w:p>
        </w:tc>
        <w:tc>
          <w:tcPr>
            <w:tcW w:w="3325" w:type="dxa"/>
            <w:tcBorders>
              <w:top w:val="nil"/>
              <w:left w:val="nil"/>
              <w:bottom w:val="nil"/>
              <w:right w:val="nil"/>
            </w:tcBorders>
          </w:tcPr>
          <w:p w:rsidR="00A56C02"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11-14</w:t>
            </w:r>
          </w:p>
        </w:tc>
      </w:tr>
      <w:tr w:rsidR="00A56C02" w:rsidRPr="002543AA" w:rsidTr="000B18DD">
        <w:trPr>
          <w:jc w:val="center"/>
        </w:trPr>
        <w:tc>
          <w:tcPr>
            <w:tcW w:w="369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Manufacturing</w:t>
            </w:r>
          </w:p>
        </w:tc>
        <w:tc>
          <w:tcPr>
            <w:tcW w:w="2160" w:type="dxa"/>
            <w:tcBorders>
              <w:top w:val="nil"/>
              <w:left w:val="nil"/>
              <w:bottom w:val="nil"/>
              <w:right w:val="nil"/>
            </w:tcBorders>
          </w:tcPr>
          <w:p w:rsidR="00A56C02"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MAN</w:t>
            </w:r>
          </w:p>
        </w:tc>
        <w:tc>
          <w:tcPr>
            <w:tcW w:w="3325" w:type="dxa"/>
            <w:tcBorders>
              <w:top w:val="nil"/>
              <w:left w:val="nil"/>
              <w:bottom w:val="nil"/>
              <w:right w:val="nil"/>
            </w:tcBorders>
          </w:tcPr>
          <w:p w:rsidR="00A56C02"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17-18, 20-40, 50-145, 154-394</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Services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SER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395-517</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Distribution</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ELC_DIST</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49</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Other Electricity Sources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ELC_OTHER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48</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Fossil Fuels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ELC_FF</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42</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Hydroelectric Plants</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ELC_HYDRO</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41</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Nuclear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ELC_NUC</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43</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Solar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ELC_SOLAR</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44</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Wind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ELC_WIND</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45</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Electricity from Geothermal Power</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ELC_GEO</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46</w:t>
            </w:r>
          </w:p>
        </w:tc>
      </w:tr>
      <w:tr w:rsidR="0050784D" w:rsidRPr="002543AA" w:rsidTr="000B18DD">
        <w:trPr>
          <w:jc w:val="center"/>
        </w:trPr>
        <w:tc>
          <w:tcPr>
            <w:tcW w:w="3690" w:type="dxa"/>
            <w:tcBorders>
              <w:top w:val="nil"/>
              <w:left w:val="nil"/>
              <w:bottom w:val="nil"/>
              <w:right w:val="nil"/>
            </w:tcBorders>
          </w:tcPr>
          <w:p w:rsidR="0050784D" w:rsidRPr="002543AA" w:rsidRDefault="0050784D">
            <w:pPr>
              <w:rPr>
                <w:rFonts w:ascii="Times New Roman" w:hAnsi="Times New Roman" w:cs="Times New Roman"/>
                <w:sz w:val="24"/>
                <w:szCs w:val="24"/>
              </w:rPr>
            </w:pPr>
            <w:r w:rsidRPr="002543AA">
              <w:rPr>
                <w:rFonts w:ascii="Times New Roman" w:hAnsi="Times New Roman" w:cs="Times New Roman"/>
                <w:sz w:val="24"/>
                <w:szCs w:val="24"/>
              </w:rPr>
              <w:t xml:space="preserve">Electricity from Biomass </w:t>
            </w:r>
          </w:p>
        </w:tc>
        <w:tc>
          <w:tcPr>
            <w:tcW w:w="2160"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ELC_BIOMASS</w:t>
            </w:r>
          </w:p>
        </w:tc>
        <w:tc>
          <w:tcPr>
            <w:tcW w:w="3325" w:type="dxa"/>
            <w:tcBorders>
              <w:top w:val="nil"/>
              <w:left w:val="nil"/>
              <w:bottom w:val="nil"/>
              <w:right w:val="nil"/>
            </w:tcBorders>
          </w:tcPr>
          <w:p w:rsidR="0050784D" w:rsidRPr="002543AA" w:rsidRDefault="005839EC">
            <w:pPr>
              <w:rPr>
                <w:rFonts w:ascii="Times New Roman" w:hAnsi="Times New Roman" w:cs="Times New Roman"/>
                <w:sz w:val="24"/>
                <w:szCs w:val="24"/>
              </w:rPr>
            </w:pPr>
            <w:r w:rsidRPr="002543AA">
              <w:rPr>
                <w:rFonts w:ascii="Times New Roman" w:hAnsi="Times New Roman" w:cs="Times New Roman"/>
                <w:sz w:val="24"/>
                <w:szCs w:val="24"/>
              </w:rPr>
              <w:t>47</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Forestry</w:t>
            </w:r>
          </w:p>
        </w:tc>
        <w:tc>
          <w:tcPr>
            <w:tcW w:w="216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FOR</w:t>
            </w:r>
            <w:r w:rsidR="000B7575">
              <w:rPr>
                <w:rFonts w:ascii="Times New Roman" w:hAnsi="Times New Roman" w:cs="Times New Roman"/>
                <w:sz w:val="24"/>
                <w:szCs w:val="24"/>
              </w:rPr>
              <w:t>E</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15,16,19</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Paper</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PAP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146-153</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Federal Government Enterprises</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GOV_FED_ENT</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518-520</w:t>
            </w:r>
          </w:p>
        </w:tc>
      </w:tr>
      <w:tr w:rsidR="0050784D" w:rsidRPr="002543AA" w:rsidTr="000B18DD">
        <w:trPr>
          <w:jc w:val="center"/>
        </w:trPr>
        <w:tc>
          <w:tcPr>
            <w:tcW w:w="3690" w:type="dxa"/>
            <w:tcBorders>
              <w:top w:val="nil"/>
              <w:left w:val="nil"/>
              <w:bottom w:val="nil"/>
              <w:right w:val="nil"/>
            </w:tcBorders>
          </w:tcPr>
          <w:p w:rsidR="0050784D" w:rsidRPr="002543AA" w:rsidRDefault="0050784D" w:rsidP="0050784D">
            <w:pPr>
              <w:rPr>
                <w:rFonts w:ascii="Times New Roman" w:hAnsi="Times New Roman" w:cs="Times New Roman"/>
                <w:sz w:val="24"/>
                <w:szCs w:val="24"/>
              </w:rPr>
            </w:pPr>
            <w:r w:rsidRPr="002543AA">
              <w:rPr>
                <w:rFonts w:ascii="Times New Roman" w:hAnsi="Times New Roman" w:cs="Times New Roman"/>
                <w:sz w:val="24"/>
                <w:szCs w:val="24"/>
              </w:rPr>
              <w:t>State Government Enterprises</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GOV_STT_ENT</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521-526</w:t>
            </w:r>
          </w:p>
        </w:tc>
      </w:tr>
      <w:tr w:rsidR="0050784D" w:rsidRPr="002543AA" w:rsidTr="000B18DD">
        <w:trPr>
          <w:jc w:val="center"/>
        </w:trPr>
        <w:tc>
          <w:tcPr>
            <w:tcW w:w="369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Federal Government Employment</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GOV_FED_EMP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535-536</w:t>
            </w:r>
          </w:p>
        </w:tc>
      </w:tr>
      <w:tr w:rsidR="0050784D" w:rsidRPr="002543AA" w:rsidTr="000B18DD">
        <w:trPr>
          <w:jc w:val="center"/>
        </w:trPr>
        <w:tc>
          <w:tcPr>
            <w:tcW w:w="369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State Government Employment</w:t>
            </w:r>
          </w:p>
        </w:tc>
        <w:tc>
          <w:tcPr>
            <w:tcW w:w="2160"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GOV_STT_EMP</w:t>
            </w:r>
          </w:p>
        </w:tc>
        <w:tc>
          <w:tcPr>
            <w:tcW w:w="3325" w:type="dxa"/>
            <w:tcBorders>
              <w:top w:val="nil"/>
              <w:left w:val="nil"/>
              <w:bottom w:val="nil"/>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531-534</w:t>
            </w:r>
          </w:p>
        </w:tc>
      </w:tr>
      <w:tr w:rsidR="0050784D" w:rsidRPr="002543AA" w:rsidTr="000B18DD">
        <w:trPr>
          <w:jc w:val="center"/>
        </w:trPr>
        <w:tc>
          <w:tcPr>
            <w:tcW w:w="3690"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Non-Industry Sectors</w:t>
            </w:r>
          </w:p>
        </w:tc>
        <w:tc>
          <w:tcPr>
            <w:tcW w:w="2160"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NonIndustry</w:t>
            </w:r>
          </w:p>
        </w:tc>
        <w:tc>
          <w:tcPr>
            <w:tcW w:w="3325" w:type="dxa"/>
            <w:tcBorders>
              <w:top w:val="nil"/>
              <w:left w:val="nil"/>
              <w:bottom w:val="single" w:sz="4" w:space="0" w:color="auto"/>
              <w:right w:val="nil"/>
            </w:tcBorders>
          </w:tcPr>
          <w:p w:rsidR="0050784D" w:rsidRPr="002543AA" w:rsidRDefault="005839EC" w:rsidP="0050784D">
            <w:pPr>
              <w:rPr>
                <w:rFonts w:ascii="Times New Roman" w:hAnsi="Times New Roman" w:cs="Times New Roman"/>
                <w:sz w:val="24"/>
                <w:szCs w:val="24"/>
              </w:rPr>
            </w:pPr>
            <w:r w:rsidRPr="002543AA">
              <w:rPr>
                <w:rFonts w:ascii="Times New Roman" w:hAnsi="Times New Roman" w:cs="Times New Roman"/>
                <w:sz w:val="24"/>
                <w:szCs w:val="24"/>
              </w:rPr>
              <w:t>527-530</w:t>
            </w:r>
          </w:p>
        </w:tc>
      </w:tr>
      <w:tr w:rsidR="002543AA" w:rsidRPr="002543AA" w:rsidTr="000B18DD">
        <w:trPr>
          <w:trHeight w:val="683"/>
          <w:jc w:val="center"/>
        </w:trPr>
        <w:tc>
          <w:tcPr>
            <w:tcW w:w="9175" w:type="dxa"/>
            <w:gridSpan w:val="3"/>
            <w:tcBorders>
              <w:top w:val="single" w:sz="4" w:space="0" w:color="auto"/>
              <w:left w:val="nil"/>
              <w:bottom w:val="nil"/>
              <w:right w:val="nil"/>
            </w:tcBorders>
          </w:tcPr>
          <w:p w:rsidR="002543AA" w:rsidRPr="000B18DD" w:rsidRDefault="000B18DD" w:rsidP="0050784D">
            <w:pPr>
              <w:rPr>
                <w:rFonts w:ascii="Times New Roman" w:hAnsi="Times New Roman" w:cs="Times New Roman"/>
                <w:sz w:val="20"/>
                <w:szCs w:val="24"/>
              </w:rPr>
            </w:pPr>
            <w:r>
              <w:rPr>
                <w:rFonts w:ascii="Times New Roman" w:hAnsi="Times New Roman" w:cs="Times New Roman"/>
                <w:sz w:val="20"/>
                <w:szCs w:val="24"/>
              </w:rPr>
              <w:lastRenderedPageBreak/>
              <w:t xml:space="preserve">IMPLAN Sector Codes refers to codes for economic sectors detailed </w:t>
            </w:r>
            <w:hyperlink r:id="rId7" w:history="1">
              <w:r w:rsidRPr="000B18DD">
                <w:rPr>
                  <w:rStyle w:val="Hyperlink"/>
                  <w:rFonts w:ascii="Times New Roman" w:hAnsi="Times New Roman" w:cs="Times New Roman"/>
                  <w:sz w:val="20"/>
                  <w:szCs w:val="24"/>
                </w:rPr>
                <w:t>he</w:t>
              </w:r>
              <w:r w:rsidRPr="000B18DD">
                <w:rPr>
                  <w:rStyle w:val="Hyperlink"/>
                  <w:rFonts w:ascii="Times New Roman" w:hAnsi="Times New Roman" w:cs="Times New Roman"/>
                  <w:sz w:val="20"/>
                  <w:szCs w:val="24"/>
                </w:rPr>
                <w:t>r</w:t>
              </w:r>
              <w:r w:rsidRPr="000B18DD">
                <w:rPr>
                  <w:rStyle w:val="Hyperlink"/>
                  <w:rFonts w:ascii="Times New Roman" w:hAnsi="Times New Roman" w:cs="Times New Roman"/>
                  <w:sz w:val="20"/>
                  <w:szCs w:val="24"/>
                </w:rPr>
                <w:t>e</w:t>
              </w:r>
            </w:hyperlink>
            <w:r>
              <w:rPr>
                <w:rFonts w:ascii="Times New Roman" w:hAnsi="Times New Roman" w:cs="Times New Roman"/>
                <w:sz w:val="20"/>
                <w:szCs w:val="24"/>
              </w:rPr>
              <w:t>. The Name in SAM column provides shorthand notation for each sector in our SAM and CGE code.</w:t>
            </w:r>
          </w:p>
        </w:tc>
      </w:tr>
    </w:tbl>
    <w:p w:rsidR="006F5CC5" w:rsidRDefault="00850A23">
      <w:pPr>
        <w:rPr>
          <w:rFonts w:ascii="Times New Roman" w:hAnsi="Times New Roman" w:cs="Times New Roman"/>
          <w:sz w:val="24"/>
          <w:szCs w:val="24"/>
        </w:rPr>
      </w:pPr>
      <w:r>
        <w:rPr>
          <w:rFonts w:ascii="Times New Roman" w:hAnsi="Times New Roman" w:cs="Times New Roman"/>
          <w:sz w:val="24"/>
          <w:szCs w:val="24"/>
        </w:rPr>
        <w:t>Now, w</w:t>
      </w:r>
      <w:r w:rsidR="000B7575">
        <w:rPr>
          <w:rFonts w:ascii="Times New Roman" w:hAnsi="Times New Roman" w:cs="Times New Roman"/>
          <w:sz w:val="24"/>
          <w:szCs w:val="24"/>
        </w:rPr>
        <w:t xml:space="preserve">e </w:t>
      </w:r>
      <w:r>
        <w:rPr>
          <w:rFonts w:ascii="Times New Roman" w:hAnsi="Times New Roman" w:cs="Times New Roman"/>
          <w:sz w:val="24"/>
          <w:szCs w:val="24"/>
        </w:rPr>
        <w:t xml:space="preserve">adjust the SAM by shifting </w:t>
      </w:r>
      <w:r w:rsidR="000B7575">
        <w:rPr>
          <w:rFonts w:ascii="Times New Roman" w:hAnsi="Times New Roman" w:cs="Times New Roman"/>
          <w:sz w:val="24"/>
          <w:szCs w:val="24"/>
        </w:rPr>
        <w:t>certain transactions in each sector</w:t>
      </w:r>
      <w:r>
        <w:rPr>
          <w:rFonts w:ascii="Times New Roman" w:hAnsi="Times New Roman" w:cs="Times New Roman"/>
          <w:sz w:val="24"/>
          <w:szCs w:val="24"/>
        </w:rPr>
        <w:t xml:space="preserve"> to make it compatible with our CGE model</w:t>
      </w:r>
      <w:r w:rsidR="000B7575">
        <w:rPr>
          <w:rFonts w:ascii="Times New Roman" w:hAnsi="Times New Roman" w:cs="Times New Roman"/>
          <w:sz w:val="24"/>
          <w:szCs w:val="24"/>
        </w:rPr>
        <w:t xml:space="preserve">. Firstly, we remove self-transfers for three accounts: the federal government, the state government, and the representative household sector. Then, we modify the non-industry sector, so that it can be modelled as a good. </w:t>
      </w:r>
      <w:r>
        <w:rPr>
          <w:rFonts w:ascii="Times New Roman" w:hAnsi="Times New Roman" w:cs="Times New Roman"/>
          <w:sz w:val="24"/>
          <w:szCs w:val="24"/>
        </w:rPr>
        <w:t xml:space="preserve">To do so, </w:t>
      </w:r>
      <w:r w:rsidR="000B7575">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0B7575">
        <w:rPr>
          <w:rFonts w:ascii="Times New Roman" w:hAnsi="Times New Roman" w:cs="Times New Roman"/>
          <w:sz w:val="24"/>
          <w:szCs w:val="24"/>
        </w:rPr>
        <w:t>shift</w:t>
      </w:r>
      <w:r>
        <w:rPr>
          <w:rFonts w:ascii="Times New Roman" w:hAnsi="Times New Roman" w:cs="Times New Roman"/>
          <w:sz w:val="24"/>
          <w:szCs w:val="24"/>
        </w:rPr>
        <w:t xml:space="preserve"> non-industry transfers to the household sector instead into the labor sector; this adjustment essentially makes non-industries, such as scrap metal processing, dependent on household labor rather than households themselves. Then, w</w:t>
      </w:r>
      <w:r>
        <w:rPr>
          <w:rFonts w:ascii="Times New Roman" w:hAnsi="Times New Roman" w:cs="Times New Roman"/>
          <w:sz w:val="24"/>
          <w:szCs w:val="24"/>
        </w:rPr>
        <w:t xml:space="preserve">e remove transfers from the non-industry sector into the investment </w:t>
      </w:r>
      <w:r>
        <w:rPr>
          <w:rFonts w:ascii="Times New Roman" w:hAnsi="Times New Roman" w:cs="Times New Roman"/>
          <w:sz w:val="24"/>
          <w:szCs w:val="24"/>
        </w:rPr>
        <w:t xml:space="preserve">sector. Lastly, we rescale the non-industry sector to its original size from before these changes. Next, we push industry tax payments into a tax sector which then transfers to the government. </w:t>
      </w:r>
      <w:r w:rsidR="006F5CC5">
        <w:rPr>
          <w:rFonts w:ascii="Times New Roman" w:hAnsi="Times New Roman" w:cs="Times New Roman"/>
          <w:sz w:val="24"/>
          <w:szCs w:val="24"/>
        </w:rPr>
        <w:t>So, for example, if the paper sector transferred $5 million to the government, we modify the SAM such that the paper sector transfers this amount to a tax sector which then transfers its total tax revenue to the government. Finally, we zero entries below $1 million in the SAM to prevent numerical problems when running the CGE model.</w:t>
      </w:r>
      <w:r w:rsidR="00BA083F">
        <w:rPr>
          <w:rFonts w:ascii="Times New Roman" w:hAnsi="Times New Roman" w:cs="Times New Roman"/>
          <w:sz w:val="24"/>
          <w:szCs w:val="24"/>
        </w:rPr>
        <w:t xml:space="preserve"> For the PJM region, t</w:t>
      </w:r>
      <w:r w:rsidR="006F5CC5">
        <w:rPr>
          <w:rFonts w:ascii="Times New Roman" w:hAnsi="Times New Roman" w:cs="Times New Roman"/>
          <w:sz w:val="24"/>
          <w:szCs w:val="24"/>
        </w:rPr>
        <w:t>his step drops 34 entries which make up $27 billion in transactions</w:t>
      </w:r>
      <w:r w:rsidR="004F6EF2">
        <w:rPr>
          <w:rFonts w:ascii="Times New Roman" w:hAnsi="Times New Roman" w:cs="Times New Roman"/>
          <w:sz w:val="24"/>
          <w:szCs w:val="24"/>
        </w:rPr>
        <w:t>; this is a reasonably small amount, since this value comprises only</w:t>
      </w:r>
      <w:r w:rsidR="006F5CC5">
        <w:rPr>
          <w:rFonts w:ascii="Times New Roman" w:hAnsi="Times New Roman" w:cs="Times New Roman"/>
          <w:sz w:val="24"/>
          <w:szCs w:val="24"/>
        </w:rPr>
        <w:t xml:space="preserve"> 0.1% of </w:t>
      </w:r>
      <w:r w:rsidR="004F6EF2">
        <w:rPr>
          <w:rFonts w:ascii="Times New Roman" w:hAnsi="Times New Roman" w:cs="Times New Roman"/>
          <w:sz w:val="24"/>
          <w:szCs w:val="24"/>
        </w:rPr>
        <w:t xml:space="preserve">the total transactions in the SAM. </w:t>
      </w:r>
    </w:p>
    <w:p w:rsidR="00C86330" w:rsidRDefault="00C86330">
      <w:pPr>
        <w:rPr>
          <w:rFonts w:ascii="Times New Roman" w:hAnsi="Times New Roman" w:cs="Times New Roman"/>
          <w:sz w:val="24"/>
          <w:szCs w:val="24"/>
        </w:rPr>
      </w:pPr>
      <w:r>
        <w:rPr>
          <w:rFonts w:ascii="Times New Roman" w:hAnsi="Times New Roman" w:cs="Times New Roman"/>
          <w:sz w:val="24"/>
          <w:szCs w:val="24"/>
        </w:rPr>
        <w:t xml:space="preserve">We now add a biomass sector based on pre-existing biowaste production. We use biowaste production data </w:t>
      </w:r>
      <w:r w:rsidR="00BA083F">
        <w:rPr>
          <w:rFonts w:ascii="Times New Roman" w:hAnsi="Times New Roman" w:cs="Times New Roman"/>
          <w:sz w:val="24"/>
          <w:szCs w:val="24"/>
        </w:rPr>
        <w:t xml:space="preserve">for 2016 </w:t>
      </w:r>
      <w:r>
        <w:rPr>
          <w:rFonts w:ascii="Times New Roman" w:hAnsi="Times New Roman" w:cs="Times New Roman"/>
          <w:sz w:val="24"/>
          <w:szCs w:val="24"/>
        </w:rPr>
        <w:t>obtained f</w:t>
      </w:r>
      <w:r w:rsidR="00BA083F">
        <w:rPr>
          <w:rFonts w:ascii="Times New Roman" w:hAnsi="Times New Roman" w:cs="Times New Roman"/>
          <w:sz w:val="24"/>
          <w:szCs w:val="24"/>
        </w:rPr>
        <w:t xml:space="preserve">rom the US Department of Energy </w:t>
      </w:r>
      <w:r>
        <w:rPr>
          <w:rFonts w:ascii="Times New Roman" w:hAnsi="Times New Roman" w:cs="Times New Roman"/>
          <w:sz w:val="24"/>
          <w:szCs w:val="24"/>
        </w:rPr>
        <w:t xml:space="preserve">to </w:t>
      </w:r>
      <w:r w:rsidR="00356866">
        <w:rPr>
          <w:rFonts w:ascii="Times New Roman" w:hAnsi="Times New Roman" w:cs="Times New Roman"/>
          <w:sz w:val="24"/>
          <w:szCs w:val="24"/>
        </w:rPr>
        <w:t>record</w:t>
      </w:r>
      <w:r w:rsidR="00BA083F">
        <w:rPr>
          <w:rFonts w:ascii="Times New Roman" w:hAnsi="Times New Roman" w:cs="Times New Roman"/>
          <w:sz w:val="24"/>
          <w:szCs w:val="24"/>
        </w:rPr>
        <w:t xml:space="preserve"> the total amount of biomass produced. Specifically, we </w:t>
      </w:r>
      <w:r w:rsidR="00356866">
        <w:rPr>
          <w:rFonts w:ascii="Times New Roman" w:hAnsi="Times New Roman" w:cs="Times New Roman"/>
          <w:sz w:val="24"/>
          <w:szCs w:val="24"/>
        </w:rPr>
        <w:t>collect</w:t>
      </w:r>
      <w:r w:rsidR="00BA083F">
        <w:rPr>
          <w:rFonts w:ascii="Times New Roman" w:hAnsi="Times New Roman" w:cs="Times New Roman"/>
          <w:sz w:val="24"/>
          <w:szCs w:val="24"/>
        </w:rPr>
        <w:t xml:space="preserve"> </w:t>
      </w:r>
      <w:r w:rsidR="00356866">
        <w:rPr>
          <w:rFonts w:ascii="Times New Roman" w:hAnsi="Times New Roman" w:cs="Times New Roman"/>
          <w:sz w:val="24"/>
          <w:szCs w:val="24"/>
        </w:rPr>
        <w:t xml:space="preserve">data for </w:t>
      </w:r>
      <w:r w:rsidR="00BA083F">
        <w:rPr>
          <w:rFonts w:ascii="Times New Roman" w:hAnsi="Times New Roman" w:cs="Times New Roman"/>
          <w:sz w:val="24"/>
          <w:szCs w:val="24"/>
        </w:rPr>
        <w:t>three types of biomass – ag residues, forest residues, and manure – which are</w:t>
      </w:r>
      <w:r>
        <w:rPr>
          <w:rFonts w:ascii="Times New Roman" w:hAnsi="Times New Roman" w:cs="Times New Roman"/>
          <w:sz w:val="24"/>
          <w:szCs w:val="24"/>
        </w:rPr>
        <w:t xml:space="preserve"> produced by the </w:t>
      </w:r>
      <w:r w:rsidR="00BA083F">
        <w:rPr>
          <w:rFonts w:ascii="Times New Roman" w:hAnsi="Times New Roman" w:cs="Times New Roman"/>
          <w:sz w:val="24"/>
          <w:szCs w:val="24"/>
        </w:rPr>
        <w:t xml:space="preserve">crop agriculture, forestry, and livestock </w:t>
      </w:r>
      <w:r w:rsidR="00356866">
        <w:rPr>
          <w:rFonts w:ascii="Times New Roman" w:hAnsi="Times New Roman" w:cs="Times New Roman"/>
          <w:sz w:val="24"/>
          <w:szCs w:val="24"/>
        </w:rPr>
        <w:t xml:space="preserve">agriculture sectors in our SAM; this data is shown in Table 2 which lists biomass production by feedstock. </w:t>
      </w:r>
      <w:r w:rsidR="00B20A11">
        <w:rPr>
          <w:rFonts w:ascii="Times New Roman" w:hAnsi="Times New Roman" w:cs="Times New Roman"/>
          <w:sz w:val="24"/>
          <w:szCs w:val="24"/>
        </w:rPr>
        <w:t xml:space="preserve">We convert this production data into kWh using estimates of the bioenergy content of each feedstock; we then sum the bioenergy content of the feedstocks for the three biomass types. We add this information to the SAM by including a transfer from each biomass type’s respective sector to a biomass bundle. This biomass bundle then transfers its output to the biomass electricity sector. We also zero out any previous transfers from the agriculture and forestry sectors to the biomass electricity sector to prevent double counting use the same biomass. </w:t>
      </w:r>
    </w:p>
    <w:tbl>
      <w:tblPr>
        <w:tblStyle w:val="TableGrid"/>
        <w:tblW w:w="0" w:type="auto"/>
        <w:jc w:val="center"/>
        <w:tblLayout w:type="fixed"/>
        <w:tblLook w:val="04A0" w:firstRow="1" w:lastRow="0" w:firstColumn="1" w:lastColumn="0" w:noHBand="0" w:noVBand="1"/>
      </w:tblPr>
      <w:tblGrid>
        <w:gridCol w:w="1800"/>
        <w:gridCol w:w="3150"/>
        <w:gridCol w:w="1890"/>
      </w:tblGrid>
      <w:tr w:rsidR="008C7580" w:rsidRPr="00BA083F" w:rsidTr="00356866">
        <w:trPr>
          <w:trHeight w:val="387"/>
          <w:jc w:val="center"/>
        </w:trPr>
        <w:tc>
          <w:tcPr>
            <w:tcW w:w="6840" w:type="dxa"/>
            <w:gridSpan w:val="3"/>
            <w:tcBorders>
              <w:top w:val="nil"/>
              <w:left w:val="nil"/>
              <w:bottom w:val="single" w:sz="4" w:space="0" w:color="auto"/>
              <w:right w:val="nil"/>
            </w:tcBorders>
          </w:tcPr>
          <w:p w:rsidR="008C7580" w:rsidRPr="008C7580" w:rsidRDefault="008C7580" w:rsidP="00356866">
            <w:pPr>
              <w:jc w:val="center"/>
              <w:rPr>
                <w:rFonts w:ascii="Times New Roman" w:hAnsi="Times New Roman" w:cs="Times New Roman"/>
                <w:sz w:val="24"/>
                <w:szCs w:val="24"/>
              </w:rPr>
            </w:pPr>
            <w:r w:rsidRPr="008C7580">
              <w:rPr>
                <w:rFonts w:ascii="Times New Roman" w:hAnsi="Times New Roman" w:cs="Times New Roman"/>
                <w:sz w:val="24"/>
                <w:szCs w:val="24"/>
              </w:rPr>
              <w:t>Table 2. PJM Region Total Biomass Production in 2016</w:t>
            </w:r>
          </w:p>
        </w:tc>
      </w:tr>
      <w:tr w:rsidR="008C7580" w:rsidRPr="00BA083F" w:rsidTr="008C7580">
        <w:trPr>
          <w:jc w:val="center"/>
        </w:trPr>
        <w:tc>
          <w:tcPr>
            <w:tcW w:w="1800" w:type="dxa"/>
            <w:tcBorders>
              <w:top w:val="single" w:sz="4" w:space="0" w:color="auto"/>
              <w:left w:val="nil"/>
              <w:bottom w:val="single" w:sz="4" w:space="0" w:color="auto"/>
              <w:right w:val="nil"/>
            </w:tcBorders>
            <w:vAlign w:val="center"/>
            <w:hideMark/>
          </w:tcPr>
          <w:p w:rsidR="00BA083F" w:rsidRPr="008C7580" w:rsidRDefault="00356866" w:rsidP="008C7580">
            <w:pPr>
              <w:jc w:val="right"/>
              <w:rPr>
                <w:rFonts w:ascii="Times New Roman" w:hAnsi="Times New Roman" w:cs="Times New Roman"/>
                <w:b/>
                <w:sz w:val="24"/>
                <w:szCs w:val="24"/>
              </w:rPr>
            </w:pPr>
            <w:r>
              <w:rPr>
                <w:rFonts w:ascii="Times New Roman" w:hAnsi="Times New Roman" w:cs="Times New Roman"/>
                <w:b/>
                <w:sz w:val="24"/>
                <w:szCs w:val="24"/>
              </w:rPr>
              <w:t>Biomass</w:t>
            </w:r>
            <w:r w:rsidR="00BA083F" w:rsidRPr="008C7580">
              <w:rPr>
                <w:rFonts w:ascii="Times New Roman" w:hAnsi="Times New Roman" w:cs="Times New Roman"/>
                <w:b/>
                <w:sz w:val="24"/>
                <w:szCs w:val="24"/>
              </w:rPr>
              <w:t xml:space="preserve"> Type</w:t>
            </w:r>
          </w:p>
        </w:tc>
        <w:tc>
          <w:tcPr>
            <w:tcW w:w="3150" w:type="dxa"/>
            <w:tcBorders>
              <w:top w:val="single" w:sz="4" w:space="0" w:color="auto"/>
              <w:left w:val="nil"/>
              <w:bottom w:val="single" w:sz="4" w:space="0" w:color="auto"/>
              <w:right w:val="nil"/>
            </w:tcBorders>
            <w:vAlign w:val="center"/>
            <w:hideMark/>
          </w:tcPr>
          <w:p w:rsidR="00BA083F" w:rsidRPr="008C7580" w:rsidRDefault="008C7580" w:rsidP="008C7580">
            <w:pPr>
              <w:rPr>
                <w:rFonts w:ascii="Times New Roman" w:hAnsi="Times New Roman" w:cs="Times New Roman"/>
                <w:b/>
                <w:sz w:val="24"/>
                <w:szCs w:val="24"/>
              </w:rPr>
            </w:pPr>
            <w:r w:rsidRPr="008C7580">
              <w:rPr>
                <w:rFonts w:ascii="Times New Roman" w:hAnsi="Times New Roman" w:cs="Times New Roman"/>
                <w:b/>
                <w:sz w:val="24"/>
                <w:szCs w:val="24"/>
              </w:rPr>
              <w:t>Feedstock</w:t>
            </w:r>
          </w:p>
        </w:tc>
        <w:tc>
          <w:tcPr>
            <w:tcW w:w="1890" w:type="dxa"/>
            <w:tcBorders>
              <w:top w:val="single" w:sz="4" w:space="0" w:color="auto"/>
              <w:left w:val="nil"/>
              <w:bottom w:val="single" w:sz="4" w:space="0" w:color="auto"/>
              <w:right w:val="nil"/>
            </w:tcBorders>
            <w:vAlign w:val="center"/>
            <w:hideMark/>
          </w:tcPr>
          <w:p w:rsidR="00BA083F" w:rsidRPr="008C7580" w:rsidRDefault="008C7580" w:rsidP="008C7580">
            <w:pPr>
              <w:jc w:val="right"/>
              <w:rPr>
                <w:rFonts w:ascii="Times New Roman" w:hAnsi="Times New Roman" w:cs="Times New Roman"/>
                <w:b/>
                <w:sz w:val="24"/>
                <w:szCs w:val="24"/>
              </w:rPr>
            </w:pPr>
            <w:r w:rsidRPr="008C7580">
              <w:rPr>
                <w:rFonts w:ascii="Times New Roman" w:hAnsi="Times New Roman" w:cs="Times New Roman"/>
                <w:b/>
                <w:sz w:val="24"/>
                <w:szCs w:val="24"/>
              </w:rPr>
              <w:t>Production</w:t>
            </w:r>
            <w:r w:rsidRPr="008C7580">
              <w:rPr>
                <w:rFonts w:ascii="Times New Roman" w:hAnsi="Times New Roman" w:cs="Times New Roman"/>
                <w:b/>
                <w:sz w:val="24"/>
                <w:szCs w:val="24"/>
              </w:rPr>
              <w:t xml:space="preserve"> (dt)</w:t>
            </w:r>
          </w:p>
        </w:tc>
      </w:tr>
      <w:tr w:rsidR="008C7580" w:rsidRPr="00BA083F" w:rsidTr="008C7580">
        <w:trPr>
          <w:jc w:val="center"/>
        </w:trPr>
        <w:tc>
          <w:tcPr>
            <w:tcW w:w="1800" w:type="dxa"/>
            <w:tcBorders>
              <w:top w:val="single" w:sz="4" w:space="0" w:color="auto"/>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Ag Residues</w:t>
            </w:r>
          </w:p>
        </w:tc>
        <w:tc>
          <w:tcPr>
            <w:tcW w:w="3150" w:type="dxa"/>
            <w:tcBorders>
              <w:top w:val="single" w:sz="4" w:space="0" w:color="auto"/>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Barley straw</w:t>
            </w:r>
          </w:p>
        </w:tc>
        <w:tc>
          <w:tcPr>
            <w:tcW w:w="1890" w:type="dxa"/>
            <w:tcBorders>
              <w:top w:val="single" w:sz="4" w:space="0" w:color="auto"/>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455,933</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Corn stover</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143,086,211</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Cotton gin trash</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678,467</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Cotton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2,469,185</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Noncitrus residues</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1,856,490</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Tree nut residues</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16,218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Wheat straw</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13,648,182</w:t>
            </w:r>
          </w:p>
        </w:tc>
      </w:tr>
      <w:tr w:rsidR="008C7580" w:rsidRPr="00BA083F" w:rsidTr="008C7580">
        <w:trPr>
          <w:jc w:val="center"/>
        </w:trPr>
        <w:tc>
          <w:tcPr>
            <w:tcW w:w="180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Forest Residues</w:t>
            </w: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Hardwood, lowland,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13,236,393</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Hardwood, upland,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9,003,948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Mixedwood,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8,635,008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Other forest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40,484,296</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Primary mill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2,130,720</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Secondary mill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11,920,344</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Softwood, natural,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3,705,608</w:t>
            </w:r>
          </w:p>
        </w:tc>
      </w:tr>
      <w:tr w:rsidR="008C7580" w:rsidRPr="00BA083F" w:rsidTr="008C7580">
        <w:trPr>
          <w:jc w:val="center"/>
        </w:trPr>
        <w:tc>
          <w:tcPr>
            <w:tcW w:w="1800" w:type="dxa"/>
            <w:tcBorders>
              <w:top w:val="nil"/>
              <w:left w:val="nil"/>
              <w:bottom w:val="nil"/>
              <w:right w:val="nil"/>
            </w:tcBorders>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Softwood, planted, residue</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2,078,731</w:t>
            </w:r>
          </w:p>
        </w:tc>
      </w:tr>
      <w:tr w:rsidR="008C7580" w:rsidRPr="00BA083F" w:rsidTr="008C7580">
        <w:trPr>
          <w:jc w:val="center"/>
        </w:trPr>
        <w:tc>
          <w:tcPr>
            <w:tcW w:w="180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Manure</w:t>
            </w:r>
          </w:p>
        </w:tc>
        <w:tc>
          <w:tcPr>
            <w:tcW w:w="3150" w:type="dxa"/>
            <w:tcBorders>
              <w:top w:val="nil"/>
              <w:left w:val="nil"/>
              <w:bottom w:val="nil"/>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Hogs, 1000+ head</w:t>
            </w:r>
          </w:p>
        </w:tc>
        <w:tc>
          <w:tcPr>
            <w:tcW w:w="1890" w:type="dxa"/>
            <w:tcBorders>
              <w:top w:val="nil"/>
              <w:left w:val="nil"/>
              <w:bottom w:val="nil"/>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23,844,275</w:t>
            </w:r>
          </w:p>
        </w:tc>
      </w:tr>
      <w:tr w:rsidR="008C7580" w:rsidRPr="00BA083F" w:rsidTr="008C7580">
        <w:trPr>
          <w:jc w:val="center"/>
        </w:trPr>
        <w:tc>
          <w:tcPr>
            <w:tcW w:w="1800" w:type="dxa"/>
            <w:tcBorders>
              <w:top w:val="nil"/>
              <w:left w:val="nil"/>
              <w:bottom w:val="single" w:sz="4" w:space="0" w:color="auto"/>
              <w:right w:val="nil"/>
            </w:tcBorders>
            <w:hideMark/>
          </w:tcPr>
          <w:p w:rsidR="008C7580" w:rsidRPr="008C7580" w:rsidRDefault="008C7580" w:rsidP="008C7580">
            <w:pPr>
              <w:jc w:val="right"/>
              <w:rPr>
                <w:rFonts w:ascii="Times New Roman" w:hAnsi="Times New Roman" w:cs="Times New Roman"/>
                <w:sz w:val="24"/>
                <w:szCs w:val="24"/>
              </w:rPr>
            </w:pPr>
          </w:p>
        </w:tc>
        <w:tc>
          <w:tcPr>
            <w:tcW w:w="3150" w:type="dxa"/>
            <w:tcBorders>
              <w:top w:val="nil"/>
              <w:left w:val="nil"/>
              <w:bottom w:val="single" w:sz="4" w:space="0" w:color="auto"/>
              <w:right w:val="nil"/>
            </w:tcBorders>
            <w:hideMark/>
          </w:tcPr>
          <w:p w:rsidR="008C7580" w:rsidRPr="008C7580" w:rsidRDefault="008C7580" w:rsidP="008C7580">
            <w:pPr>
              <w:rPr>
                <w:rFonts w:ascii="Times New Roman" w:hAnsi="Times New Roman" w:cs="Times New Roman"/>
                <w:sz w:val="24"/>
                <w:szCs w:val="24"/>
              </w:rPr>
            </w:pPr>
            <w:r w:rsidRPr="008C7580">
              <w:rPr>
                <w:rFonts w:ascii="Times New Roman" w:hAnsi="Times New Roman" w:cs="Times New Roman"/>
                <w:sz w:val="24"/>
                <w:szCs w:val="24"/>
              </w:rPr>
              <w:t>Milk cows, 500+ head</w:t>
            </w:r>
          </w:p>
        </w:tc>
        <w:tc>
          <w:tcPr>
            <w:tcW w:w="1890" w:type="dxa"/>
            <w:tcBorders>
              <w:top w:val="nil"/>
              <w:left w:val="nil"/>
              <w:bottom w:val="single" w:sz="4" w:space="0" w:color="auto"/>
              <w:right w:val="nil"/>
            </w:tcBorders>
            <w:hideMark/>
          </w:tcPr>
          <w:p w:rsidR="008C7580" w:rsidRPr="008C7580" w:rsidRDefault="008C7580" w:rsidP="008C7580">
            <w:pPr>
              <w:jc w:val="right"/>
              <w:rPr>
                <w:rFonts w:ascii="Times New Roman" w:hAnsi="Times New Roman" w:cs="Times New Roman"/>
                <w:sz w:val="24"/>
                <w:szCs w:val="24"/>
              </w:rPr>
            </w:pPr>
            <w:r w:rsidRPr="008C7580">
              <w:rPr>
                <w:rFonts w:ascii="Times New Roman" w:hAnsi="Times New Roman" w:cs="Times New Roman"/>
                <w:sz w:val="24"/>
                <w:szCs w:val="24"/>
              </w:rPr>
              <w:t>5,152,742</w:t>
            </w:r>
          </w:p>
        </w:tc>
      </w:tr>
      <w:tr w:rsidR="008C7580" w:rsidRPr="00BA083F" w:rsidTr="008C7580">
        <w:trPr>
          <w:trHeight w:val="440"/>
          <w:jc w:val="center"/>
        </w:trPr>
        <w:tc>
          <w:tcPr>
            <w:tcW w:w="6840" w:type="dxa"/>
            <w:gridSpan w:val="3"/>
            <w:tcBorders>
              <w:top w:val="single" w:sz="4" w:space="0" w:color="auto"/>
              <w:left w:val="nil"/>
              <w:bottom w:val="nil"/>
              <w:right w:val="nil"/>
            </w:tcBorders>
          </w:tcPr>
          <w:p w:rsidR="008C7580" w:rsidRPr="008C7580" w:rsidRDefault="008C7580" w:rsidP="008C7580">
            <w:pPr>
              <w:rPr>
                <w:rFonts w:ascii="Times New Roman" w:hAnsi="Times New Roman" w:cs="Times New Roman"/>
                <w:sz w:val="24"/>
                <w:szCs w:val="24"/>
              </w:rPr>
            </w:pPr>
          </w:p>
        </w:tc>
      </w:tr>
    </w:tbl>
    <w:p w:rsidR="006F5CC5" w:rsidRDefault="00C86330">
      <w:pPr>
        <w:rPr>
          <w:rFonts w:ascii="Times New Roman" w:hAnsi="Times New Roman" w:cs="Times New Roman"/>
          <w:sz w:val="24"/>
          <w:szCs w:val="24"/>
        </w:rPr>
      </w:pPr>
      <w:r>
        <w:rPr>
          <w:rFonts w:ascii="Times New Roman" w:hAnsi="Times New Roman" w:cs="Times New Roman"/>
          <w:sz w:val="24"/>
          <w:szCs w:val="24"/>
        </w:rPr>
        <w:t>Next</w:t>
      </w:r>
      <w:r w:rsidR="004F6EF2">
        <w:rPr>
          <w:rFonts w:ascii="Times New Roman" w:hAnsi="Times New Roman" w:cs="Times New Roman"/>
          <w:sz w:val="24"/>
          <w:szCs w:val="24"/>
        </w:rPr>
        <w:t xml:space="preserve">, we add a theoretical BECCS sector to the SAM. We </w:t>
      </w:r>
      <w:r w:rsidR="003E2498">
        <w:rPr>
          <w:rFonts w:ascii="Times New Roman" w:hAnsi="Times New Roman" w:cs="Times New Roman"/>
          <w:sz w:val="24"/>
          <w:szCs w:val="24"/>
        </w:rPr>
        <w:t xml:space="preserve">model transfers to and from the BECCS sector based on the transfers of the pre-existing electricity generation sectors. We then scale the BECCS sector to 1% of the total size of the other electricity sectors. So, for example, if all the pre-existing electricity generation sectors consumed $5 billion in services, we assume that the BECCS sector requires $50 million in </w:t>
      </w:r>
      <w:r w:rsidR="003E2498">
        <w:rPr>
          <w:rFonts w:ascii="Times New Roman" w:hAnsi="Times New Roman" w:cs="Times New Roman"/>
          <w:sz w:val="24"/>
          <w:szCs w:val="24"/>
        </w:rPr>
        <w:t>services</w:t>
      </w:r>
      <w:r w:rsidR="003E2498">
        <w:rPr>
          <w:rFonts w:ascii="Times New Roman" w:hAnsi="Times New Roman" w:cs="Times New Roman"/>
          <w:sz w:val="24"/>
          <w:szCs w:val="24"/>
        </w:rPr>
        <w:t xml:space="preserve">. We also create a </w:t>
      </w:r>
      <w:r>
        <w:rPr>
          <w:rFonts w:ascii="Times New Roman" w:hAnsi="Times New Roman" w:cs="Times New Roman"/>
          <w:sz w:val="24"/>
          <w:szCs w:val="24"/>
        </w:rPr>
        <w:t xml:space="preserve">strong </w:t>
      </w:r>
      <w:r w:rsidR="003E2498">
        <w:rPr>
          <w:rFonts w:ascii="Times New Roman" w:hAnsi="Times New Roman" w:cs="Times New Roman"/>
          <w:sz w:val="24"/>
          <w:szCs w:val="24"/>
        </w:rPr>
        <w:t xml:space="preserve">dependency </w:t>
      </w:r>
      <w:r>
        <w:rPr>
          <w:rFonts w:ascii="Times New Roman" w:hAnsi="Times New Roman" w:cs="Times New Roman"/>
          <w:sz w:val="24"/>
          <w:szCs w:val="24"/>
        </w:rPr>
        <w:t>on the biomass sector; 20% total transfers out of the BECCS sector is assumed to be</w:t>
      </w:r>
      <w:r w:rsidR="00B20A11">
        <w:rPr>
          <w:rFonts w:ascii="Times New Roman" w:hAnsi="Times New Roman" w:cs="Times New Roman"/>
          <w:sz w:val="24"/>
          <w:szCs w:val="24"/>
        </w:rPr>
        <w:t xml:space="preserve"> spent on its biomass input.</w:t>
      </w:r>
      <w:r>
        <w:rPr>
          <w:rFonts w:ascii="Times New Roman" w:hAnsi="Times New Roman" w:cs="Times New Roman"/>
          <w:sz w:val="24"/>
          <w:szCs w:val="24"/>
        </w:rPr>
        <w:t xml:space="preserve"> Finally, we assume that the BECCS sector does not rely on any direct imports. </w:t>
      </w:r>
    </w:p>
    <w:p w:rsidR="00C86330" w:rsidRDefault="00BE0500">
      <w:pPr>
        <w:rPr>
          <w:rFonts w:ascii="Times New Roman" w:hAnsi="Times New Roman" w:cs="Times New Roman"/>
          <w:sz w:val="24"/>
          <w:szCs w:val="24"/>
        </w:rPr>
      </w:pPr>
      <w:r>
        <w:rPr>
          <w:rFonts w:ascii="Times New Roman" w:hAnsi="Times New Roman" w:cs="Times New Roman"/>
          <w:sz w:val="24"/>
          <w:szCs w:val="24"/>
        </w:rPr>
        <w:t>Fifth, we bundle the electricity sectors. To start, we create a renewable energy bundle which consists of the electricity sectors for biomass, hydroelectric power, nuclear, solar, and wind. We also include the “Other” electricity sources sector</w:t>
      </w:r>
      <w:r w:rsidR="00B20A11">
        <w:rPr>
          <w:rFonts w:ascii="Times New Roman" w:hAnsi="Times New Roman" w:cs="Times New Roman"/>
          <w:sz w:val="24"/>
          <w:szCs w:val="24"/>
        </w:rPr>
        <w:t xml:space="preserve"> in the renewable bundle</w:t>
      </w:r>
      <w:r>
        <w:rPr>
          <w:rFonts w:ascii="Times New Roman" w:hAnsi="Times New Roman" w:cs="Times New Roman"/>
          <w:sz w:val="24"/>
          <w:szCs w:val="24"/>
        </w:rPr>
        <w:t xml:space="preserve">, since it is electricity generation that is not from fossil fuels. This is because fossil fuel derived electricity already appears as </w:t>
      </w:r>
      <w:r w:rsidR="00B20A11">
        <w:rPr>
          <w:rFonts w:ascii="Times New Roman" w:hAnsi="Times New Roman" w:cs="Times New Roman"/>
          <w:sz w:val="24"/>
          <w:szCs w:val="24"/>
        </w:rPr>
        <w:t xml:space="preserve">a bundle in the IMPLAN data. Additionally, we include a small amount factor inputs into the renewable bundle to </w:t>
      </w:r>
      <w:r w:rsidR="003F06E3">
        <w:rPr>
          <w:rFonts w:ascii="Times New Roman" w:hAnsi="Times New Roman" w:cs="Times New Roman"/>
          <w:sz w:val="24"/>
          <w:szCs w:val="24"/>
        </w:rPr>
        <w:t xml:space="preserve">account for </w:t>
      </w:r>
      <w:r w:rsidR="00B20A11">
        <w:rPr>
          <w:rFonts w:ascii="Times New Roman" w:hAnsi="Times New Roman" w:cs="Times New Roman"/>
          <w:sz w:val="24"/>
          <w:szCs w:val="24"/>
        </w:rPr>
        <w:t>the cost of</w:t>
      </w:r>
      <w:r w:rsidR="003F06E3">
        <w:rPr>
          <w:rFonts w:ascii="Times New Roman" w:hAnsi="Times New Roman" w:cs="Times New Roman"/>
          <w:sz w:val="24"/>
          <w:szCs w:val="24"/>
        </w:rPr>
        <w:t xml:space="preserve"> electricity transmission; each factor input is set to be equal to 1% of the respective factor input into the electricity distribution sector. Now, a</w:t>
      </w:r>
      <w:r w:rsidR="00B20A11">
        <w:rPr>
          <w:rFonts w:ascii="Times New Roman" w:hAnsi="Times New Roman" w:cs="Times New Roman"/>
          <w:sz w:val="24"/>
          <w:szCs w:val="24"/>
        </w:rPr>
        <w:t xml:space="preserve">t this stage, we have three </w:t>
      </w:r>
      <w:r w:rsidR="003F06E3">
        <w:rPr>
          <w:rFonts w:ascii="Times New Roman" w:hAnsi="Times New Roman" w:cs="Times New Roman"/>
          <w:sz w:val="24"/>
          <w:szCs w:val="24"/>
        </w:rPr>
        <w:t xml:space="preserve">separate </w:t>
      </w:r>
      <w:r w:rsidR="00B20A11">
        <w:rPr>
          <w:rFonts w:ascii="Times New Roman" w:hAnsi="Times New Roman" w:cs="Times New Roman"/>
          <w:sz w:val="24"/>
          <w:szCs w:val="24"/>
        </w:rPr>
        <w:t xml:space="preserve">electricity sectors of interest: renewables, fossil fuels, and BECCS. These </w:t>
      </w:r>
      <w:r w:rsidR="003F06E3">
        <w:rPr>
          <w:rFonts w:ascii="Times New Roman" w:hAnsi="Times New Roman" w:cs="Times New Roman"/>
          <w:sz w:val="24"/>
          <w:szCs w:val="24"/>
        </w:rPr>
        <w:t xml:space="preserve">three </w:t>
      </w:r>
      <w:r w:rsidR="00B20A11">
        <w:rPr>
          <w:rFonts w:ascii="Times New Roman" w:hAnsi="Times New Roman" w:cs="Times New Roman"/>
          <w:sz w:val="24"/>
          <w:szCs w:val="24"/>
        </w:rPr>
        <w:t xml:space="preserve">sectors are all </w:t>
      </w:r>
      <w:r w:rsidR="003F06E3">
        <w:rPr>
          <w:rFonts w:ascii="Times New Roman" w:hAnsi="Times New Roman" w:cs="Times New Roman"/>
          <w:sz w:val="24"/>
          <w:szCs w:val="24"/>
        </w:rPr>
        <w:t xml:space="preserve">bundled again </w:t>
      </w:r>
      <w:r w:rsidR="00B20A11">
        <w:rPr>
          <w:rFonts w:ascii="Times New Roman" w:hAnsi="Times New Roman" w:cs="Times New Roman"/>
          <w:sz w:val="24"/>
          <w:szCs w:val="24"/>
        </w:rPr>
        <w:t xml:space="preserve">into a larger electricity </w:t>
      </w:r>
      <w:r w:rsidR="003F06E3">
        <w:rPr>
          <w:rFonts w:ascii="Times New Roman" w:hAnsi="Times New Roman" w:cs="Times New Roman"/>
          <w:sz w:val="24"/>
          <w:szCs w:val="24"/>
        </w:rPr>
        <w:t xml:space="preserve">sector to complete the electricity nest. </w:t>
      </w:r>
    </w:p>
    <w:p w:rsidR="003F06E3" w:rsidRDefault="003F06E3">
      <w:pPr>
        <w:rPr>
          <w:rFonts w:ascii="Times New Roman" w:hAnsi="Times New Roman" w:cs="Times New Roman"/>
          <w:sz w:val="24"/>
          <w:szCs w:val="24"/>
        </w:rPr>
      </w:pPr>
      <w:r>
        <w:rPr>
          <w:rFonts w:ascii="Times New Roman" w:hAnsi="Times New Roman" w:cs="Times New Roman"/>
          <w:sz w:val="24"/>
          <w:szCs w:val="24"/>
        </w:rPr>
        <w:t xml:space="preserve">Finally, we balance the SAM using the cross-entropy method. This method attempts to minimize the Kullback-Leibler divergence between each entry of the original SAM and the new SAM while </w:t>
      </w:r>
      <w:r w:rsidR="00FB0855">
        <w:rPr>
          <w:rFonts w:ascii="Times New Roman" w:hAnsi="Times New Roman" w:cs="Times New Roman"/>
          <w:sz w:val="24"/>
          <w:szCs w:val="24"/>
        </w:rPr>
        <w:t xml:space="preserve">balancing </w:t>
      </w:r>
      <w:r>
        <w:rPr>
          <w:rFonts w:ascii="Times New Roman" w:hAnsi="Times New Roman" w:cs="Times New Roman"/>
          <w:sz w:val="24"/>
          <w:szCs w:val="24"/>
        </w:rPr>
        <w:t>the input and output totals.</w:t>
      </w:r>
      <w:r w:rsidR="00FB0855">
        <w:rPr>
          <w:rFonts w:ascii="Times New Roman" w:hAnsi="Times New Roman" w:cs="Times New Roman"/>
          <w:sz w:val="24"/>
          <w:szCs w:val="24"/>
        </w:rPr>
        <w:t xml:space="preserve"> </w:t>
      </w:r>
      <w:r w:rsidR="00FB0855">
        <w:rPr>
          <w:rFonts w:ascii="Times New Roman" w:hAnsi="Times New Roman" w:cs="Times New Roman"/>
          <w:sz w:val="24"/>
          <w:szCs w:val="24"/>
        </w:rPr>
        <w:t xml:space="preserve">Kullback-Leibler </w:t>
      </w:r>
      <w:r w:rsidR="00FB0855">
        <w:rPr>
          <w:rFonts w:ascii="Times New Roman" w:hAnsi="Times New Roman" w:cs="Times New Roman"/>
          <w:sz w:val="24"/>
          <w:szCs w:val="24"/>
        </w:rPr>
        <w:t xml:space="preserve">divergence </w:t>
      </w:r>
      <w:r w:rsidR="00745147">
        <w:rPr>
          <w:rFonts w:ascii="Times New Roman" w:hAnsi="Times New Roman" w:cs="Times New Roman"/>
          <w:sz w:val="24"/>
          <w:szCs w:val="24"/>
        </w:rPr>
        <w:t xml:space="preserve">was originally developed </w:t>
      </w:r>
      <w:r w:rsidR="00FB0855">
        <w:rPr>
          <w:rFonts w:ascii="Times New Roman" w:hAnsi="Times New Roman" w:cs="Times New Roman"/>
          <w:sz w:val="24"/>
          <w:szCs w:val="24"/>
        </w:rPr>
        <w:t xml:space="preserve">to measure the difference in information between two probability distributions. </w:t>
      </w:r>
      <w:r w:rsidR="00745147">
        <w:rPr>
          <w:rFonts w:ascii="Times New Roman" w:hAnsi="Times New Roman" w:cs="Times New Roman"/>
          <w:sz w:val="24"/>
          <w:szCs w:val="24"/>
        </w:rPr>
        <w:t>In this case, it is used to</w:t>
      </w:r>
      <w:r w:rsidR="00FB0855">
        <w:rPr>
          <w:rFonts w:ascii="Times New Roman" w:hAnsi="Times New Roman" w:cs="Times New Roman"/>
          <w:sz w:val="24"/>
          <w:szCs w:val="24"/>
        </w:rPr>
        <w:t xml:space="preserve"> minimize the </w:t>
      </w:r>
      <w:r w:rsidR="00745147">
        <w:rPr>
          <w:rFonts w:ascii="Times New Roman" w:hAnsi="Times New Roman" w:cs="Times New Roman"/>
          <w:sz w:val="24"/>
          <w:szCs w:val="24"/>
        </w:rPr>
        <w:t>difference in information between the original and balanced SAM</w:t>
      </w:r>
      <w:r w:rsidR="00FB0855">
        <w:rPr>
          <w:rFonts w:ascii="Times New Roman" w:hAnsi="Times New Roman" w:cs="Times New Roman"/>
          <w:sz w:val="24"/>
          <w:szCs w:val="24"/>
        </w:rPr>
        <w:t xml:space="preserve">. </w:t>
      </w:r>
      <w:r w:rsidR="00745147">
        <w:rPr>
          <w:rFonts w:ascii="Times New Roman" w:hAnsi="Times New Roman" w:cs="Times New Roman"/>
          <w:sz w:val="24"/>
          <w:szCs w:val="24"/>
        </w:rPr>
        <w:t xml:space="preserve">As a result, the cross-entropy method helps keep the information content of our SAM stable through the balancing procedure. Once we balance the SAM, we format it into a readable file which is used by our CGE program. </w:t>
      </w:r>
      <w:bookmarkStart w:id="0" w:name="_GoBack"/>
      <w:bookmarkEnd w:id="0"/>
    </w:p>
    <w:p w:rsidR="006F5CC5" w:rsidRPr="002543AA" w:rsidRDefault="006F5CC5">
      <w:pPr>
        <w:rPr>
          <w:rFonts w:ascii="Times New Roman" w:hAnsi="Times New Roman" w:cs="Times New Roman"/>
          <w:sz w:val="24"/>
          <w:szCs w:val="24"/>
        </w:rPr>
      </w:pPr>
    </w:p>
    <w:sectPr w:rsidR="006F5CC5" w:rsidRPr="00254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E2A" w:rsidRDefault="009B6E2A" w:rsidP="00710800">
      <w:pPr>
        <w:spacing w:after="0" w:line="240" w:lineRule="auto"/>
      </w:pPr>
      <w:r>
        <w:separator/>
      </w:r>
    </w:p>
  </w:endnote>
  <w:endnote w:type="continuationSeparator" w:id="0">
    <w:p w:rsidR="009B6E2A" w:rsidRDefault="009B6E2A" w:rsidP="0071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E2A" w:rsidRDefault="009B6E2A" w:rsidP="00710800">
      <w:pPr>
        <w:spacing w:after="0" w:line="240" w:lineRule="auto"/>
      </w:pPr>
      <w:r>
        <w:separator/>
      </w:r>
    </w:p>
  </w:footnote>
  <w:footnote w:type="continuationSeparator" w:id="0">
    <w:p w:rsidR="009B6E2A" w:rsidRDefault="009B6E2A" w:rsidP="00710800">
      <w:pPr>
        <w:spacing w:after="0" w:line="240" w:lineRule="auto"/>
      </w:pPr>
      <w:r>
        <w:continuationSeparator/>
      </w:r>
    </w:p>
  </w:footnote>
  <w:footnote w:id="1">
    <w:p w:rsidR="00710800" w:rsidRPr="000B18DD" w:rsidRDefault="00710800">
      <w:pPr>
        <w:pStyle w:val="FootnoteText"/>
        <w:rPr>
          <w:rFonts w:ascii="Times New Roman" w:hAnsi="Times New Roman" w:cs="Times New Roman"/>
        </w:rPr>
      </w:pPr>
      <w:r w:rsidRPr="000B18DD">
        <w:rPr>
          <w:rStyle w:val="FootnoteReference"/>
          <w:rFonts w:ascii="Times New Roman" w:hAnsi="Times New Roman" w:cs="Times New Roman"/>
        </w:rPr>
        <w:footnoteRef/>
      </w:r>
      <w:r w:rsidRPr="000B18DD">
        <w:rPr>
          <w:rFonts w:ascii="Times New Roman" w:hAnsi="Times New Roman" w:cs="Times New Roman"/>
        </w:rPr>
        <w:t xml:space="preserve"> </w:t>
      </w:r>
      <w:r w:rsidRPr="000B18DD">
        <w:rPr>
          <w:rFonts w:ascii="Times New Roman" w:hAnsi="Times New Roman" w:cs="Times New Roman"/>
        </w:rPr>
        <w:t>We include any state that is partially or fully in the PJM interconnection; these states are: Delaware, Illinois, Indiana, Kentucky, Maryland, Michigan, New Jersey, North Carolina, Ohio, Pennsylvania, Tennessee, Virginia, West Virginia and the District of Columbia</w:t>
      </w:r>
      <w:r w:rsidRPr="000B18DD">
        <w:rPr>
          <w:rFonts w:ascii="Times New Roman" w:hAnsi="Times New Roman" w:cs="Times New Roman"/>
        </w:rPr>
        <w:t>.</w:t>
      </w:r>
    </w:p>
  </w:footnote>
  <w:footnote w:id="2">
    <w:p w:rsidR="00710800" w:rsidRDefault="00710800">
      <w:pPr>
        <w:pStyle w:val="FootnoteText"/>
      </w:pPr>
      <w:r w:rsidRPr="000B18DD">
        <w:rPr>
          <w:rStyle w:val="FootnoteReference"/>
          <w:rFonts w:ascii="Times New Roman" w:hAnsi="Times New Roman" w:cs="Times New Roman"/>
        </w:rPr>
        <w:footnoteRef/>
      </w:r>
      <w:r w:rsidRPr="000B18DD">
        <w:rPr>
          <w:rFonts w:ascii="Times New Roman" w:hAnsi="Times New Roman" w:cs="Times New Roman"/>
        </w:rPr>
        <w:t xml:space="preserve"> </w:t>
      </w:r>
      <w:r w:rsidRPr="000B18DD">
        <w:rPr>
          <w:rFonts w:ascii="Times New Roman" w:hAnsi="Times New Roman" w:cs="Times New Roman"/>
        </w:rPr>
        <w:t>The Northeastern region of the US consists of Maine, New York, New Jersey, Vermont, Massachusetts, Rhode Island, Connecticut, New Hampshire, and Pennsylvania.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00"/>
    <w:rsid w:val="000B18DD"/>
    <w:rsid w:val="000B7575"/>
    <w:rsid w:val="002543AA"/>
    <w:rsid w:val="00356866"/>
    <w:rsid w:val="003E2498"/>
    <w:rsid w:val="003F06E3"/>
    <w:rsid w:val="004F6EF2"/>
    <w:rsid w:val="0050784D"/>
    <w:rsid w:val="005839EC"/>
    <w:rsid w:val="006F5CC5"/>
    <w:rsid w:val="00710800"/>
    <w:rsid w:val="00745147"/>
    <w:rsid w:val="00850A23"/>
    <w:rsid w:val="008C7580"/>
    <w:rsid w:val="009B6E2A"/>
    <w:rsid w:val="00A56C02"/>
    <w:rsid w:val="00B20A11"/>
    <w:rsid w:val="00BA083F"/>
    <w:rsid w:val="00BE0500"/>
    <w:rsid w:val="00C86330"/>
    <w:rsid w:val="00DB1757"/>
    <w:rsid w:val="00EE036D"/>
    <w:rsid w:val="00FB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BB0"/>
  <w15:chartTrackingRefBased/>
  <w15:docId w15:val="{97796452-4F2F-41D7-B6B2-474AB565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0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0800"/>
    <w:rPr>
      <w:sz w:val="20"/>
      <w:szCs w:val="20"/>
    </w:rPr>
  </w:style>
  <w:style w:type="character" w:styleId="FootnoteReference">
    <w:name w:val="footnote reference"/>
    <w:basedOn w:val="DefaultParagraphFont"/>
    <w:uiPriority w:val="99"/>
    <w:semiHidden/>
    <w:unhideWhenUsed/>
    <w:rsid w:val="00710800"/>
    <w:rPr>
      <w:vertAlign w:val="superscript"/>
    </w:rPr>
  </w:style>
  <w:style w:type="table" w:styleId="TableGrid">
    <w:name w:val="Table Grid"/>
    <w:basedOn w:val="TableNormal"/>
    <w:uiPriority w:val="39"/>
    <w:rsid w:val="00A5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543A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B18DD"/>
    <w:rPr>
      <w:color w:val="0563C1" w:themeColor="hyperlink"/>
      <w:u w:val="single"/>
    </w:rPr>
  </w:style>
  <w:style w:type="character" w:styleId="UnresolvedMention">
    <w:name w:val="Unresolved Mention"/>
    <w:basedOn w:val="DefaultParagraphFont"/>
    <w:uiPriority w:val="99"/>
    <w:semiHidden/>
    <w:unhideWhenUsed/>
    <w:rsid w:val="000B18DD"/>
    <w:rPr>
      <w:color w:val="808080"/>
      <w:shd w:val="clear" w:color="auto" w:fill="E6E6E6"/>
    </w:rPr>
  </w:style>
  <w:style w:type="character" w:styleId="FollowedHyperlink">
    <w:name w:val="FollowedHyperlink"/>
    <w:basedOn w:val="DefaultParagraphFont"/>
    <w:uiPriority w:val="99"/>
    <w:semiHidden/>
    <w:unhideWhenUsed/>
    <w:rsid w:val="000B1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planhelp.zendesk.com/hc/en-us/articles/115009674428-IMPLAN-Sectoring-NAICS-Correspondenc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E369-E73B-4D00-8A51-DF6130B8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Aleti</dc:creator>
  <cp:keywords/>
  <dc:description/>
  <cp:lastModifiedBy>Saketh Aleti</cp:lastModifiedBy>
  <cp:revision>5</cp:revision>
  <dcterms:created xsi:type="dcterms:W3CDTF">2018-11-20T00:54:00Z</dcterms:created>
  <dcterms:modified xsi:type="dcterms:W3CDTF">2018-11-20T03:46:00Z</dcterms:modified>
</cp:coreProperties>
</file>