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88EC5A">
      <w:pPr>
        <w:spacing w:before="1400"/>
      </w:pPr>
    </w:p>
    <w:p w14:paraId="251B7DCA">
      <w:pPr>
        <w:spacing w:after="300"/>
        <w:jc w:val="center"/>
      </w:pPr>
      <w:r>
        <w:rPr>
          <w:b/>
          <w:bCs/>
          <w:color w:val="1F3A5F"/>
          <w:sz w:val="30"/>
          <w:szCs w:val="30"/>
        </w:rPr>
        <w:t>INTERNSHIP PROJECT REPORT</w:t>
      </w:r>
    </w:p>
    <w:p w14:paraId="0E5FB04F">
      <w:pPr>
        <w:spacing w:after="160"/>
        <w:jc w:val="center"/>
      </w:pPr>
      <w:r>
        <w:rPr>
          <w:b/>
          <w:bCs/>
          <w:sz w:val="44"/>
          <w:szCs w:val="44"/>
        </w:rPr>
        <w:t xml:space="preserve">Virexo Innovations — </w:t>
      </w:r>
      <w:r>
        <w:rPr>
          <w:rFonts w:hint="default"/>
          <w:b/>
          <w:bCs/>
          <w:sz w:val="44"/>
          <w:szCs w:val="44"/>
        </w:rPr>
        <w:t>– Business Website Expansion</w:t>
      </w:r>
      <w:bookmarkStart w:id="0" w:name="_GoBack"/>
      <w:bookmarkEnd w:id="0"/>
    </w:p>
    <w:p w14:paraId="4F05651B">
      <w:pPr>
        <w:spacing w:after="800"/>
        <w:jc w:val="center"/>
      </w:pPr>
      <w:r>
        <w:rPr>
          <w:color w:val="5B6472"/>
          <w:sz w:val="24"/>
          <w:szCs w:val="24"/>
        </w:rPr>
        <w:t>Task 1:</w:t>
      </w:r>
      <w:r>
        <w:rPr>
          <w:rFonts w:hint="default"/>
          <w:color w:val="5B6472"/>
          <w:sz w:val="24"/>
          <w:szCs w:val="24"/>
          <w:lang w:val="en-US"/>
        </w:rPr>
        <w:t xml:space="preserve"> Virexo </w:t>
      </w:r>
      <w:r>
        <w:rPr>
          <w:color w:val="5B6472"/>
          <w:sz w:val="24"/>
          <w:szCs w:val="24"/>
        </w:rPr>
        <w:t xml:space="preserve"> Business Website   •  Task 2: </w:t>
      </w:r>
      <w:r>
        <w:rPr>
          <w:rFonts w:hint="default"/>
          <w:color w:val="5B6472"/>
          <w:sz w:val="24"/>
          <w:szCs w:val="24"/>
        </w:rPr>
        <w:t>Virexo Innovations – Business Website Expansion</w:t>
      </w:r>
    </w:p>
    <w:p w14:paraId="33826F90">
      <w:pPr>
        <w:spacing w:after="900"/>
        <w:jc w:val="center"/>
      </w:pPr>
      <w:r>
        <w:rPr>
          <w:b/>
          <w:bCs/>
          <w:sz w:val="24"/>
          <w:szCs w:val="24"/>
        </w:rPr>
        <w:t>Web Development Internship Program</w:t>
      </w:r>
    </w:p>
    <w:p w14:paraId="757A9EA5">
      <w:pPr>
        <w:spacing w:after="140"/>
        <w:jc w:val="center"/>
      </w:pPr>
      <w:r>
        <w:rPr>
          <w:b/>
          <w:bCs/>
          <w:sz w:val="22"/>
          <w:szCs w:val="22"/>
        </w:rPr>
        <w:t xml:space="preserve">Student Name:  </w:t>
      </w:r>
      <w:r>
        <w:rPr>
          <w:sz w:val="22"/>
          <w:szCs w:val="22"/>
        </w:rPr>
        <w:t>[</w:t>
      </w:r>
      <w:r>
        <w:rPr>
          <w:rFonts w:hint="default"/>
          <w:sz w:val="22"/>
          <w:szCs w:val="22"/>
          <w:lang w:val="en-US"/>
        </w:rPr>
        <w:t>Eman Fatima</w:t>
      </w:r>
      <w:r>
        <w:rPr>
          <w:sz w:val="22"/>
          <w:szCs w:val="22"/>
        </w:rPr>
        <w:t>]</w:t>
      </w:r>
    </w:p>
    <w:p w14:paraId="0E39B8DC">
      <w:pPr>
        <w:spacing w:after="140"/>
        <w:jc w:val="center"/>
      </w:pPr>
      <w:r>
        <w:rPr>
          <w:b/>
          <w:bCs/>
          <w:sz w:val="22"/>
          <w:szCs w:val="22"/>
        </w:rPr>
        <w:t xml:space="preserve">Student ID / Roll No.:  </w:t>
      </w:r>
      <w:r>
        <w:rPr>
          <w:sz w:val="22"/>
          <w:szCs w:val="22"/>
        </w:rPr>
        <w:t>[</w:t>
      </w:r>
      <w:r>
        <w:rPr>
          <w:rFonts w:hint="default"/>
          <w:sz w:val="22"/>
          <w:szCs w:val="22"/>
          <w:lang w:val="en-US"/>
        </w:rPr>
        <w:t>VTX-20260043</w:t>
      </w:r>
      <w:r>
        <w:rPr>
          <w:sz w:val="22"/>
          <w:szCs w:val="22"/>
        </w:rPr>
        <w:t>]</w:t>
      </w:r>
    </w:p>
    <w:p w14:paraId="5293CEA4">
      <w:pPr>
        <w:spacing w:after="140"/>
        <w:jc w:val="center"/>
      </w:pPr>
      <w:r>
        <w:rPr>
          <w:b/>
          <w:bCs/>
          <w:sz w:val="22"/>
          <w:szCs w:val="22"/>
        </w:rPr>
        <w:t xml:space="preserve">Organization / Institute:  </w:t>
      </w:r>
      <w:r>
        <w:rPr>
          <w:sz w:val="22"/>
          <w:szCs w:val="22"/>
        </w:rPr>
        <w:t>[</w:t>
      </w:r>
      <w:r>
        <w:rPr>
          <w:rFonts w:hint="default"/>
          <w:sz w:val="22"/>
          <w:szCs w:val="22"/>
          <w:lang w:val="en-US"/>
        </w:rPr>
        <w:t>Virexo</w:t>
      </w:r>
      <w:r>
        <w:rPr>
          <w:sz w:val="22"/>
          <w:szCs w:val="22"/>
        </w:rPr>
        <w:t>]</w:t>
      </w:r>
    </w:p>
    <w:p w14:paraId="2B140157">
      <w:pPr>
        <w:spacing w:after="140"/>
        <w:jc w:val="center"/>
      </w:pPr>
      <w:r>
        <w:rPr>
          <w:b/>
          <w:bCs/>
          <w:sz w:val="22"/>
          <w:szCs w:val="22"/>
        </w:rPr>
        <w:t xml:space="preserve">Submission Date:  </w:t>
      </w:r>
      <w:r>
        <w:rPr>
          <w:sz w:val="22"/>
          <w:szCs w:val="22"/>
        </w:rPr>
        <w:t>[</w:t>
      </w:r>
      <w:r>
        <w:rPr>
          <w:rFonts w:hint="default"/>
          <w:sz w:val="22"/>
          <w:szCs w:val="22"/>
          <w:lang w:val="en-US"/>
        </w:rPr>
        <w:t>24-Aug-2026</w:t>
      </w:r>
      <w:r>
        <w:rPr>
          <w:sz w:val="22"/>
          <w:szCs w:val="22"/>
        </w:rPr>
        <w:t>]</w:t>
      </w:r>
    </w:p>
    <w:p w14:paraId="757121F3">
      <w:pPr>
        <w:spacing w:after="140"/>
        <w:jc w:val="center"/>
      </w:pPr>
      <w:r>
        <w:rPr>
          <w:b/>
          <w:bCs/>
          <w:sz w:val="22"/>
          <w:szCs w:val="22"/>
        </w:rPr>
        <w:t xml:space="preserve">Repository:  </w:t>
      </w:r>
      <w:r>
        <w:rPr>
          <w:sz w:val="22"/>
          <w:szCs w:val="22"/>
        </w:rPr>
        <w:t>virexo-innovations (front-end, static site)</w:t>
      </w:r>
    </w:p>
    <w:p w14:paraId="7B7E18B9">
      <w:r>
        <w:br w:type="page"/>
      </w:r>
    </w:p>
    <w:p w14:paraId="080E9302">
      <w:pPr>
        <w:pStyle w:val="2"/>
        <w:spacing w:after="200"/>
      </w:pPr>
      <w:r>
        <w:t>Table of Contents</w:t>
      </w:r>
    </w:p>
    <w:sdt>
      <w:sdtPr>
        <w:alias w:val="Table of Contents"/>
        <w:id w:val="147479692"/>
      </w:sdtPr>
      <w:sdtContent>
        <w:p w14:paraId="6AA6F5B1">
          <w:r>
            <w:fldChar w:fldCharType="begin"/>
          </w:r>
          <w:r>
            <w:instrText xml:space="preserve">TOC \h \o "1-2"</w:instrText>
          </w:r>
          <w:r>
            <w:fldChar w:fldCharType="separate"/>
          </w:r>
        </w:p>
        <w:p w14:paraId="560A409A">
          <w:pPr>
            <w:tabs>
              <w:tab w:val="right" w:leader="dot" w:pos="9360"/>
            </w:tabs>
            <w:spacing w:before="120" w:after="40"/>
          </w:pPr>
          <w:r>
            <w:rPr>
              <w:b/>
              <w:bCs/>
            </w:rPr>
            <w:t>2. Executive Summary</w:t>
          </w:r>
          <w:r>
            <w:rPr>
              <w:b/>
              <w:bCs/>
            </w:rPr>
            <w:tab/>
          </w:r>
          <w:r>
            <w:rPr>
              <w:b/>
              <w:bCs/>
            </w:rPr>
            <w:t>4</w:t>
          </w:r>
        </w:p>
        <w:p w14:paraId="5E4BF45C">
          <w:pPr>
            <w:tabs>
              <w:tab w:val="right" w:leader="dot" w:pos="9360"/>
            </w:tabs>
            <w:spacing w:before="120" w:after="40"/>
          </w:pPr>
          <w:r>
            <w:rPr>
              <w:b/>
              <w:bCs/>
            </w:rPr>
            <w:t>3. Project Overview</w:t>
          </w:r>
          <w:r>
            <w:rPr>
              <w:b/>
              <w:bCs/>
            </w:rPr>
            <w:tab/>
          </w:r>
          <w:r>
            <w:rPr>
              <w:b/>
              <w:bCs/>
            </w:rPr>
            <w:t>5</w:t>
          </w:r>
        </w:p>
        <w:p w14:paraId="7A973D1A">
          <w:pPr>
            <w:tabs>
              <w:tab w:val="right" w:leader="dot" w:pos="9360"/>
            </w:tabs>
            <w:spacing w:after="40"/>
            <w:ind w:left="360"/>
          </w:pPr>
          <w:r>
            <w:t>3.1 Task 1 — Business Website Foundation</w:t>
          </w:r>
          <w:r>
            <w:tab/>
          </w:r>
          <w:r>
            <w:t>5</w:t>
          </w:r>
        </w:p>
        <w:p w14:paraId="78D67F3E">
          <w:pPr>
            <w:tabs>
              <w:tab w:val="right" w:leader="dot" w:pos="9360"/>
            </w:tabs>
            <w:spacing w:after="40"/>
            <w:ind w:left="360"/>
          </w:pPr>
          <w:r>
            <w:t>3.2 Task 2 — Professional Enhancement Pass</w:t>
          </w:r>
          <w:r>
            <w:tab/>
          </w:r>
          <w:r>
            <w:t>5</w:t>
          </w:r>
        </w:p>
        <w:p w14:paraId="7C57BBC7">
          <w:pPr>
            <w:tabs>
              <w:tab w:val="right" w:leader="dot" w:pos="9360"/>
            </w:tabs>
            <w:spacing w:after="40"/>
            <w:ind w:left="360"/>
          </w:pPr>
          <w:r>
            <w:t>3.3 Objectives</w:t>
          </w:r>
          <w:r>
            <w:tab/>
          </w:r>
          <w:r>
            <w:t>5</w:t>
          </w:r>
        </w:p>
        <w:p w14:paraId="13CDB545">
          <w:pPr>
            <w:tabs>
              <w:tab w:val="right" w:leader="dot" w:pos="9360"/>
            </w:tabs>
            <w:spacing w:after="40"/>
            <w:ind w:left="360"/>
          </w:pPr>
          <w:r>
            <w:t>3.4 Scope</w:t>
          </w:r>
          <w:r>
            <w:tab/>
          </w:r>
          <w:r>
            <w:t>5</w:t>
          </w:r>
        </w:p>
        <w:p w14:paraId="31598DF2">
          <w:pPr>
            <w:tabs>
              <w:tab w:val="right" w:leader="dot" w:pos="9360"/>
            </w:tabs>
            <w:spacing w:after="40"/>
            <w:ind w:left="360"/>
          </w:pPr>
          <w:r>
            <w:t>3.5 Intended Users</w:t>
          </w:r>
          <w:r>
            <w:tab/>
          </w:r>
          <w:r>
            <w:t>5</w:t>
          </w:r>
        </w:p>
        <w:p w14:paraId="6A29D079">
          <w:pPr>
            <w:tabs>
              <w:tab w:val="right" w:leader="dot" w:pos="9360"/>
            </w:tabs>
            <w:spacing w:before="120" w:after="40"/>
          </w:pPr>
          <w:r>
            <w:rPr>
              <w:b/>
              <w:bCs/>
            </w:rPr>
            <w:t>4. Technologies &amp; Tools</w:t>
          </w:r>
          <w:r>
            <w:rPr>
              <w:b/>
              <w:bCs/>
            </w:rPr>
            <w:tab/>
          </w:r>
          <w:r>
            <w:rPr>
              <w:b/>
              <w:bCs/>
            </w:rPr>
            <w:t>6</w:t>
          </w:r>
        </w:p>
        <w:p w14:paraId="6C03A625">
          <w:pPr>
            <w:tabs>
              <w:tab w:val="right" w:leader="dot" w:pos="9360"/>
            </w:tabs>
            <w:spacing w:before="120" w:after="40"/>
          </w:pPr>
          <w:r>
            <w:rPr>
              <w:b/>
              <w:bCs/>
            </w:rPr>
            <w:t>5. Project Architecture &amp; Structure</w:t>
          </w:r>
          <w:r>
            <w:rPr>
              <w:b/>
              <w:bCs/>
            </w:rPr>
            <w:tab/>
          </w:r>
          <w:r>
            <w:rPr>
              <w:b/>
              <w:bCs/>
            </w:rPr>
            <w:t>8</w:t>
          </w:r>
        </w:p>
        <w:p w14:paraId="0916D69E">
          <w:pPr>
            <w:tabs>
              <w:tab w:val="right" w:leader="dot" w:pos="9360"/>
            </w:tabs>
            <w:spacing w:before="120" w:after="40"/>
          </w:pPr>
          <w:r>
            <w:rPr>
              <w:b/>
              <w:bCs/>
            </w:rPr>
            <w:t>6. Task 1 — Detailed Implementation</w:t>
          </w:r>
          <w:r>
            <w:rPr>
              <w:b/>
              <w:bCs/>
            </w:rPr>
            <w:tab/>
          </w:r>
          <w:r>
            <w:rPr>
              <w:b/>
              <w:bCs/>
            </w:rPr>
            <w:t>9</w:t>
          </w:r>
        </w:p>
        <w:p w14:paraId="058F1CAA">
          <w:pPr>
            <w:tabs>
              <w:tab w:val="right" w:leader="dot" w:pos="9360"/>
            </w:tabs>
            <w:spacing w:after="40"/>
            <w:ind w:left="360"/>
          </w:pPr>
          <w:r>
            <w:t>6.1 Objective</w:t>
          </w:r>
          <w:r>
            <w:tab/>
          </w:r>
          <w:r>
            <w:t>9</w:t>
          </w:r>
        </w:p>
        <w:p w14:paraId="0F624BD1">
          <w:pPr>
            <w:tabs>
              <w:tab w:val="right" w:leader="dot" w:pos="9360"/>
            </w:tabs>
            <w:spacing w:after="40"/>
            <w:ind w:left="360"/>
          </w:pPr>
          <w:r>
            <w:t>6.2 Requirements Addressed</w:t>
          </w:r>
          <w:r>
            <w:tab/>
          </w:r>
          <w:r>
            <w:t>9</w:t>
          </w:r>
        </w:p>
        <w:p w14:paraId="3F333B63">
          <w:pPr>
            <w:tabs>
              <w:tab w:val="right" w:leader="dot" w:pos="9360"/>
            </w:tabs>
            <w:spacing w:after="40"/>
            <w:ind w:left="360"/>
          </w:pPr>
          <w:r>
            <w:t>6.3 Features Implemented</w:t>
          </w:r>
          <w:r>
            <w:tab/>
          </w:r>
          <w:r>
            <w:t>9</w:t>
          </w:r>
        </w:p>
        <w:p w14:paraId="3328B5F5">
          <w:pPr>
            <w:tabs>
              <w:tab w:val="right" w:leader="dot" w:pos="9360"/>
            </w:tabs>
            <w:spacing w:after="40"/>
            <w:ind w:left="360"/>
          </w:pPr>
          <w:r>
            <w:t>6.4 Technical Implementation</w:t>
          </w:r>
          <w:r>
            <w:tab/>
          </w:r>
          <w:r>
            <w:t>9</w:t>
          </w:r>
        </w:p>
        <w:p w14:paraId="5C580C5B">
          <w:pPr>
            <w:tabs>
              <w:tab w:val="right" w:leader="dot" w:pos="9360"/>
            </w:tabs>
            <w:spacing w:after="40"/>
            <w:ind w:left="360"/>
          </w:pPr>
          <w:r>
            <w:t>6.5 UI/UX</w:t>
          </w:r>
          <w:r>
            <w:tab/>
          </w:r>
          <w:r>
            <w:t>10</w:t>
          </w:r>
        </w:p>
        <w:p w14:paraId="357A6FD8">
          <w:pPr>
            <w:tabs>
              <w:tab w:val="right" w:leader="dot" w:pos="9360"/>
            </w:tabs>
            <w:spacing w:after="40"/>
            <w:ind w:left="360"/>
          </w:pPr>
          <w:r>
            <w:t>6.6 Challenges &amp; Solutions</w:t>
          </w:r>
          <w:r>
            <w:tab/>
          </w:r>
          <w:r>
            <w:t>10</w:t>
          </w:r>
        </w:p>
        <w:p w14:paraId="5637C764">
          <w:pPr>
            <w:tabs>
              <w:tab w:val="right" w:leader="dot" w:pos="9360"/>
            </w:tabs>
            <w:spacing w:after="40"/>
            <w:ind w:left="360"/>
          </w:pPr>
          <w:r>
            <w:t>6.7 Testing / Evaluation</w:t>
          </w:r>
          <w:r>
            <w:tab/>
          </w:r>
          <w:r>
            <w:t>10</w:t>
          </w:r>
        </w:p>
        <w:p w14:paraId="575BEA0B">
          <w:pPr>
            <w:tabs>
              <w:tab w:val="right" w:leader="dot" w:pos="9360"/>
            </w:tabs>
            <w:spacing w:after="40"/>
            <w:ind w:left="360"/>
          </w:pPr>
          <w:r>
            <w:t>6.8 Outcome</w:t>
          </w:r>
          <w:r>
            <w:tab/>
          </w:r>
          <w:r>
            <w:t>10</w:t>
          </w:r>
        </w:p>
        <w:p w14:paraId="331FCB6D">
          <w:pPr>
            <w:tabs>
              <w:tab w:val="right" w:leader="dot" w:pos="9360"/>
            </w:tabs>
            <w:spacing w:before="120" w:after="40"/>
          </w:pPr>
          <w:r>
            <w:rPr>
              <w:b/>
              <w:bCs/>
            </w:rPr>
            <w:t>7. Task 2 — Detailed Implementation</w:t>
          </w:r>
          <w:r>
            <w:rPr>
              <w:b/>
              <w:bCs/>
            </w:rPr>
            <w:tab/>
          </w:r>
          <w:r>
            <w:rPr>
              <w:b/>
              <w:bCs/>
            </w:rPr>
            <w:t>11</w:t>
          </w:r>
        </w:p>
        <w:p w14:paraId="455A9481">
          <w:pPr>
            <w:tabs>
              <w:tab w:val="right" w:leader="dot" w:pos="9360"/>
            </w:tabs>
            <w:spacing w:after="40"/>
            <w:ind w:left="360"/>
          </w:pPr>
          <w:r>
            <w:t>7.1 Objective</w:t>
          </w:r>
          <w:r>
            <w:tab/>
          </w:r>
          <w:r>
            <w:t>11</w:t>
          </w:r>
        </w:p>
        <w:p w14:paraId="61B66E9C">
          <w:pPr>
            <w:tabs>
              <w:tab w:val="right" w:leader="dot" w:pos="9360"/>
            </w:tabs>
            <w:spacing w:after="40"/>
            <w:ind w:left="360"/>
          </w:pPr>
          <w:r>
            <w:t>7.2 Requirements Addressed</w:t>
          </w:r>
          <w:r>
            <w:tab/>
          </w:r>
          <w:r>
            <w:t>11</w:t>
          </w:r>
        </w:p>
        <w:p w14:paraId="4D4549E3">
          <w:pPr>
            <w:tabs>
              <w:tab w:val="right" w:leader="dot" w:pos="9360"/>
            </w:tabs>
            <w:spacing w:after="40"/>
            <w:ind w:left="360"/>
          </w:pPr>
          <w:r>
            <w:t>7.3 Features Implemented</w:t>
          </w:r>
          <w:r>
            <w:tab/>
          </w:r>
          <w:r>
            <w:t>11</w:t>
          </w:r>
        </w:p>
        <w:p w14:paraId="0A3F5A8D">
          <w:pPr>
            <w:tabs>
              <w:tab w:val="right" w:leader="dot" w:pos="9360"/>
            </w:tabs>
            <w:spacing w:after="40"/>
            <w:ind w:left="360"/>
          </w:pPr>
          <w:r>
            <w:t>7.4 Technical Implementation</w:t>
          </w:r>
          <w:r>
            <w:tab/>
          </w:r>
          <w:r>
            <w:t>11</w:t>
          </w:r>
        </w:p>
        <w:p w14:paraId="00FA4DDD">
          <w:pPr>
            <w:tabs>
              <w:tab w:val="right" w:leader="dot" w:pos="9360"/>
            </w:tabs>
            <w:spacing w:after="40"/>
            <w:ind w:left="360"/>
          </w:pPr>
          <w:r>
            <w:t>7.5 UI/UX</w:t>
          </w:r>
          <w:r>
            <w:tab/>
          </w:r>
          <w:r>
            <w:t>12</w:t>
          </w:r>
        </w:p>
        <w:p w14:paraId="63873AFB">
          <w:pPr>
            <w:tabs>
              <w:tab w:val="right" w:leader="dot" w:pos="9360"/>
            </w:tabs>
            <w:spacing w:after="40"/>
            <w:ind w:left="360"/>
          </w:pPr>
          <w:r>
            <w:t>7.6 Challenges &amp; Solutions</w:t>
          </w:r>
          <w:r>
            <w:tab/>
          </w:r>
          <w:r>
            <w:t>12</w:t>
          </w:r>
        </w:p>
        <w:p w14:paraId="08CBDB48">
          <w:pPr>
            <w:tabs>
              <w:tab w:val="right" w:leader="dot" w:pos="9360"/>
            </w:tabs>
            <w:spacing w:after="40"/>
            <w:ind w:left="360"/>
          </w:pPr>
          <w:r>
            <w:t>7.7 Testing / Evaluation</w:t>
          </w:r>
          <w:r>
            <w:tab/>
          </w:r>
          <w:r>
            <w:t>12</w:t>
          </w:r>
        </w:p>
        <w:p w14:paraId="7C7DBBBA">
          <w:pPr>
            <w:tabs>
              <w:tab w:val="right" w:leader="dot" w:pos="9360"/>
            </w:tabs>
            <w:spacing w:after="40"/>
            <w:ind w:left="360"/>
          </w:pPr>
          <w:r>
            <w:t>7.8 Outcome</w:t>
          </w:r>
          <w:r>
            <w:tab/>
          </w:r>
          <w:r>
            <w:t>12</w:t>
          </w:r>
        </w:p>
        <w:p w14:paraId="6D6D96C5">
          <w:pPr>
            <w:tabs>
              <w:tab w:val="right" w:leader="dot" w:pos="9360"/>
            </w:tabs>
            <w:spacing w:before="120" w:after="40"/>
          </w:pPr>
          <w:r>
            <w:rPr>
              <w:b/>
              <w:bCs/>
            </w:rPr>
            <w:t>8. Technical Skills Demonstrated</w:t>
          </w:r>
          <w:r>
            <w:rPr>
              <w:b/>
              <w:bCs/>
            </w:rPr>
            <w:tab/>
          </w:r>
          <w:r>
            <w:rPr>
              <w:b/>
              <w:bCs/>
            </w:rPr>
            <w:t>13</w:t>
          </w:r>
        </w:p>
        <w:p w14:paraId="65E7258A">
          <w:pPr>
            <w:tabs>
              <w:tab w:val="right" w:leader="dot" w:pos="9360"/>
            </w:tabs>
            <w:spacing w:before="120" w:after="40"/>
          </w:pPr>
          <w:r>
            <w:rPr>
              <w:b/>
              <w:bCs/>
            </w:rPr>
            <w:t>9. Problem Solving &amp; Implementation</w:t>
          </w:r>
          <w:r>
            <w:rPr>
              <w:b/>
              <w:bCs/>
            </w:rPr>
            <w:tab/>
          </w:r>
          <w:r>
            <w:rPr>
              <w:b/>
              <w:bCs/>
            </w:rPr>
            <w:t>14</w:t>
          </w:r>
        </w:p>
        <w:p w14:paraId="3A16012D">
          <w:pPr>
            <w:tabs>
              <w:tab w:val="right" w:leader="dot" w:pos="9360"/>
            </w:tabs>
            <w:spacing w:before="120" w:after="40"/>
          </w:pPr>
          <w:r>
            <w:rPr>
              <w:b/>
              <w:bCs/>
            </w:rPr>
            <w:t>10. Project Quality</w:t>
          </w:r>
          <w:r>
            <w:rPr>
              <w:b/>
              <w:bCs/>
            </w:rPr>
            <w:tab/>
          </w:r>
          <w:r>
            <w:rPr>
              <w:b/>
              <w:bCs/>
            </w:rPr>
            <w:t>16</w:t>
          </w:r>
        </w:p>
        <w:p w14:paraId="79F2084B">
          <w:pPr>
            <w:tabs>
              <w:tab w:val="right" w:leader="dot" w:pos="9360"/>
            </w:tabs>
            <w:spacing w:before="120" w:after="40"/>
          </w:pPr>
          <w:r>
            <w:rPr>
              <w:b/>
              <w:bCs/>
            </w:rPr>
            <w:t>11. Creativity &amp; Innovation</w:t>
          </w:r>
          <w:r>
            <w:rPr>
              <w:b/>
              <w:bCs/>
            </w:rPr>
            <w:tab/>
          </w:r>
          <w:r>
            <w:rPr>
              <w:b/>
              <w:bCs/>
            </w:rPr>
            <w:t>17</w:t>
          </w:r>
        </w:p>
        <w:p w14:paraId="02D7F869">
          <w:pPr>
            <w:tabs>
              <w:tab w:val="right" w:leader="dot" w:pos="9360"/>
            </w:tabs>
            <w:spacing w:before="120" w:after="40"/>
          </w:pPr>
          <w:r>
            <w:rPr>
              <w:b/>
              <w:bCs/>
            </w:rPr>
            <w:t>12. Testing &amp; Quality Assurance</w:t>
          </w:r>
          <w:r>
            <w:rPr>
              <w:b/>
              <w:bCs/>
            </w:rPr>
            <w:tab/>
          </w:r>
          <w:r>
            <w:rPr>
              <w:b/>
              <w:bCs/>
            </w:rPr>
            <w:t>18</w:t>
          </w:r>
        </w:p>
        <w:p w14:paraId="61009929">
          <w:pPr>
            <w:tabs>
              <w:tab w:val="right" w:leader="dot" w:pos="9360"/>
            </w:tabs>
            <w:spacing w:before="120" w:after="40"/>
          </w:pPr>
          <w:r>
            <w:rPr>
              <w:b/>
              <w:bCs/>
            </w:rPr>
            <w:t>13. Grading Criteria Evidence Matrix</w:t>
          </w:r>
          <w:r>
            <w:rPr>
              <w:b/>
              <w:bCs/>
            </w:rPr>
            <w:tab/>
          </w:r>
          <w:r>
            <w:rPr>
              <w:b/>
              <w:bCs/>
            </w:rPr>
            <w:t>20</w:t>
          </w:r>
        </w:p>
        <w:p w14:paraId="0B90FE2E">
          <w:pPr>
            <w:tabs>
              <w:tab w:val="right" w:leader="dot" w:pos="9360"/>
            </w:tabs>
            <w:spacing w:before="120" w:after="40"/>
          </w:pPr>
          <w:r>
            <w:rPr>
              <w:b/>
              <w:bCs/>
            </w:rPr>
            <w:t>14. Professionalism &amp; Documentation</w:t>
          </w:r>
          <w:r>
            <w:rPr>
              <w:b/>
              <w:bCs/>
            </w:rPr>
            <w:tab/>
          </w:r>
          <w:r>
            <w:rPr>
              <w:b/>
              <w:bCs/>
            </w:rPr>
            <w:t>21</w:t>
          </w:r>
        </w:p>
        <w:p w14:paraId="0B8EAF89">
          <w:pPr>
            <w:tabs>
              <w:tab w:val="right" w:leader="dot" w:pos="9360"/>
            </w:tabs>
            <w:spacing w:before="120" w:after="40"/>
          </w:pPr>
          <w:r>
            <w:rPr>
              <w:b/>
              <w:bCs/>
            </w:rPr>
            <w:t>15. Challenges, Learning &amp; Improvements</w:t>
          </w:r>
          <w:r>
            <w:rPr>
              <w:b/>
              <w:bCs/>
            </w:rPr>
            <w:tab/>
          </w:r>
          <w:r>
            <w:rPr>
              <w:b/>
              <w:bCs/>
            </w:rPr>
            <w:t>22</w:t>
          </w:r>
        </w:p>
        <w:p w14:paraId="17C0C317">
          <w:pPr>
            <w:tabs>
              <w:tab w:val="right" w:leader="dot" w:pos="9360"/>
            </w:tabs>
            <w:spacing w:after="40"/>
            <w:ind w:left="360"/>
          </w:pPr>
          <w:r>
            <w:t>15.1 Key Challenges</w:t>
          </w:r>
          <w:r>
            <w:tab/>
          </w:r>
          <w:r>
            <w:t>22</w:t>
          </w:r>
        </w:p>
        <w:p w14:paraId="112C36D3">
          <w:pPr>
            <w:tabs>
              <w:tab w:val="right" w:leader="dot" w:pos="9360"/>
            </w:tabs>
            <w:spacing w:after="40"/>
            <w:ind w:left="360"/>
          </w:pPr>
          <w:r>
            <w:t>15.2 Lessons Learned</w:t>
          </w:r>
          <w:r>
            <w:tab/>
          </w:r>
          <w:r>
            <w:t>22</w:t>
          </w:r>
        </w:p>
        <w:p w14:paraId="2E277C91">
          <w:pPr>
            <w:tabs>
              <w:tab w:val="right" w:leader="dot" w:pos="9360"/>
            </w:tabs>
            <w:spacing w:after="40"/>
            <w:ind w:left="360"/>
          </w:pPr>
          <w:r>
            <w:t>15.3 Software Engineering Practices Reinforced</w:t>
          </w:r>
          <w:r>
            <w:tab/>
          </w:r>
          <w:r>
            <w:t>22</w:t>
          </w:r>
        </w:p>
        <w:p w14:paraId="00E787EF">
          <w:pPr>
            <w:tabs>
              <w:tab w:val="right" w:leader="dot" w:pos="9360"/>
            </w:tabs>
            <w:spacing w:before="120" w:after="40"/>
          </w:pPr>
          <w:r>
            <w:rPr>
              <w:b/>
              <w:bCs/>
            </w:rPr>
            <w:t>16. Future Enhancements</w:t>
          </w:r>
          <w:r>
            <w:rPr>
              <w:b/>
              <w:bCs/>
            </w:rPr>
            <w:tab/>
          </w:r>
          <w:r>
            <w:rPr>
              <w:b/>
              <w:bCs/>
            </w:rPr>
            <w:t>23</w:t>
          </w:r>
        </w:p>
        <w:p w14:paraId="464978D1">
          <w:pPr>
            <w:tabs>
              <w:tab w:val="right" w:leader="dot" w:pos="9360"/>
            </w:tabs>
            <w:spacing w:before="120" w:after="40"/>
          </w:pPr>
          <w:r>
            <w:rPr>
              <w:b/>
              <w:bCs/>
            </w:rPr>
            <w:t>17. Final Evaluation / Conclusion</w:t>
          </w:r>
          <w:r>
            <w:rPr>
              <w:b/>
              <w:bCs/>
            </w:rPr>
            <w:tab/>
          </w:r>
          <w:r>
            <w:rPr>
              <w:b/>
              <w:bCs/>
            </w:rPr>
            <w:t>24</w:t>
          </w:r>
        </w:p>
        <w:p w14:paraId="621085FE">
          <w:pPr>
            <w:tabs>
              <w:tab w:val="right" w:leader="dot" w:pos="9360"/>
            </w:tabs>
            <w:spacing w:before="120" w:after="40"/>
          </w:pPr>
          <w:r>
            <w:rPr>
              <w:b/>
              <w:bCs/>
            </w:rPr>
            <w:t>Pre-Submission Quality Review</w:t>
          </w:r>
          <w:r>
            <w:rPr>
              <w:b/>
              <w:bCs/>
            </w:rPr>
            <w:tab/>
          </w:r>
          <w:r>
            <w:rPr>
              <w:b/>
              <w:bCs/>
            </w:rPr>
            <w:t>25</w:t>
          </w:r>
        </w:p>
        <w:p w14:paraId="5D2F016B">
          <w:pPr>
            <w:tabs>
              <w:tab w:val="right" w:leader="dot" w:pos="9360"/>
            </w:tabs>
            <w:spacing w:after="40"/>
            <w:ind w:left="360"/>
          </w:pPr>
          <w:r>
            <w:t>Strengths</w:t>
          </w:r>
          <w:r>
            <w:tab/>
          </w:r>
          <w:r>
            <w:t>25</w:t>
          </w:r>
        </w:p>
        <w:p w14:paraId="26D1D9AB">
          <w:pPr>
            <w:tabs>
              <w:tab w:val="right" w:leader="dot" w:pos="9360"/>
            </w:tabs>
            <w:spacing w:after="40"/>
            <w:ind w:left="360"/>
          </w:pPr>
          <w:r>
            <w:t>Potential Issues</w:t>
          </w:r>
          <w:r>
            <w:tab/>
          </w:r>
          <w:r>
            <w:t>25</w:t>
          </w:r>
        </w:p>
        <w:p w14:paraId="5E751AEF">
          <w:pPr>
            <w:tabs>
              <w:tab w:val="right" w:leader="dot" w:pos="9360"/>
            </w:tabs>
            <w:spacing w:after="40"/>
            <w:ind w:left="360"/>
          </w:pPr>
          <w:r>
            <w:t>Recommended Fixes</w:t>
          </w:r>
          <w:r>
            <w:tab/>
          </w:r>
          <w:r>
            <w:t>25</w:t>
          </w:r>
        </w:p>
        <w:p w14:paraId="15C47DB8">
          <w:pPr>
            <w:tabs>
              <w:tab w:val="right" w:leader="dot" w:pos="9360"/>
            </w:tabs>
            <w:spacing w:before="120" w:after="40"/>
          </w:pPr>
          <w:r>
            <w:rPr>
              <w:b/>
              <w:bCs/>
            </w:rPr>
            <w:t>18. Appendix</w:t>
          </w:r>
          <w:r>
            <w:rPr>
              <w:b/>
              <w:bCs/>
            </w:rPr>
            <w:tab/>
          </w:r>
          <w:r>
            <w:rPr>
              <w:b/>
              <w:bCs/>
            </w:rPr>
            <w:t>26</w:t>
          </w:r>
        </w:p>
        <w:p w14:paraId="11FE6FA3">
          <w:pPr>
            <w:tabs>
              <w:tab w:val="right" w:leader="dot" w:pos="9360"/>
            </w:tabs>
            <w:spacing w:after="40"/>
            <w:ind w:left="360"/>
          </w:pPr>
          <w:r>
            <w:t>A. Project Structure (Task 2, final)</w:t>
          </w:r>
          <w:r>
            <w:tab/>
          </w:r>
          <w:r>
            <w:t>26</w:t>
          </w:r>
        </w:p>
        <w:p w14:paraId="45DFF49A">
          <w:pPr>
            <w:tabs>
              <w:tab w:val="right" w:leader="dot" w:pos="9360"/>
            </w:tabs>
            <w:spacing w:after="40"/>
            <w:ind w:left="360"/>
          </w:pPr>
          <w:r>
            <w:t>B. Line Count Summary</w:t>
          </w:r>
          <w:r>
            <w:tab/>
          </w:r>
          <w:r>
            <w:t>26</w:t>
          </w:r>
        </w:p>
        <w:p w14:paraId="43740E97">
          <w:pPr>
            <w:tabs>
              <w:tab w:val="right" w:leader="dot" w:pos="9360"/>
            </w:tabs>
            <w:spacing w:after="40"/>
            <w:ind w:left="360"/>
          </w:pPr>
          <w:r>
            <w:t>C. Key Implementation References</w:t>
          </w:r>
          <w:r>
            <w:tab/>
          </w:r>
          <w:r>
            <w:t>26</w:t>
          </w:r>
        </w:p>
        <w:p w14:paraId="191F9862">
          <w:pPr>
            <w:tabs>
              <w:tab w:val="right" w:leader="dot" w:pos="9360"/>
            </w:tabs>
            <w:spacing w:after="40"/>
            <w:ind w:left="360"/>
          </w:pPr>
          <w:r>
            <w:t>D. Testing Notes</w:t>
          </w:r>
          <w:r>
            <w:tab/>
          </w:r>
          <w:r>
            <w:t>26</w:t>
          </w:r>
        </w:p>
        <w:p w14:paraId="60DDF845">
          <w:r>
            <w:fldChar w:fldCharType="end"/>
          </w:r>
        </w:p>
      </w:sdtContent>
    </w:sdt>
    <w:p w14:paraId="3023BD6B">
      <w:pPr>
        <w:spacing w:after="140"/>
        <w:jc w:val="left"/>
      </w:pPr>
      <w:r>
        <w:rPr>
          <w:i/>
          <w:iCs/>
          <w:color w:val="5B6472"/>
          <w:sz w:val="18"/>
          <w:szCs w:val="18"/>
        </w:rPr>
        <w:t>Note: this field updates automatically when the document is opened in Microsoft Word (right-click → Update Field), or on open if prompted.</w:t>
      </w:r>
    </w:p>
    <w:p w14:paraId="207F409C">
      <w:pPr>
        <w:pStyle w:val="2"/>
        <w:pageBreakBefore/>
        <w:spacing w:before="360" w:after="160"/>
      </w:pPr>
      <w:r>
        <w:t>2. Executive Summary</w:t>
      </w:r>
    </w:p>
    <w:p w14:paraId="769E45C9">
      <w:pPr>
        <w:spacing w:after="140"/>
        <w:jc w:val="both"/>
      </w:pPr>
      <w:r>
        <w:t>This report documents two sequential deliverables built around a single project — the Virexo Innovations business website — submitted as Task 1 and Task 2 of the Web Development Internship Program. Both deliverables are static, front-end websites built with semantic HTML5, CSS3 and vanilla JavaScript, with no build tooling, package manager, or external framework dependency.</w:t>
      </w:r>
    </w:p>
    <w:p w14:paraId="35A2A6E1">
      <w:pPr>
        <w:spacing w:after="140"/>
        <w:jc w:val="both"/>
      </w:pPr>
      <w:r>
        <w:t>Task 1 established the complete business website: a nine-section marketing homepage (navigation, hero, trust strip, about, process, case study, services, testimonials, FAQ, contact and footer) with a working dark/light theme system, a validated contact form, scroll-based interactions, and a fully responsive layout across four breakpoints.</w:t>
      </w:r>
    </w:p>
    <w:p w14:paraId="6375DCBE">
      <w:pPr>
        <w:spacing w:after="140"/>
        <w:jc w:val="both"/>
      </w:pPr>
      <w:r>
        <w:t>Task 2 is a focused enhancement pass on the same codebase. It does not change the site's content or structure; it raises the implementation to a more production-ready standard by adding real SEO infrastructure (structured data, sitemap, robots file, canonical URL, a proper favicon asset), an accessibility skip-link, spam protection on the contact form, a back-to-top control, and a substantial visual redesign of the two decorative interface mockups used in the About and Case Study sections — replacing generic placeholder blocks with a working design-system preview and a realistic analytics-dashboard mockup built entirely in SVG and CSS.</w:t>
      </w:r>
    </w:p>
    <w:p w14:paraId="79433AF9">
      <w:pPr>
        <w:spacing w:after="140"/>
        <w:jc w:val="both"/>
      </w:pPr>
      <w:r>
        <w:t>Across both tasks, the codebase grew from 1,964 combined lines (HTML/CSS/JS) in Task 1 to 2,340 lines in Task 2 — an incremental, well-scoped 19% growth consistent with a targeted polish pass rather than a rewrite. No external image assets, CMS, or backend service is used; every visual element is produced with inline SVG, CSS gradients, and CSS custom properties, which keeps both deliverables dependency-free and fast-loading.</w:t>
      </w:r>
    </w:p>
    <w:p w14:paraId="694ABCA9">
      <w:pPr>
        <w:pStyle w:val="2"/>
        <w:pageBreakBefore/>
        <w:spacing w:before="360" w:after="160"/>
      </w:pPr>
      <w:r>
        <w:t>3. Project Overview</w:t>
      </w:r>
    </w:p>
    <w:p w14:paraId="551CA0D3">
      <w:pPr>
        <w:pStyle w:val="3"/>
        <w:spacing w:before="220" w:after="100"/>
      </w:pPr>
      <w:r>
        <w:t>3.1 Task 1 — Business Website Foundation</w:t>
      </w:r>
    </w:p>
    <w:p w14:paraId="07ECA1B5">
      <w:pPr>
        <w:spacing w:after="140"/>
        <w:jc w:val="both"/>
      </w:pPr>
      <w:r>
        <w:t>Task 1 delivers the core Virexo Innovations marketing website: a single-page, multi-section homepage for a fictional digital solutions studio. The objective was to present the company's services, process, credibility signals and a working contact channel in a layout that reads as a genuine small-agency website rather than a template demo.</w:t>
      </w:r>
    </w:p>
    <w:p w14:paraId="2345A91C">
      <w:pPr>
        <w:pStyle w:val="3"/>
        <w:spacing w:before="220" w:after="100"/>
      </w:pPr>
      <w:r>
        <w:t>3.2 Task 2 — Professional Enhancement Pass</w:t>
      </w:r>
    </w:p>
    <w:p w14:paraId="3D822726">
      <w:pPr>
        <w:spacing w:after="140"/>
        <w:jc w:val="both"/>
      </w:pPr>
      <w:r>
        <w:t>Task 2 takes the Task 1 codebase as its starting point and focuses on production-readiness: search-engine visibility, accessibility, spam resistance, and visual credibility of the two decorative UI mockups. No new page sections were added; the objective was depth and polish rather than breadth.</w:t>
      </w:r>
    </w:p>
    <w:p w14:paraId="5508E25F">
      <w:pPr>
        <w:pStyle w:val="3"/>
        <w:spacing w:before="220" w:after="100"/>
      </w:pPr>
      <w:r>
        <w:t>3.3 Objectives</w:t>
      </w:r>
    </w:p>
    <w:p w14:paraId="210C3E80">
      <w:pPr>
        <w:pStyle w:val="16"/>
        <w:numPr>
          <w:ilvl w:val="0"/>
          <w:numId w:val="1"/>
        </w:numPr>
        <w:spacing w:after="60"/>
      </w:pPr>
      <w:r>
        <w:t>Present Virexo Innovations as a credible digital solutions studio through content, structure and visual design.</w:t>
      </w:r>
    </w:p>
    <w:p w14:paraId="288F09AC">
      <w:pPr>
        <w:pStyle w:val="16"/>
        <w:numPr>
          <w:ilvl w:val="0"/>
          <w:numId w:val="1"/>
        </w:numPr>
        <w:spacing w:after="60"/>
      </w:pPr>
      <w:r>
        <w:t>Demonstrate core front-end competencies: semantic HTML, custom CSS design tokens, responsive layout, and vanilla JavaScript interactivity.</w:t>
      </w:r>
    </w:p>
    <w:p w14:paraId="72250D00">
      <w:pPr>
        <w:pStyle w:val="16"/>
        <w:numPr>
          <w:ilvl w:val="0"/>
          <w:numId w:val="1"/>
        </w:numPr>
        <w:spacing w:after="60"/>
      </w:pPr>
      <w:r>
        <w:t>Implement a working, accessible contact mechanism with client-side validation.</w:t>
      </w:r>
    </w:p>
    <w:p w14:paraId="02774E7E">
      <w:pPr>
        <w:pStyle w:val="16"/>
        <w:numPr>
          <w:ilvl w:val="0"/>
          <w:numId w:val="1"/>
        </w:numPr>
        <w:spacing w:after="60"/>
      </w:pPr>
      <w:r>
        <w:t>Progressively raise the implementation toward real-world, production-grade standards (SEO, accessibility, spam handling) without introducing a framework or build step.</w:t>
      </w:r>
    </w:p>
    <w:p w14:paraId="645CF36C">
      <w:pPr>
        <w:pStyle w:val="3"/>
        <w:spacing w:before="220" w:after="100"/>
      </w:pPr>
      <w:r>
        <w:t>3.4 Scope</w:t>
      </w:r>
    </w:p>
    <w:p w14:paraId="761383D5">
      <w:pPr>
        <w:spacing w:after="140"/>
        <w:jc w:val="both"/>
      </w:pPr>
      <w:r>
        <w:t>Both tasks are scoped to the front end only: there is no backend, database, authentication, or CMS. The contact form validates and simulates submission entirely in the browser; no network request is made on submit. This is an explicit, documented scope boundary (see README.md, both tasks) rather than an omission.</w:t>
      </w:r>
    </w:p>
    <w:p w14:paraId="1914CCB9">
      <w:pPr>
        <w:pStyle w:val="3"/>
        <w:spacing w:before="220" w:after="100"/>
      </w:pPr>
      <w:r>
        <w:t>3.5 Intended Users</w:t>
      </w:r>
    </w:p>
    <w:p w14:paraId="13EDAA49">
      <w:pPr>
        <w:pStyle w:val="16"/>
        <w:numPr>
          <w:ilvl w:val="0"/>
          <w:numId w:val="1"/>
        </w:numPr>
        <w:spacing w:after="60"/>
      </w:pPr>
      <w:r>
        <w:t>Prospective clients of Virexo Innovations (founders, marketing leads, product leads) evaluating the studio.</w:t>
      </w:r>
    </w:p>
    <w:p w14:paraId="6C527085">
      <w:pPr>
        <w:pStyle w:val="16"/>
        <w:numPr>
          <w:ilvl w:val="0"/>
          <w:numId w:val="1"/>
        </w:numPr>
        <w:spacing w:after="60"/>
      </w:pPr>
      <w:r>
        <w:t>Site visitors on both desktop and mobile devices, including keyboard and screen-reader users (Task 2 adds explicit accessibility provisions).</w:t>
      </w:r>
    </w:p>
    <w:p w14:paraId="213B6073">
      <w:pPr>
        <w:pStyle w:val="16"/>
        <w:numPr>
          <w:ilvl w:val="0"/>
          <w:numId w:val="1"/>
        </w:numPr>
        <w:spacing w:after="60"/>
      </w:pPr>
      <w:r>
        <w:t>Evaluators/graders reviewing the submission for the internship program.</w:t>
      </w:r>
    </w:p>
    <w:p w14:paraId="6C3F63BC">
      <w:pPr>
        <w:pStyle w:val="2"/>
        <w:pageBreakBefore/>
        <w:spacing w:before="360" w:after="160"/>
      </w:pPr>
      <w:r>
        <w:t>4. Technologies &amp; Tools</w:t>
      </w:r>
    </w:p>
    <w:tbl>
      <w:tblPr>
        <w:tblStyle w:val="9"/>
        <w:tblW w:w="9360" w:type="dxa"/>
        <w:tblInd w:w="0" w:type="dxa"/>
        <w:tblBorders>
          <w:top w:val="single" w:color="D9DEE8" w:sz="4" w:space="0"/>
          <w:left w:val="single" w:color="D9DEE8" w:sz="4" w:space="0"/>
          <w:bottom w:val="single" w:color="D9DEE8" w:sz="4" w:space="0"/>
          <w:right w:val="single" w:color="D9DEE8" w:sz="4" w:space="0"/>
          <w:insideH w:val="single" w:color="D9DEE8" w:sz="4" w:space="0"/>
          <w:insideV w:val="single" w:color="D9DEE8" w:sz="4" w:space="0"/>
        </w:tblBorders>
        <w:tblLayout w:type="autofit"/>
        <w:tblCellMar>
          <w:top w:w="0" w:type="dxa"/>
          <w:left w:w="10" w:type="dxa"/>
          <w:bottom w:w="0" w:type="dxa"/>
          <w:right w:w="10" w:type="dxa"/>
        </w:tblCellMar>
      </w:tblPr>
      <w:tblGrid>
        <w:gridCol w:w="2400"/>
        <w:gridCol w:w="3160"/>
        <w:gridCol w:w="3800"/>
      </w:tblGrid>
      <w:tr w14:paraId="226EAC81">
        <w:tblPrEx>
          <w:tblBorders>
            <w:top w:val="single" w:color="D9DEE8" w:sz="4" w:space="0"/>
            <w:left w:val="single" w:color="D9DEE8" w:sz="4" w:space="0"/>
            <w:bottom w:val="single" w:color="D9DEE8" w:sz="4" w:space="0"/>
            <w:right w:val="single" w:color="D9DEE8" w:sz="4" w:space="0"/>
            <w:insideH w:val="single" w:color="D9DEE8" w:sz="4" w:space="0"/>
            <w:insideV w:val="single" w:color="D9DEE8" w:sz="4" w:space="0"/>
          </w:tblBorders>
          <w:tblCellMar>
            <w:top w:w="0" w:type="dxa"/>
            <w:left w:w="10" w:type="dxa"/>
            <w:bottom w:w="0" w:type="dxa"/>
            <w:right w:w="10" w:type="dxa"/>
          </w:tblCellMar>
        </w:tblPrEx>
        <w:trPr>
          <w:tblHeader/>
        </w:trPr>
        <w:tc>
          <w:tcPr>
            <w:tcW w:w="2400" w:type="dxa"/>
            <w:shd w:val="clear" w:color="auto" w:fill="1F3A5F"/>
            <w:tcMar>
              <w:top w:w="80" w:type="dxa"/>
              <w:left w:w="120" w:type="dxa"/>
              <w:bottom w:w="80" w:type="dxa"/>
              <w:right w:w="120" w:type="dxa"/>
            </w:tcMar>
            <w:vAlign w:val="center"/>
          </w:tcPr>
          <w:p w14:paraId="1BDA4268">
            <w:pPr>
              <w:jc w:val="left"/>
            </w:pPr>
            <w:r>
              <w:rPr>
                <w:b/>
                <w:bCs/>
                <w:color w:val="FFFFFF"/>
                <w:sz w:val="20"/>
                <w:szCs w:val="20"/>
              </w:rPr>
              <w:t>Technology</w:t>
            </w:r>
          </w:p>
        </w:tc>
        <w:tc>
          <w:tcPr>
            <w:tcW w:w="3160" w:type="dxa"/>
            <w:shd w:val="clear" w:color="auto" w:fill="1F3A5F"/>
            <w:tcMar>
              <w:top w:w="80" w:type="dxa"/>
              <w:left w:w="120" w:type="dxa"/>
              <w:bottom w:w="80" w:type="dxa"/>
              <w:right w:w="120" w:type="dxa"/>
            </w:tcMar>
            <w:vAlign w:val="center"/>
          </w:tcPr>
          <w:p w14:paraId="0DB67C2E">
            <w:pPr>
              <w:jc w:val="left"/>
            </w:pPr>
            <w:r>
              <w:rPr>
                <w:b/>
                <w:bCs/>
                <w:color w:val="FFFFFF"/>
                <w:sz w:val="20"/>
                <w:szCs w:val="20"/>
              </w:rPr>
              <w:t>Purpose</w:t>
            </w:r>
          </w:p>
        </w:tc>
        <w:tc>
          <w:tcPr>
            <w:tcW w:w="3800" w:type="dxa"/>
            <w:shd w:val="clear" w:color="auto" w:fill="1F3A5F"/>
            <w:tcMar>
              <w:top w:w="80" w:type="dxa"/>
              <w:left w:w="120" w:type="dxa"/>
              <w:bottom w:w="80" w:type="dxa"/>
              <w:right w:w="120" w:type="dxa"/>
            </w:tcMar>
            <w:vAlign w:val="center"/>
          </w:tcPr>
          <w:p w14:paraId="4B3EDBEC">
            <w:pPr>
              <w:jc w:val="left"/>
            </w:pPr>
            <w:r>
              <w:rPr>
                <w:b/>
                <w:bCs/>
                <w:color w:val="FFFFFF"/>
                <w:sz w:val="20"/>
                <w:szCs w:val="20"/>
              </w:rPr>
              <w:t>How It Was Used</w:t>
            </w:r>
          </w:p>
        </w:tc>
      </w:tr>
      <w:tr w14:paraId="399F58A8">
        <w:tblPrEx>
          <w:tblBorders>
            <w:top w:val="single" w:color="D9DEE8" w:sz="4" w:space="0"/>
            <w:left w:val="single" w:color="D9DEE8" w:sz="4" w:space="0"/>
            <w:bottom w:val="single" w:color="D9DEE8" w:sz="4" w:space="0"/>
            <w:right w:val="single" w:color="D9DEE8" w:sz="4" w:space="0"/>
            <w:insideH w:val="single" w:color="D9DEE8" w:sz="4" w:space="0"/>
            <w:insideV w:val="single" w:color="D9DEE8" w:sz="4" w:space="0"/>
          </w:tblBorders>
          <w:tblCellMar>
            <w:top w:w="0" w:type="dxa"/>
            <w:left w:w="10" w:type="dxa"/>
            <w:bottom w:w="0" w:type="dxa"/>
            <w:right w:w="10" w:type="dxa"/>
          </w:tblCellMar>
        </w:tblPrEx>
        <w:tc>
          <w:tcPr>
            <w:tcW w:w="2400" w:type="dxa"/>
            <w:tcMar>
              <w:top w:w="80" w:type="dxa"/>
              <w:left w:w="120" w:type="dxa"/>
              <w:bottom w:w="80" w:type="dxa"/>
              <w:right w:w="120" w:type="dxa"/>
            </w:tcMar>
            <w:vAlign w:val="center"/>
          </w:tcPr>
          <w:p w14:paraId="11209B3B">
            <w:pPr>
              <w:jc w:val="left"/>
            </w:pPr>
            <w:r>
              <w:rPr>
                <w:b w:val="0"/>
                <w:bCs w:val="0"/>
                <w:color w:val="111111"/>
                <w:sz w:val="20"/>
                <w:szCs w:val="20"/>
              </w:rPr>
              <w:t>HTML5</w:t>
            </w:r>
          </w:p>
        </w:tc>
        <w:tc>
          <w:tcPr>
            <w:tcW w:w="3160" w:type="dxa"/>
            <w:tcMar>
              <w:top w:w="80" w:type="dxa"/>
              <w:left w:w="120" w:type="dxa"/>
              <w:bottom w:w="80" w:type="dxa"/>
              <w:right w:w="120" w:type="dxa"/>
            </w:tcMar>
            <w:vAlign w:val="center"/>
          </w:tcPr>
          <w:p w14:paraId="45196B1A">
            <w:pPr>
              <w:jc w:val="left"/>
            </w:pPr>
            <w:r>
              <w:rPr>
                <w:b w:val="0"/>
                <w:bCs w:val="0"/>
                <w:color w:val="111111"/>
                <w:sz w:val="20"/>
                <w:szCs w:val="20"/>
              </w:rPr>
              <w:t>Page structure &amp; semantics</w:t>
            </w:r>
          </w:p>
        </w:tc>
        <w:tc>
          <w:tcPr>
            <w:tcW w:w="3800" w:type="dxa"/>
            <w:tcMar>
              <w:top w:w="80" w:type="dxa"/>
              <w:left w:w="120" w:type="dxa"/>
              <w:bottom w:w="80" w:type="dxa"/>
              <w:right w:w="120" w:type="dxa"/>
            </w:tcMar>
            <w:vAlign w:val="center"/>
          </w:tcPr>
          <w:p w14:paraId="3DE099CA">
            <w:pPr>
              <w:jc w:val="left"/>
            </w:pPr>
            <w:r>
              <w:rPr>
                <w:b w:val="0"/>
                <w:bCs w:val="0"/>
                <w:color w:val="111111"/>
                <w:sz w:val="20"/>
                <w:szCs w:val="20"/>
              </w:rPr>
              <w:t>Semantic sectioning (&lt;header&gt;, &lt;nav&gt;, &lt;main&gt;, &lt;section&gt;, &lt;footer&gt;), landmark ARIA labels, and a single-page anchor-linked layout across 9 sections.</w:t>
            </w:r>
          </w:p>
        </w:tc>
      </w:tr>
      <w:tr w14:paraId="5ABE5285">
        <w:tblPrEx>
          <w:tblBorders>
            <w:top w:val="single" w:color="D9DEE8" w:sz="4" w:space="0"/>
            <w:left w:val="single" w:color="D9DEE8" w:sz="4" w:space="0"/>
            <w:bottom w:val="single" w:color="D9DEE8" w:sz="4" w:space="0"/>
            <w:right w:val="single" w:color="D9DEE8" w:sz="4" w:space="0"/>
            <w:insideH w:val="single" w:color="D9DEE8" w:sz="4" w:space="0"/>
            <w:insideV w:val="single" w:color="D9DEE8" w:sz="4" w:space="0"/>
          </w:tblBorders>
          <w:tblCellMar>
            <w:top w:w="0" w:type="dxa"/>
            <w:left w:w="10" w:type="dxa"/>
            <w:bottom w:w="0" w:type="dxa"/>
            <w:right w:w="10" w:type="dxa"/>
          </w:tblCellMar>
        </w:tblPrEx>
        <w:tc>
          <w:tcPr>
            <w:tcW w:w="2400" w:type="dxa"/>
            <w:shd w:val="clear" w:color="auto" w:fill="F6F8FB"/>
            <w:tcMar>
              <w:top w:w="80" w:type="dxa"/>
              <w:left w:w="120" w:type="dxa"/>
              <w:bottom w:w="80" w:type="dxa"/>
              <w:right w:w="120" w:type="dxa"/>
            </w:tcMar>
            <w:vAlign w:val="center"/>
          </w:tcPr>
          <w:p w14:paraId="55A88AE8">
            <w:pPr>
              <w:jc w:val="left"/>
            </w:pPr>
            <w:r>
              <w:rPr>
                <w:b w:val="0"/>
                <w:bCs w:val="0"/>
                <w:color w:val="111111"/>
                <w:sz w:val="20"/>
                <w:szCs w:val="20"/>
              </w:rPr>
              <w:t>CSS3 (Custom Properties)</w:t>
            </w:r>
          </w:p>
        </w:tc>
        <w:tc>
          <w:tcPr>
            <w:tcW w:w="3160" w:type="dxa"/>
            <w:shd w:val="clear" w:color="auto" w:fill="F6F8FB"/>
            <w:tcMar>
              <w:top w:w="80" w:type="dxa"/>
              <w:left w:w="120" w:type="dxa"/>
              <w:bottom w:w="80" w:type="dxa"/>
              <w:right w:w="120" w:type="dxa"/>
            </w:tcMar>
            <w:vAlign w:val="center"/>
          </w:tcPr>
          <w:p w14:paraId="66D890EB">
            <w:pPr>
              <w:jc w:val="left"/>
            </w:pPr>
            <w:r>
              <w:rPr>
                <w:b w:val="0"/>
                <w:bCs w:val="0"/>
                <w:color w:val="111111"/>
                <w:sz w:val="20"/>
                <w:szCs w:val="20"/>
              </w:rPr>
              <w:t>Design system / theming</w:t>
            </w:r>
          </w:p>
        </w:tc>
        <w:tc>
          <w:tcPr>
            <w:tcW w:w="3800" w:type="dxa"/>
            <w:shd w:val="clear" w:color="auto" w:fill="F6F8FB"/>
            <w:tcMar>
              <w:top w:w="80" w:type="dxa"/>
              <w:left w:w="120" w:type="dxa"/>
              <w:bottom w:w="80" w:type="dxa"/>
              <w:right w:w="120" w:type="dxa"/>
            </w:tcMar>
            <w:vAlign w:val="center"/>
          </w:tcPr>
          <w:p w14:paraId="0F14FB7D">
            <w:pPr>
              <w:jc w:val="left"/>
            </w:pPr>
            <w:r>
              <w:rPr>
                <w:b w:val="0"/>
                <w:bCs w:val="0"/>
                <w:color w:val="111111"/>
                <w:sz w:val="20"/>
                <w:szCs w:val="20"/>
              </w:rPr>
              <w:t>A token layer in :root (--bg, --ink, --accent, --radius-*, --font-*) redefined under html[data-theme="dark"] to drive the entire dark/light theme without duplicating rules.</w:t>
            </w:r>
          </w:p>
        </w:tc>
      </w:tr>
      <w:tr w14:paraId="7B38EFA8">
        <w:tblPrEx>
          <w:tblBorders>
            <w:top w:val="single" w:color="D9DEE8" w:sz="4" w:space="0"/>
            <w:left w:val="single" w:color="D9DEE8" w:sz="4" w:space="0"/>
            <w:bottom w:val="single" w:color="D9DEE8" w:sz="4" w:space="0"/>
            <w:right w:val="single" w:color="D9DEE8" w:sz="4" w:space="0"/>
            <w:insideH w:val="single" w:color="D9DEE8" w:sz="4" w:space="0"/>
            <w:insideV w:val="single" w:color="D9DEE8" w:sz="4" w:space="0"/>
          </w:tblBorders>
          <w:tblCellMar>
            <w:top w:w="0" w:type="dxa"/>
            <w:left w:w="10" w:type="dxa"/>
            <w:bottom w:w="0" w:type="dxa"/>
            <w:right w:w="10" w:type="dxa"/>
          </w:tblCellMar>
        </w:tblPrEx>
        <w:tc>
          <w:tcPr>
            <w:tcW w:w="2400" w:type="dxa"/>
            <w:tcMar>
              <w:top w:w="80" w:type="dxa"/>
              <w:left w:w="120" w:type="dxa"/>
              <w:bottom w:w="80" w:type="dxa"/>
              <w:right w:w="120" w:type="dxa"/>
            </w:tcMar>
            <w:vAlign w:val="center"/>
          </w:tcPr>
          <w:p w14:paraId="4807540B">
            <w:pPr>
              <w:jc w:val="left"/>
            </w:pPr>
            <w:r>
              <w:rPr>
                <w:b w:val="0"/>
                <w:bCs w:val="0"/>
                <w:color w:val="111111"/>
                <w:sz w:val="20"/>
                <w:szCs w:val="20"/>
              </w:rPr>
              <w:t>CSS Grid &amp; Flexbox</w:t>
            </w:r>
          </w:p>
        </w:tc>
        <w:tc>
          <w:tcPr>
            <w:tcW w:w="3160" w:type="dxa"/>
            <w:tcMar>
              <w:top w:w="80" w:type="dxa"/>
              <w:left w:w="120" w:type="dxa"/>
              <w:bottom w:w="80" w:type="dxa"/>
              <w:right w:w="120" w:type="dxa"/>
            </w:tcMar>
            <w:vAlign w:val="center"/>
          </w:tcPr>
          <w:p w14:paraId="3CA74CEC">
            <w:pPr>
              <w:jc w:val="left"/>
            </w:pPr>
            <w:r>
              <w:rPr>
                <w:b w:val="0"/>
                <w:bCs w:val="0"/>
                <w:color w:val="111111"/>
                <w:sz w:val="20"/>
                <w:szCs w:val="20"/>
              </w:rPr>
              <w:t>Responsive layout</w:t>
            </w:r>
          </w:p>
        </w:tc>
        <w:tc>
          <w:tcPr>
            <w:tcW w:w="3800" w:type="dxa"/>
            <w:tcMar>
              <w:top w:w="80" w:type="dxa"/>
              <w:left w:w="120" w:type="dxa"/>
              <w:bottom w:w="80" w:type="dxa"/>
              <w:right w:w="120" w:type="dxa"/>
            </w:tcMar>
            <w:vAlign w:val="center"/>
          </w:tcPr>
          <w:p w14:paraId="19C6FDDE">
            <w:pPr>
              <w:jc w:val="left"/>
            </w:pPr>
            <w:r>
              <w:rPr>
                <w:b w:val="0"/>
                <w:bCs w:val="0"/>
                <w:color w:val="111111"/>
                <w:sz w:val="20"/>
                <w:szCs w:val="20"/>
              </w:rPr>
              <w:t>Grid for two-column sections (hero, about, case study, contact, footer); flexbox for nav, button groups, card rows and the mobile menu.</w:t>
            </w:r>
          </w:p>
        </w:tc>
      </w:tr>
      <w:tr w14:paraId="50EDF69C">
        <w:tblPrEx>
          <w:tblBorders>
            <w:top w:val="single" w:color="D9DEE8" w:sz="4" w:space="0"/>
            <w:left w:val="single" w:color="D9DEE8" w:sz="4" w:space="0"/>
            <w:bottom w:val="single" w:color="D9DEE8" w:sz="4" w:space="0"/>
            <w:right w:val="single" w:color="D9DEE8" w:sz="4" w:space="0"/>
            <w:insideH w:val="single" w:color="D9DEE8" w:sz="4" w:space="0"/>
            <w:insideV w:val="single" w:color="D9DEE8" w:sz="4" w:space="0"/>
          </w:tblBorders>
          <w:tblCellMar>
            <w:top w:w="0" w:type="dxa"/>
            <w:left w:w="10" w:type="dxa"/>
            <w:bottom w:w="0" w:type="dxa"/>
            <w:right w:w="10" w:type="dxa"/>
          </w:tblCellMar>
        </w:tblPrEx>
        <w:tc>
          <w:tcPr>
            <w:tcW w:w="2400" w:type="dxa"/>
            <w:shd w:val="clear" w:color="auto" w:fill="F6F8FB"/>
            <w:tcMar>
              <w:top w:w="80" w:type="dxa"/>
              <w:left w:w="120" w:type="dxa"/>
              <w:bottom w:w="80" w:type="dxa"/>
              <w:right w:w="120" w:type="dxa"/>
            </w:tcMar>
            <w:vAlign w:val="center"/>
          </w:tcPr>
          <w:p w14:paraId="3BF4AB0A">
            <w:pPr>
              <w:jc w:val="left"/>
            </w:pPr>
            <w:r>
              <w:rPr>
                <w:b w:val="0"/>
                <w:bCs w:val="0"/>
                <w:color w:val="111111"/>
                <w:sz w:val="20"/>
                <w:szCs w:val="20"/>
              </w:rPr>
              <w:t>Vanilla JavaScript (ES5-style, IIFE)</w:t>
            </w:r>
          </w:p>
        </w:tc>
        <w:tc>
          <w:tcPr>
            <w:tcW w:w="3160" w:type="dxa"/>
            <w:shd w:val="clear" w:color="auto" w:fill="F6F8FB"/>
            <w:tcMar>
              <w:top w:w="80" w:type="dxa"/>
              <w:left w:w="120" w:type="dxa"/>
              <w:bottom w:w="80" w:type="dxa"/>
              <w:right w:w="120" w:type="dxa"/>
            </w:tcMar>
            <w:vAlign w:val="center"/>
          </w:tcPr>
          <w:p w14:paraId="7CB39393">
            <w:pPr>
              <w:jc w:val="left"/>
            </w:pPr>
            <w:r>
              <w:rPr>
                <w:b w:val="0"/>
                <w:bCs w:val="0"/>
                <w:color w:val="111111"/>
                <w:sz w:val="20"/>
                <w:szCs w:val="20"/>
              </w:rPr>
              <w:t>Interactivity</w:t>
            </w:r>
          </w:p>
        </w:tc>
        <w:tc>
          <w:tcPr>
            <w:tcW w:w="3800" w:type="dxa"/>
            <w:shd w:val="clear" w:color="auto" w:fill="F6F8FB"/>
            <w:tcMar>
              <w:top w:w="80" w:type="dxa"/>
              <w:left w:w="120" w:type="dxa"/>
              <w:bottom w:w="80" w:type="dxa"/>
              <w:right w:w="120" w:type="dxa"/>
            </w:tcMar>
            <w:vAlign w:val="center"/>
          </w:tcPr>
          <w:p w14:paraId="44AB011A">
            <w:pPr>
              <w:jc w:val="left"/>
            </w:pPr>
            <w:r>
              <w:rPr>
                <w:b w:val="0"/>
                <w:bCs w:val="0"/>
                <w:color w:val="111111"/>
                <w:sz w:val="20"/>
                <w:szCs w:val="20"/>
              </w:rPr>
              <w:t>A single self-invoking function in js/script.js handles theme toggling, sticky header state, mobile menu, smooth scroll, scrollspy, scroll-reveal, form validation and (Task 2) back-to-top and honeypot logic.</w:t>
            </w:r>
          </w:p>
        </w:tc>
      </w:tr>
      <w:tr w14:paraId="677B2B3B">
        <w:tblPrEx>
          <w:tblBorders>
            <w:top w:val="single" w:color="D9DEE8" w:sz="4" w:space="0"/>
            <w:left w:val="single" w:color="D9DEE8" w:sz="4" w:space="0"/>
            <w:bottom w:val="single" w:color="D9DEE8" w:sz="4" w:space="0"/>
            <w:right w:val="single" w:color="D9DEE8" w:sz="4" w:space="0"/>
            <w:insideH w:val="single" w:color="D9DEE8" w:sz="4" w:space="0"/>
            <w:insideV w:val="single" w:color="D9DEE8" w:sz="4" w:space="0"/>
          </w:tblBorders>
          <w:tblCellMar>
            <w:top w:w="0" w:type="dxa"/>
            <w:left w:w="10" w:type="dxa"/>
            <w:bottom w:w="0" w:type="dxa"/>
            <w:right w:w="10" w:type="dxa"/>
          </w:tblCellMar>
        </w:tblPrEx>
        <w:tc>
          <w:tcPr>
            <w:tcW w:w="2400" w:type="dxa"/>
            <w:tcMar>
              <w:top w:w="80" w:type="dxa"/>
              <w:left w:w="120" w:type="dxa"/>
              <w:bottom w:w="80" w:type="dxa"/>
              <w:right w:w="120" w:type="dxa"/>
            </w:tcMar>
            <w:vAlign w:val="center"/>
          </w:tcPr>
          <w:p w14:paraId="67A6ADF9">
            <w:pPr>
              <w:jc w:val="left"/>
            </w:pPr>
            <w:r>
              <w:rPr>
                <w:b w:val="0"/>
                <w:bCs w:val="0"/>
                <w:color w:val="111111"/>
                <w:sz w:val="20"/>
                <w:szCs w:val="20"/>
              </w:rPr>
              <w:t>Web Storage API (localStorage)</w:t>
            </w:r>
          </w:p>
        </w:tc>
        <w:tc>
          <w:tcPr>
            <w:tcW w:w="3160" w:type="dxa"/>
            <w:tcMar>
              <w:top w:w="80" w:type="dxa"/>
              <w:left w:w="120" w:type="dxa"/>
              <w:bottom w:w="80" w:type="dxa"/>
              <w:right w:w="120" w:type="dxa"/>
            </w:tcMar>
            <w:vAlign w:val="center"/>
          </w:tcPr>
          <w:p w14:paraId="373E963E">
            <w:pPr>
              <w:jc w:val="left"/>
            </w:pPr>
            <w:r>
              <w:rPr>
                <w:b w:val="0"/>
                <w:bCs w:val="0"/>
                <w:color w:val="111111"/>
                <w:sz w:val="20"/>
                <w:szCs w:val="20"/>
              </w:rPr>
              <w:t>Theme persistence</w:t>
            </w:r>
          </w:p>
        </w:tc>
        <w:tc>
          <w:tcPr>
            <w:tcW w:w="3800" w:type="dxa"/>
            <w:tcMar>
              <w:top w:w="80" w:type="dxa"/>
              <w:left w:w="120" w:type="dxa"/>
              <w:bottom w:w="80" w:type="dxa"/>
              <w:right w:w="120" w:type="dxa"/>
            </w:tcMar>
            <w:vAlign w:val="center"/>
          </w:tcPr>
          <w:p w14:paraId="6A383B95">
            <w:pPr>
              <w:jc w:val="left"/>
            </w:pPr>
            <w:r>
              <w:rPr>
                <w:b w:val="0"/>
                <w:bCs w:val="0"/>
                <w:color w:val="111111"/>
                <w:sz w:val="20"/>
                <w:szCs w:val="20"/>
              </w:rPr>
              <w:t>Stores the user's light/dark choice under the key virexo-theme and restores it before first paint via an inline head script, avoiding a flash of the wrong theme.</w:t>
            </w:r>
          </w:p>
        </w:tc>
      </w:tr>
      <w:tr w14:paraId="62B6C205">
        <w:tblPrEx>
          <w:tblBorders>
            <w:top w:val="single" w:color="D9DEE8" w:sz="4" w:space="0"/>
            <w:left w:val="single" w:color="D9DEE8" w:sz="4" w:space="0"/>
            <w:bottom w:val="single" w:color="D9DEE8" w:sz="4" w:space="0"/>
            <w:right w:val="single" w:color="D9DEE8" w:sz="4" w:space="0"/>
            <w:insideH w:val="single" w:color="D9DEE8" w:sz="4" w:space="0"/>
            <w:insideV w:val="single" w:color="D9DEE8" w:sz="4" w:space="0"/>
          </w:tblBorders>
          <w:tblCellMar>
            <w:top w:w="0" w:type="dxa"/>
            <w:left w:w="10" w:type="dxa"/>
            <w:bottom w:w="0" w:type="dxa"/>
            <w:right w:w="10" w:type="dxa"/>
          </w:tblCellMar>
        </w:tblPrEx>
        <w:tc>
          <w:tcPr>
            <w:tcW w:w="2400" w:type="dxa"/>
            <w:shd w:val="clear" w:color="auto" w:fill="F6F8FB"/>
            <w:tcMar>
              <w:top w:w="80" w:type="dxa"/>
              <w:left w:w="120" w:type="dxa"/>
              <w:bottom w:w="80" w:type="dxa"/>
              <w:right w:w="120" w:type="dxa"/>
            </w:tcMar>
            <w:vAlign w:val="center"/>
          </w:tcPr>
          <w:p w14:paraId="5E451FBF">
            <w:pPr>
              <w:jc w:val="left"/>
            </w:pPr>
            <w:r>
              <w:rPr>
                <w:b w:val="0"/>
                <w:bCs w:val="0"/>
                <w:color w:val="111111"/>
                <w:sz w:val="20"/>
                <w:szCs w:val="20"/>
              </w:rPr>
              <w:t>IntersectionObserver API</w:t>
            </w:r>
          </w:p>
        </w:tc>
        <w:tc>
          <w:tcPr>
            <w:tcW w:w="3160" w:type="dxa"/>
            <w:shd w:val="clear" w:color="auto" w:fill="F6F8FB"/>
            <w:tcMar>
              <w:top w:w="80" w:type="dxa"/>
              <w:left w:w="120" w:type="dxa"/>
              <w:bottom w:w="80" w:type="dxa"/>
              <w:right w:w="120" w:type="dxa"/>
            </w:tcMar>
            <w:vAlign w:val="center"/>
          </w:tcPr>
          <w:p w14:paraId="50A650CA">
            <w:pPr>
              <w:jc w:val="left"/>
            </w:pPr>
            <w:r>
              <w:rPr>
                <w:b w:val="0"/>
                <w:bCs w:val="0"/>
                <w:color w:val="111111"/>
                <w:sz w:val="20"/>
                <w:szCs w:val="20"/>
              </w:rPr>
              <w:t>Scroll-driven UI</w:t>
            </w:r>
          </w:p>
        </w:tc>
        <w:tc>
          <w:tcPr>
            <w:tcW w:w="3800" w:type="dxa"/>
            <w:shd w:val="clear" w:color="auto" w:fill="F6F8FB"/>
            <w:tcMar>
              <w:top w:w="80" w:type="dxa"/>
              <w:left w:w="120" w:type="dxa"/>
              <w:bottom w:w="80" w:type="dxa"/>
              <w:right w:w="120" w:type="dxa"/>
            </w:tcMar>
            <w:vAlign w:val="center"/>
          </w:tcPr>
          <w:p w14:paraId="7444CDE6">
            <w:pPr>
              <w:jc w:val="left"/>
            </w:pPr>
            <w:r>
              <w:rPr>
                <w:b w:val="0"/>
                <w:bCs w:val="0"/>
                <w:color w:val="111111"/>
                <w:sz w:val="20"/>
                <w:szCs w:val="20"/>
              </w:rPr>
              <w:t>Drives the scroll-reveal animation on section entry and the header's light/dark contrast swap when the dark Contact section reaches the fixed navbar.</w:t>
            </w:r>
          </w:p>
        </w:tc>
      </w:tr>
      <w:tr w14:paraId="7574A4F7">
        <w:tblPrEx>
          <w:tblBorders>
            <w:top w:val="single" w:color="D9DEE8" w:sz="4" w:space="0"/>
            <w:left w:val="single" w:color="D9DEE8" w:sz="4" w:space="0"/>
            <w:bottom w:val="single" w:color="D9DEE8" w:sz="4" w:space="0"/>
            <w:right w:val="single" w:color="D9DEE8" w:sz="4" w:space="0"/>
            <w:insideH w:val="single" w:color="D9DEE8" w:sz="4" w:space="0"/>
            <w:insideV w:val="single" w:color="D9DEE8" w:sz="4" w:space="0"/>
          </w:tblBorders>
          <w:tblCellMar>
            <w:top w:w="0" w:type="dxa"/>
            <w:left w:w="10" w:type="dxa"/>
            <w:bottom w:w="0" w:type="dxa"/>
            <w:right w:w="10" w:type="dxa"/>
          </w:tblCellMar>
        </w:tblPrEx>
        <w:tc>
          <w:tcPr>
            <w:tcW w:w="2400" w:type="dxa"/>
            <w:tcMar>
              <w:top w:w="80" w:type="dxa"/>
              <w:left w:w="120" w:type="dxa"/>
              <w:bottom w:w="80" w:type="dxa"/>
              <w:right w:w="120" w:type="dxa"/>
            </w:tcMar>
            <w:vAlign w:val="center"/>
          </w:tcPr>
          <w:p w14:paraId="0E68B3F9">
            <w:pPr>
              <w:jc w:val="left"/>
            </w:pPr>
            <w:r>
              <w:rPr>
                <w:b w:val="0"/>
                <w:bCs w:val="0"/>
                <w:color w:val="111111"/>
                <w:sz w:val="20"/>
                <w:szCs w:val="20"/>
              </w:rPr>
              <w:t>Inline SVG</w:t>
            </w:r>
          </w:p>
        </w:tc>
        <w:tc>
          <w:tcPr>
            <w:tcW w:w="3160" w:type="dxa"/>
            <w:tcMar>
              <w:top w:w="80" w:type="dxa"/>
              <w:left w:w="120" w:type="dxa"/>
              <w:bottom w:w="80" w:type="dxa"/>
              <w:right w:w="120" w:type="dxa"/>
            </w:tcMar>
            <w:vAlign w:val="center"/>
          </w:tcPr>
          <w:p w14:paraId="61FEB93F">
            <w:pPr>
              <w:jc w:val="left"/>
            </w:pPr>
            <w:r>
              <w:rPr>
                <w:b w:val="0"/>
                <w:bCs w:val="0"/>
                <w:color w:val="111111"/>
                <w:sz w:val="20"/>
                <w:szCs w:val="20"/>
              </w:rPr>
              <w:t>Iconography &amp; illustration</w:t>
            </w:r>
          </w:p>
        </w:tc>
        <w:tc>
          <w:tcPr>
            <w:tcW w:w="3800" w:type="dxa"/>
            <w:tcMar>
              <w:top w:w="80" w:type="dxa"/>
              <w:left w:w="120" w:type="dxa"/>
              <w:bottom w:w="80" w:type="dxa"/>
              <w:right w:w="120" w:type="dxa"/>
            </w:tcMar>
            <w:vAlign w:val="center"/>
          </w:tcPr>
          <w:p w14:paraId="6C1E4859">
            <w:pPr>
              <w:jc w:val="left"/>
            </w:pPr>
            <w:r>
              <w:rPr>
                <w:b w:val="0"/>
                <w:bCs w:val="0"/>
                <w:color w:val="111111"/>
                <w:sz w:val="20"/>
                <w:szCs w:val="20"/>
              </w:rPr>
              <w:t>The brand mark, theme toggle icons, service icons, hero "signal path" diagram, and (Task 2) the design-system and dashboard mockups are hand-authored SVG — no image files are required for the UI to render.</w:t>
            </w:r>
          </w:p>
        </w:tc>
      </w:tr>
      <w:tr w14:paraId="1074DF41">
        <w:tblPrEx>
          <w:tblBorders>
            <w:top w:val="single" w:color="D9DEE8" w:sz="4" w:space="0"/>
            <w:left w:val="single" w:color="D9DEE8" w:sz="4" w:space="0"/>
            <w:bottom w:val="single" w:color="D9DEE8" w:sz="4" w:space="0"/>
            <w:right w:val="single" w:color="D9DEE8" w:sz="4" w:space="0"/>
            <w:insideH w:val="single" w:color="D9DEE8" w:sz="4" w:space="0"/>
            <w:insideV w:val="single" w:color="D9DEE8" w:sz="4" w:space="0"/>
          </w:tblBorders>
          <w:tblCellMar>
            <w:top w:w="0" w:type="dxa"/>
            <w:left w:w="10" w:type="dxa"/>
            <w:bottom w:w="0" w:type="dxa"/>
            <w:right w:w="10" w:type="dxa"/>
          </w:tblCellMar>
        </w:tblPrEx>
        <w:tc>
          <w:tcPr>
            <w:tcW w:w="2400" w:type="dxa"/>
            <w:shd w:val="clear" w:color="auto" w:fill="F6F8FB"/>
            <w:tcMar>
              <w:top w:w="80" w:type="dxa"/>
              <w:left w:w="120" w:type="dxa"/>
              <w:bottom w:w="80" w:type="dxa"/>
              <w:right w:w="120" w:type="dxa"/>
            </w:tcMar>
            <w:vAlign w:val="center"/>
          </w:tcPr>
          <w:p w14:paraId="442630A9">
            <w:pPr>
              <w:jc w:val="left"/>
            </w:pPr>
            <w:r>
              <w:rPr>
                <w:b w:val="0"/>
                <w:bCs w:val="0"/>
                <w:color w:val="111111"/>
                <w:sz w:val="20"/>
                <w:szCs w:val="20"/>
              </w:rPr>
              <w:t>Google Fonts (Space Grotesk, Inter, IBM Plex Mono)</w:t>
            </w:r>
          </w:p>
        </w:tc>
        <w:tc>
          <w:tcPr>
            <w:tcW w:w="3160" w:type="dxa"/>
            <w:shd w:val="clear" w:color="auto" w:fill="F6F8FB"/>
            <w:tcMar>
              <w:top w:w="80" w:type="dxa"/>
              <w:left w:w="120" w:type="dxa"/>
              <w:bottom w:w="80" w:type="dxa"/>
              <w:right w:w="120" w:type="dxa"/>
            </w:tcMar>
            <w:vAlign w:val="center"/>
          </w:tcPr>
          <w:p w14:paraId="5B48CB89">
            <w:pPr>
              <w:jc w:val="left"/>
            </w:pPr>
            <w:r>
              <w:rPr>
                <w:b w:val="0"/>
                <w:bCs w:val="0"/>
                <w:color w:val="111111"/>
                <w:sz w:val="20"/>
                <w:szCs w:val="20"/>
              </w:rPr>
              <w:t>Typography</w:t>
            </w:r>
          </w:p>
        </w:tc>
        <w:tc>
          <w:tcPr>
            <w:tcW w:w="3800" w:type="dxa"/>
            <w:shd w:val="clear" w:color="auto" w:fill="F6F8FB"/>
            <w:tcMar>
              <w:top w:w="80" w:type="dxa"/>
              <w:left w:w="120" w:type="dxa"/>
              <w:bottom w:w="80" w:type="dxa"/>
              <w:right w:w="120" w:type="dxa"/>
            </w:tcMar>
            <w:vAlign w:val="center"/>
          </w:tcPr>
          <w:p w14:paraId="0A82A8DB">
            <w:pPr>
              <w:jc w:val="left"/>
            </w:pPr>
            <w:r>
              <w:rPr>
                <w:b w:val="0"/>
                <w:bCs w:val="0"/>
                <w:color w:val="111111"/>
                <w:sz w:val="20"/>
                <w:szCs w:val="20"/>
              </w:rPr>
              <w:t>Loaded via a single &lt;link&gt;; display, body and mono type roles are mapped to CSS variables (--font-display, --font-body, --font-mono).</w:t>
            </w:r>
          </w:p>
        </w:tc>
      </w:tr>
      <w:tr w14:paraId="461C9639">
        <w:tblPrEx>
          <w:tblBorders>
            <w:top w:val="single" w:color="D9DEE8" w:sz="4" w:space="0"/>
            <w:left w:val="single" w:color="D9DEE8" w:sz="4" w:space="0"/>
            <w:bottom w:val="single" w:color="D9DEE8" w:sz="4" w:space="0"/>
            <w:right w:val="single" w:color="D9DEE8" w:sz="4" w:space="0"/>
            <w:insideH w:val="single" w:color="D9DEE8" w:sz="4" w:space="0"/>
            <w:insideV w:val="single" w:color="D9DEE8" w:sz="4" w:space="0"/>
          </w:tblBorders>
          <w:tblCellMar>
            <w:top w:w="0" w:type="dxa"/>
            <w:left w:w="10" w:type="dxa"/>
            <w:bottom w:w="0" w:type="dxa"/>
            <w:right w:w="10" w:type="dxa"/>
          </w:tblCellMar>
        </w:tblPrEx>
        <w:tc>
          <w:tcPr>
            <w:tcW w:w="2400" w:type="dxa"/>
            <w:tcMar>
              <w:top w:w="80" w:type="dxa"/>
              <w:left w:w="120" w:type="dxa"/>
              <w:bottom w:w="80" w:type="dxa"/>
              <w:right w:w="120" w:type="dxa"/>
            </w:tcMar>
            <w:vAlign w:val="center"/>
          </w:tcPr>
          <w:p w14:paraId="7A13648C">
            <w:pPr>
              <w:jc w:val="left"/>
            </w:pPr>
            <w:r>
              <w:rPr>
                <w:b w:val="0"/>
                <w:bCs w:val="0"/>
                <w:color w:val="111111"/>
                <w:sz w:val="20"/>
                <w:szCs w:val="20"/>
              </w:rPr>
              <w:t>JSON-LD (schema.org)</w:t>
            </w:r>
          </w:p>
        </w:tc>
        <w:tc>
          <w:tcPr>
            <w:tcW w:w="3160" w:type="dxa"/>
            <w:tcMar>
              <w:top w:w="80" w:type="dxa"/>
              <w:left w:w="120" w:type="dxa"/>
              <w:bottom w:w="80" w:type="dxa"/>
              <w:right w:w="120" w:type="dxa"/>
            </w:tcMar>
            <w:vAlign w:val="center"/>
          </w:tcPr>
          <w:p w14:paraId="1B9053BB">
            <w:pPr>
              <w:jc w:val="left"/>
            </w:pPr>
            <w:r>
              <w:rPr>
                <w:b w:val="0"/>
                <w:bCs w:val="0"/>
                <w:color w:val="111111"/>
                <w:sz w:val="20"/>
                <w:szCs w:val="20"/>
              </w:rPr>
              <w:t>SEO / structured data</w:t>
            </w:r>
          </w:p>
        </w:tc>
        <w:tc>
          <w:tcPr>
            <w:tcW w:w="3800" w:type="dxa"/>
            <w:tcMar>
              <w:top w:w="80" w:type="dxa"/>
              <w:left w:w="120" w:type="dxa"/>
              <w:bottom w:w="80" w:type="dxa"/>
              <w:right w:w="120" w:type="dxa"/>
            </w:tcMar>
            <w:vAlign w:val="center"/>
          </w:tcPr>
          <w:p w14:paraId="67A032A8">
            <w:pPr>
              <w:jc w:val="left"/>
            </w:pPr>
            <w:r>
              <w:rPr>
                <w:b w:val="0"/>
                <w:bCs w:val="0"/>
                <w:color w:val="111111"/>
                <w:sz w:val="20"/>
                <w:szCs w:val="20"/>
              </w:rPr>
              <w:t>Task 2 only: a ProfessionalService schema block in &lt;head&gt; describes the business to search engines for rich-result eligibility.</w:t>
            </w:r>
          </w:p>
        </w:tc>
      </w:tr>
      <w:tr w14:paraId="55DD81FE">
        <w:tblPrEx>
          <w:tblBorders>
            <w:top w:val="single" w:color="D9DEE8" w:sz="4" w:space="0"/>
            <w:left w:val="single" w:color="D9DEE8" w:sz="4" w:space="0"/>
            <w:bottom w:val="single" w:color="D9DEE8" w:sz="4" w:space="0"/>
            <w:right w:val="single" w:color="D9DEE8" w:sz="4" w:space="0"/>
            <w:insideH w:val="single" w:color="D9DEE8" w:sz="4" w:space="0"/>
            <w:insideV w:val="single" w:color="D9DEE8" w:sz="4" w:space="0"/>
          </w:tblBorders>
          <w:tblCellMar>
            <w:top w:w="0" w:type="dxa"/>
            <w:left w:w="10" w:type="dxa"/>
            <w:bottom w:w="0" w:type="dxa"/>
            <w:right w:w="10" w:type="dxa"/>
          </w:tblCellMar>
        </w:tblPrEx>
        <w:tc>
          <w:tcPr>
            <w:tcW w:w="2400" w:type="dxa"/>
            <w:shd w:val="clear" w:color="auto" w:fill="F6F8FB"/>
            <w:tcMar>
              <w:top w:w="80" w:type="dxa"/>
              <w:left w:w="120" w:type="dxa"/>
              <w:bottom w:w="80" w:type="dxa"/>
              <w:right w:w="120" w:type="dxa"/>
            </w:tcMar>
            <w:vAlign w:val="center"/>
          </w:tcPr>
          <w:p w14:paraId="0070AB7B">
            <w:pPr>
              <w:jc w:val="left"/>
            </w:pPr>
            <w:r>
              <w:rPr>
                <w:b w:val="0"/>
                <w:bCs w:val="0"/>
                <w:color w:val="111111"/>
                <w:sz w:val="20"/>
                <w:szCs w:val="20"/>
              </w:rPr>
              <w:t>robots.txt / sitemap.xml</w:t>
            </w:r>
          </w:p>
        </w:tc>
        <w:tc>
          <w:tcPr>
            <w:tcW w:w="3160" w:type="dxa"/>
            <w:shd w:val="clear" w:color="auto" w:fill="F6F8FB"/>
            <w:tcMar>
              <w:top w:w="80" w:type="dxa"/>
              <w:left w:w="120" w:type="dxa"/>
              <w:bottom w:w="80" w:type="dxa"/>
              <w:right w:w="120" w:type="dxa"/>
            </w:tcMar>
            <w:vAlign w:val="center"/>
          </w:tcPr>
          <w:p w14:paraId="09F4D55D">
            <w:pPr>
              <w:jc w:val="left"/>
            </w:pPr>
            <w:r>
              <w:rPr>
                <w:b w:val="0"/>
                <w:bCs w:val="0"/>
                <w:color w:val="111111"/>
                <w:sz w:val="20"/>
                <w:szCs w:val="20"/>
              </w:rPr>
              <w:t>Search-engine crawling</w:t>
            </w:r>
          </w:p>
        </w:tc>
        <w:tc>
          <w:tcPr>
            <w:tcW w:w="3800" w:type="dxa"/>
            <w:shd w:val="clear" w:color="auto" w:fill="F6F8FB"/>
            <w:tcMar>
              <w:top w:w="80" w:type="dxa"/>
              <w:left w:w="120" w:type="dxa"/>
              <w:bottom w:w="80" w:type="dxa"/>
              <w:right w:w="120" w:type="dxa"/>
            </w:tcMar>
            <w:vAlign w:val="center"/>
          </w:tcPr>
          <w:p w14:paraId="3FBB0469">
            <w:pPr>
              <w:jc w:val="left"/>
            </w:pPr>
            <w:r>
              <w:rPr>
                <w:b w:val="0"/>
                <w:bCs w:val="0"/>
                <w:color w:val="111111"/>
                <w:sz w:val="20"/>
                <w:szCs w:val="20"/>
              </w:rPr>
              <w:t>Task 2 only: added at project root to declare crawl permissions and the canonical page for indexing.</w:t>
            </w:r>
          </w:p>
        </w:tc>
      </w:tr>
      <w:tr w14:paraId="2537E8E2">
        <w:tblPrEx>
          <w:tblBorders>
            <w:top w:val="single" w:color="D9DEE8" w:sz="4" w:space="0"/>
            <w:left w:val="single" w:color="D9DEE8" w:sz="4" w:space="0"/>
            <w:bottom w:val="single" w:color="D9DEE8" w:sz="4" w:space="0"/>
            <w:right w:val="single" w:color="D9DEE8" w:sz="4" w:space="0"/>
            <w:insideH w:val="single" w:color="D9DEE8" w:sz="4" w:space="0"/>
            <w:insideV w:val="single" w:color="D9DEE8" w:sz="4" w:space="0"/>
          </w:tblBorders>
          <w:tblCellMar>
            <w:top w:w="0" w:type="dxa"/>
            <w:left w:w="10" w:type="dxa"/>
            <w:bottom w:w="0" w:type="dxa"/>
            <w:right w:w="10" w:type="dxa"/>
          </w:tblCellMar>
        </w:tblPrEx>
        <w:tc>
          <w:tcPr>
            <w:tcW w:w="2400" w:type="dxa"/>
            <w:tcMar>
              <w:top w:w="80" w:type="dxa"/>
              <w:left w:w="120" w:type="dxa"/>
              <w:bottom w:w="80" w:type="dxa"/>
              <w:right w:w="120" w:type="dxa"/>
            </w:tcMar>
            <w:vAlign w:val="center"/>
          </w:tcPr>
          <w:p w14:paraId="2251952A">
            <w:pPr>
              <w:jc w:val="left"/>
            </w:pPr>
            <w:r>
              <w:rPr>
                <w:b w:val="0"/>
                <w:bCs w:val="0"/>
                <w:color w:val="111111"/>
                <w:sz w:val="20"/>
                <w:szCs w:val="20"/>
              </w:rPr>
              <w:t>Git / GitHub</w:t>
            </w:r>
          </w:p>
        </w:tc>
        <w:tc>
          <w:tcPr>
            <w:tcW w:w="3160" w:type="dxa"/>
            <w:tcMar>
              <w:top w:w="80" w:type="dxa"/>
              <w:left w:w="120" w:type="dxa"/>
              <w:bottom w:w="80" w:type="dxa"/>
              <w:right w:w="120" w:type="dxa"/>
            </w:tcMar>
            <w:vAlign w:val="center"/>
          </w:tcPr>
          <w:p w14:paraId="47C497C0">
            <w:pPr>
              <w:jc w:val="left"/>
            </w:pPr>
            <w:r>
              <w:rPr>
                <w:b w:val="0"/>
                <w:bCs w:val="0"/>
                <w:color w:val="111111"/>
                <w:sz w:val="20"/>
                <w:szCs w:val="20"/>
              </w:rPr>
              <w:t>Version control &amp; submission</w:t>
            </w:r>
          </w:p>
        </w:tc>
        <w:tc>
          <w:tcPr>
            <w:tcW w:w="3800" w:type="dxa"/>
            <w:tcMar>
              <w:top w:w="80" w:type="dxa"/>
              <w:left w:w="120" w:type="dxa"/>
              <w:bottom w:w="80" w:type="dxa"/>
              <w:right w:w="120" w:type="dxa"/>
            </w:tcMar>
            <w:vAlign w:val="center"/>
          </w:tcPr>
          <w:p w14:paraId="4BCE9482">
            <w:pPr>
              <w:jc w:val="left"/>
            </w:pPr>
            <w:r>
              <w:rPr>
                <w:b w:val="0"/>
                <w:bCs w:val="0"/>
                <w:color w:val="111111"/>
                <w:sz w:val="20"/>
                <w:szCs w:val="20"/>
              </w:rPr>
              <w:t>README.md documents init/add/commit/push steps and a GitHub Pages deployment path for both tasks.</w:t>
            </w:r>
          </w:p>
        </w:tc>
      </w:tr>
    </w:tbl>
    <w:p w14:paraId="4AF491BD">
      <w:pPr>
        <w:pStyle w:val="2"/>
        <w:pageBreakBefore/>
        <w:spacing w:before="360" w:after="160"/>
      </w:pPr>
      <w:r>
        <w:t>5. Project Architecture &amp; Structure</w:t>
      </w:r>
    </w:p>
    <w:p w14:paraId="20C0FD8A">
      <w:pPr>
        <w:spacing w:after="140"/>
        <w:jc w:val="both"/>
      </w:pPr>
      <w:r>
        <w:t>Both tasks follow the same flat, dependency-free structure — a deliberate choice for a static marketing site with no build pipeline:</w:t>
      </w:r>
    </w:p>
    <w:p w14:paraId="40BCD0E2">
      <w:pPr>
        <w:shd w:val="clear" w:fill="F6F8FB"/>
        <w:spacing w:before="120" w:after="0"/>
      </w:pPr>
      <w:r>
        <w:rPr>
          <w:rFonts w:ascii="Courier New" w:hAnsi="Courier New" w:eastAsia="Courier New" w:cs="Courier New"/>
          <w:sz w:val="18"/>
          <w:szCs w:val="18"/>
        </w:rPr>
        <w:t>virexo-innovations/</w:t>
      </w:r>
    </w:p>
    <w:p w14:paraId="521CC1EA">
      <w:pPr>
        <w:shd w:val="clear" w:fill="F6F8FB"/>
        <w:spacing w:before="0" w:after="0"/>
      </w:pPr>
      <w:r>
        <w:rPr>
          <w:rFonts w:ascii="Courier New" w:hAnsi="Courier New" w:eastAsia="Courier New" w:cs="Courier New"/>
          <w:sz w:val="18"/>
          <w:szCs w:val="18"/>
        </w:rPr>
        <w:t>├── index.html            Single-page markup, 9 anchor-linked sections</w:t>
      </w:r>
    </w:p>
    <w:p w14:paraId="114A7621">
      <w:pPr>
        <w:shd w:val="clear" w:fill="F6F8FB"/>
        <w:spacing w:before="0" w:after="0"/>
      </w:pPr>
      <w:r>
        <w:rPr>
          <w:rFonts w:ascii="Courier New" w:hAnsi="Courier New" w:eastAsia="Courier New" w:cs="Courier New"/>
          <w:sz w:val="18"/>
          <w:szCs w:val="18"/>
        </w:rPr>
        <w:t>├── css/</w:t>
      </w:r>
    </w:p>
    <w:p w14:paraId="05B7A19A">
      <w:pPr>
        <w:shd w:val="clear" w:fill="F6F8FB"/>
        <w:spacing w:before="0" w:after="0"/>
      </w:pPr>
      <w:r>
        <w:rPr>
          <w:rFonts w:ascii="Courier New" w:hAnsi="Courier New" w:eastAsia="Courier New" w:cs="Courier New"/>
          <w:sz w:val="18"/>
          <w:szCs w:val="18"/>
        </w:rPr>
        <w:t>│   └── style.css         Design tokens, layout, components, responsive rules</w:t>
      </w:r>
    </w:p>
    <w:p w14:paraId="31249FAB">
      <w:pPr>
        <w:shd w:val="clear" w:fill="F6F8FB"/>
        <w:spacing w:before="0" w:after="0"/>
      </w:pPr>
      <w:r>
        <w:rPr>
          <w:rFonts w:ascii="Courier New" w:hAnsi="Courier New" w:eastAsia="Courier New" w:cs="Courier New"/>
          <w:sz w:val="18"/>
          <w:szCs w:val="18"/>
        </w:rPr>
        <w:t>├── js/</w:t>
      </w:r>
    </w:p>
    <w:p w14:paraId="74F6040E">
      <w:pPr>
        <w:shd w:val="clear" w:fill="F6F8FB"/>
        <w:spacing w:before="0" w:after="0"/>
      </w:pPr>
      <w:r>
        <w:rPr>
          <w:rFonts w:ascii="Courier New" w:hAnsi="Courier New" w:eastAsia="Courier New" w:cs="Courier New"/>
          <w:sz w:val="18"/>
          <w:szCs w:val="18"/>
        </w:rPr>
        <w:t>│   └── script.js         All interactivity, wrapped in one IIFE</w:t>
      </w:r>
    </w:p>
    <w:p w14:paraId="1CF0C702">
      <w:pPr>
        <w:shd w:val="clear" w:fill="F6F8FB"/>
        <w:spacing w:before="0" w:after="0"/>
      </w:pPr>
      <w:r>
        <w:rPr>
          <w:rFonts w:ascii="Courier New" w:hAnsi="Courier New" w:eastAsia="Courier New" w:cs="Courier New"/>
          <w:sz w:val="18"/>
          <w:szCs w:val="18"/>
        </w:rPr>
        <w:t>├── assets/</w:t>
      </w:r>
    </w:p>
    <w:p w14:paraId="1181C2FE">
      <w:pPr>
        <w:shd w:val="clear" w:fill="F6F8FB"/>
        <w:spacing w:before="0" w:after="0"/>
      </w:pPr>
      <w:r>
        <w:rPr>
          <w:rFonts w:ascii="Courier New" w:hAnsi="Courier New" w:eastAsia="Courier New" w:cs="Courier New"/>
          <w:sz w:val="18"/>
          <w:szCs w:val="18"/>
        </w:rPr>
        <w:t>│   └── images/</w:t>
      </w:r>
    </w:p>
    <w:p w14:paraId="7C50CDC0">
      <w:pPr>
        <w:shd w:val="clear" w:fill="F6F8FB"/>
        <w:spacing w:before="0" w:after="0"/>
      </w:pPr>
      <w:r>
        <w:rPr>
          <w:rFonts w:ascii="Courier New" w:hAnsi="Courier New" w:eastAsia="Courier New" w:cs="Courier New"/>
          <w:sz w:val="18"/>
          <w:szCs w:val="18"/>
        </w:rPr>
        <w:t>│       └── favicon.svg   Task 2 only — standalone favicon asset</w:t>
      </w:r>
    </w:p>
    <w:p w14:paraId="1A9FBC64">
      <w:pPr>
        <w:shd w:val="clear" w:fill="F6F8FB"/>
        <w:spacing w:before="0" w:after="0"/>
      </w:pPr>
      <w:r>
        <w:rPr>
          <w:rFonts w:ascii="Courier New" w:hAnsi="Courier New" w:eastAsia="Courier New" w:cs="Courier New"/>
          <w:sz w:val="18"/>
          <w:szCs w:val="18"/>
        </w:rPr>
        <w:t>├── robots.txt            Task 2 only</w:t>
      </w:r>
    </w:p>
    <w:p w14:paraId="5544D82F">
      <w:pPr>
        <w:shd w:val="clear" w:fill="F6F8FB"/>
        <w:spacing w:before="0" w:after="0"/>
      </w:pPr>
      <w:r>
        <w:rPr>
          <w:rFonts w:ascii="Courier New" w:hAnsi="Courier New" w:eastAsia="Courier New" w:cs="Courier New"/>
          <w:sz w:val="18"/>
          <w:szCs w:val="18"/>
        </w:rPr>
        <w:t>├── sitemap.xml           Task 2 only</w:t>
      </w:r>
    </w:p>
    <w:p w14:paraId="52D9C926">
      <w:pPr>
        <w:shd w:val="clear" w:fill="F6F8FB"/>
        <w:spacing w:before="0" w:after="200"/>
      </w:pPr>
      <w:r>
        <w:rPr>
          <w:rFonts w:ascii="Courier New" w:hAnsi="Courier New" w:eastAsia="Courier New" w:cs="Courier New"/>
          <w:sz w:val="18"/>
          <w:szCs w:val="18"/>
        </w:rPr>
        <w:t>└── README.md             Setup, testing checklist, submission instructions</w:t>
      </w:r>
    </w:p>
    <w:p w14:paraId="61898D28">
      <w:pPr>
        <w:spacing w:after="140"/>
        <w:jc w:val="both"/>
      </w:pPr>
      <w:r>
        <w:t>Separation of concerns is enforced by file type rather than by component folders, which is appropriate at this project's scale: index.html contains no inline styles or embedded &lt;script&gt; logic beyond the small, necessary theme-flash-prevention snippet in &lt;head&gt; (a documented, deliberate exception — see README.md, "Design direction"). All styling lives in css/style.css and all behaviour in js/script.js, each loaded once.</w:t>
      </w:r>
    </w:p>
    <w:p w14:paraId="75AE0BD6">
      <w:pPr>
        <w:spacing w:after="140"/>
        <w:jc w:val="both"/>
      </w:pPr>
      <w:r>
        <w:t>Modules interact through DOM contracts rather than imports: script.js locates elements by id/class (#siteHeader, .reveal, #contactForm, etc.) and CSS exposes state through classes the script toggles (is-scrolled, on-dark, is-visible, has-error). This keeps the three layers independent and individually testable, at the cost of relying on naming conventions staying in sync — a maintainability trade-off addressed in Section 10.</w:t>
      </w:r>
    </w:p>
    <w:p w14:paraId="4E71EEF4">
      <w:pPr>
        <w:pStyle w:val="2"/>
        <w:pageBreakBefore/>
        <w:spacing w:before="360" w:after="160"/>
      </w:pPr>
      <w:r>
        <w:t>6. Task 1 — Detailed Implementation</w:t>
      </w:r>
    </w:p>
    <w:p w14:paraId="02FDC341">
      <w:pPr>
        <w:pStyle w:val="3"/>
        <w:spacing w:before="220" w:after="100"/>
      </w:pPr>
      <w:r>
        <w:t>6.1 Objective</w:t>
      </w:r>
    </w:p>
    <w:p w14:paraId="4C31A0AB">
      <w:pPr>
        <w:spacing w:after="140"/>
        <w:jc w:val="both"/>
      </w:pPr>
      <w:r>
        <w:t>Build a complete, responsive, interactive business homepage for Virexo Innovations that a visitor could plausibly mistake for a live small-studio website.</w:t>
      </w:r>
    </w:p>
    <w:p w14:paraId="565F454B">
      <w:pPr>
        <w:pStyle w:val="3"/>
        <w:spacing w:before="220" w:after="100"/>
      </w:pPr>
      <w:r>
        <w:t>6.2 Requirements Addressed</w:t>
      </w:r>
    </w:p>
    <w:p w14:paraId="3990D2A6">
      <w:pPr>
        <w:pStyle w:val="16"/>
        <w:numPr>
          <w:ilvl w:val="0"/>
          <w:numId w:val="1"/>
        </w:numPr>
        <w:spacing w:after="60"/>
      </w:pPr>
      <w:r>
        <w:t>A working, branded navigation system with mobile support.</w:t>
      </w:r>
    </w:p>
    <w:p w14:paraId="14915F62">
      <w:pPr>
        <w:pStyle w:val="16"/>
        <w:numPr>
          <w:ilvl w:val="0"/>
          <w:numId w:val="1"/>
        </w:numPr>
        <w:spacing w:after="60"/>
      </w:pPr>
      <w:r>
        <w:t>A persuasive hero section communicating the studio's value proposition.</w:t>
      </w:r>
    </w:p>
    <w:p w14:paraId="6CC03F3E">
      <w:pPr>
        <w:pStyle w:val="16"/>
        <w:numPr>
          <w:ilvl w:val="0"/>
          <w:numId w:val="1"/>
        </w:numPr>
        <w:spacing w:after="60"/>
      </w:pPr>
      <w:r>
        <w:t>Credibility content: client logos, a case study, testimonials, and an FAQ.</w:t>
      </w:r>
    </w:p>
    <w:p w14:paraId="78940502">
      <w:pPr>
        <w:pStyle w:val="16"/>
        <w:numPr>
          <w:ilvl w:val="0"/>
          <w:numId w:val="1"/>
        </w:numPr>
        <w:spacing w:after="60"/>
      </w:pPr>
      <w:r>
        <w:t>A clear services offering and a working contact mechanism.</w:t>
      </w:r>
    </w:p>
    <w:p w14:paraId="6BCEA7E7">
      <w:pPr>
        <w:pStyle w:val="16"/>
        <w:numPr>
          <w:ilvl w:val="0"/>
          <w:numId w:val="1"/>
        </w:numPr>
        <w:spacing w:after="60"/>
      </w:pPr>
      <w:r>
        <w:t>Full responsiveness from desktop to small mobile screens.</w:t>
      </w:r>
    </w:p>
    <w:p w14:paraId="053585E7">
      <w:pPr>
        <w:pStyle w:val="3"/>
        <w:spacing w:before="220" w:after="100"/>
      </w:pPr>
      <w:r>
        <w:t>6.3 Features Implemented</w:t>
      </w:r>
    </w:p>
    <w:p w14:paraId="5A8026CC">
      <w:pPr>
        <w:pStyle w:val="16"/>
        <w:numPr>
          <w:ilvl w:val="0"/>
          <w:numId w:val="1"/>
        </w:numPr>
        <w:spacing w:after="60"/>
      </w:pPr>
      <w:r>
        <w:t>Sticky, translucent header with scroll-aware shadow (.is-scrolled) and a scrollspy-driven active nav link.</w:t>
      </w:r>
    </w:p>
    <w:p w14:paraId="5092F2C7">
      <w:pPr>
        <w:pStyle w:val="16"/>
        <w:numPr>
          <w:ilvl w:val="0"/>
          <w:numId w:val="1"/>
        </w:numPr>
        <w:spacing w:after="60"/>
      </w:pPr>
      <w:r>
        <w:t>Dark/light theme toggle, persisted via localStorage, defaulting to the OS preference via prefers-color-scheme, applied pre-paint to avoid a flash of unstyled theme.</w:t>
      </w:r>
    </w:p>
    <w:p w14:paraId="7A67B0B3">
      <w:pPr>
        <w:pStyle w:val="16"/>
        <w:numPr>
          <w:ilvl w:val="0"/>
          <w:numId w:val="1"/>
        </w:numPr>
        <w:spacing w:after="60"/>
      </w:pPr>
      <w:r>
        <w:t>Responsive hamburger menu with synced aria-expanded / aria-label state.</w:t>
      </w:r>
    </w:p>
    <w:p w14:paraId="09E3CBD2">
      <w:pPr>
        <w:pStyle w:val="16"/>
        <w:numPr>
          <w:ilvl w:val="0"/>
          <w:numId w:val="1"/>
        </w:numPr>
        <w:spacing w:after="60"/>
      </w:pPr>
      <w:r>
        <w:t>Hero section with an animated inline-SVG "signal path" diagram (strategy → design → build → test → launch → grow) and quick stats (40+, 12, 6 wks).</w:t>
      </w:r>
    </w:p>
    <w:p w14:paraId="185448BE">
      <w:pPr>
        <w:pStyle w:val="16"/>
        <w:numPr>
          <w:ilvl w:val="0"/>
          <w:numId w:val="1"/>
        </w:numPr>
        <w:spacing w:after="60"/>
      </w:pPr>
      <w:r>
        <w:t>A four-step Process section (Discover, Design, Build, Launch &amp; grow).</w:t>
      </w:r>
    </w:p>
    <w:p w14:paraId="1A0C52D8">
      <w:pPr>
        <w:pStyle w:val="16"/>
        <w:numPr>
          <w:ilvl w:val="0"/>
          <w:numId w:val="1"/>
        </w:numPr>
        <w:spacing w:after="60"/>
      </w:pPr>
      <w:r>
        <w:t>A Case Study section with quantified outcomes (71% faster load, 2.4× more demo requests, 5-week delivery) and a decorative browser-frame visual.</w:t>
      </w:r>
    </w:p>
    <w:p w14:paraId="2C108474">
      <w:pPr>
        <w:pStyle w:val="16"/>
        <w:numPr>
          <w:ilvl w:val="0"/>
          <w:numId w:val="1"/>
        </w:numPr>
        <w:spacing w:after="60"/>
      </w:pPr>
      <w:r>
        <w:t>Four Services cards (Web Development, UI/UX Design, Digital Solutions, SEO &amp; Growth Marketing), each with an icon, description and feature list.</w:t>
      </w:r>
    </w:p>
    <w:p w14:paraId="4E2F624E">
      <w:pPr>
        <w:pStyle w:val="16"/>
        <w:numPr>
          <w:ilvl w:val="0"/>
          <w:numId w:val="1"/>
        </w:numPr>
        <w:spacing w:after="60"/>
      </w:pPr>
      <w:r>
        <w:t>A three-quote Testimonials section and a four-item FAQ accordion (native &lt;details&gt;/&lt;summary&gt;, no JS required).</w:t>
      </w:r>
    </w:p>
    <w:p w14:paraId="7D72274F">
      <w:pPr>
        <w:pStyle w:val="16"/>
        <w:numPr>
          <w:ilvl w:val="0"/>
          <w:numId w:val="1"/>
        </w:numPr>
        <w:spacing w:after="60"/>
      </w:pPr>
      <w:r>
        <w:t>A client-side validated contact form (name, email, message) with inline error messages and a simulated success state.</w:t>
      </w:r>
    </w:p>
    <w:p w14:paraId="0DE84E57">
      <w:pPr>
        <w:pStyle w:val="16"/>
        <w:numPr>
          <w:ilvl w:val="0"/>
          <w:numId w:val="1"/>
        </w:numPr>
        <w:spacing w:after="60"/>
      </w:pPr>
      <w:r>
        <w:t>A footer with quick links, services links, contact details, social links and copyright.</w:t>
      </w:r>
    </w:p>
    <w:p w14:paraId="60ABB22A">
      <w:pPr>
        <w:pStyle w:val="3"/>
        <w:spacing w:before="220" w:after="100"/>
      </w:pPr>
      <w:r>
        <w:t>6.4 Technical Implementation</w:t>
      </w:r>
    </w:p>
    <w:p w14:paraId="0C58F107">
      <w:pPr>
        <w:spacing w:after="140"/>
        <w:jc w:val="both"/>
      </w:pPr>
      <w:r>
        <w:t>Theming is implemented as a CSS custom-property swap: :root defines the light palette, and html[data-theme="dark"] overrides the same variable names. Because every component references the variables (var(--bg), var(--ink), etc.) rather than literal colors, the toggle in script.js only needs to set one attribute (data-theme) and every section repaints correctly — a maintainable pattern that avoids a parallel "dark mode" stylesheet.</w:t>
      </w:r>
    </w:p>
    <w:p w14:paraId="68E012FB">
      <w:pPr>
        <w:spacing w:after="140"/>
        <w:jc w:val="both"/>
      </w:pPr>
      <w:r>
        <w:t>Form validation (isValidEmail, name-length and message-length checks) runs synchronously on submit, toggles a has-error class per field, and writes an inline message via a dedicated &lt;span class="form-error"&gt;, keeping error state visible to both sighted and assistive-technology users through aria-live="polite" on the status region.</w:t>
      </w:r>
    </w:p>
    <w:p w14:paraId="094FC2F9">
      <w:pPr>
        <w:pStyle w:val="3"/>
        <w:spacing w:before="220" w:after="100"/>
      </w:pPr>
      <w:r>
        <w:t>6.5 UI/UX</w:t>
      </w:r>
    </w:p>
    <w:p w14:paraId="3C70CCC1">
      <w:pPr>
        <w:spacing w:after="140"/>
        <w:jc w:val="both"/>
      </w:pPr>
      <w:r>
        <w:t>The visual language uses a cool light palette (#F3F5F9 background) with a royal-blue/teal accent pair, Space Grotesk for display type and Inter for body text, switching to a dark panel (#12131C) specifically for the Contact section to visually separate the conversion moment from the rest of the page — a deliberate, content-driven design decision rather than a default.</w:t>
      </w:r>
    </w:p>
    <w:p w14:paraId="212AAFCA">
      <w:pPr>
        <w:pStyle w:val="3"/>
        <w:spacing w:before="220" w:after="100"/>
      </w:pPr>
      <w:r>
        <w:t>6.6 Challenges &amp; Solutions</w:t>
      </w:r>
    </w:p>
    <w:p w14:paraId="66074F50">
      <w:pPr>
        <w:spacing w:after="120"/>
      </w:pPr>
      <w:r>
        <w:rPr>
          <w:b/>
          <w:bCs/>
        </w:rPr>
        <w:t xml:space="preserve">Challenge: </w:t>
      </w:r>
      <w:r>
        <w:t>A frosted, translucent header looks correct over light sections but becomes unreadable once the page scrolls into the dark Contact/Footer background.</w:t>
      </w:r>
    </w:p>
    <w:p w14:paraId="3C31D83E">
      <w:pPr>
        <w:spacing w:after="120"/>
      </w:pPr>
      <w:r>
        <w:rPr>
          <w:b/>
          <w:bCs/>
        </w:rPr>
        <w:t xml:space="preserve">Solution: </w:t>
      </w:r>
      <w:r>
        <w:t>An IntersectionObserver watches the #contact section and toggles an on-dark class on the header exactly when the dark section reaches the header's height, swapping text color and background opacity without a scroll-position calculation on every frame.</w:t>
      </w:r>
    </w:p>
    <w:p w14:paraId="016F5C15">
      <w:pPr>
        <w:spacing w:after="120"/>
      </w:pPr>
      <w:r>
        <w:rPr>
          <w:b/>
          <w:bCs/>
        </w:rPr>
        <w:t xml:space="preserve">Challenge: </w:t>
      </w:r>
      <w:r>
        <w:t>Closing the mobile menu changes the header's height, which could throw off the smooth-scroll offset calculated against header.offsetHeight.</w:t>
      </w:r>
    </w:p>
    <w:p w14:paraId="507659F0">
      <w:pPr>
        <w:spacing w:after="120"/>
      </w:pPr>
      <w:r>
        <w:rPr>
          <w:b/>
          <w:bCs/>
        </w:rPr>
        <w:t xml:space="preserve">Solution: </w:t>
      </w:r>
      <w:r>
        <w:t>The click handler explicitly closes the mobile menu before reading offsetHeight, so the scroll target is computed against the header's resting height.</w:t>
      </w:r>
    </w:p>
    <w:p w14:paraId="0C01ACF7">
      <w:pPr>
        <w:pStyle w:val="3"/>
        <w:spacing w:before="220" w:after="100"/>
      </w:pPr>
      <w:r>
        <w:t>6.7 Testing / Evaluation</w:t>
      </w:r>
    </w:p>
    <w:p w14:paraId="0A68E840">
      <w:pPr>
        <w:spacing w:after="140"/>
        <w:jc w:val="both"/>
      </w:pPr>
      <w:r>
        <w:t>Task 1's README.md includes an explicit seven-point manual test checklist (desktop layout, responsive breakpoints, navigation, mobile menu, form validation, console-error check, keyboard focus) that mirrors the automated verification performed for this report — see Section 12.</w:t>
      </w:r>
    </w:p>
    <w:p w14:paraId="3D2B568F">
      <w:pPr>
        <w:pStyle w:val="3"/>
        <w:spacing w:before="220" w:after="100"/>
      </w:pPr>
      <w:r>
        <w:t>6.8 Outcome</w:t>
      </w:r>
    </w:p>
    <w:p w14:paraId="73ABA623">
      <w:pPr>
        <w:spacing w:after="140"/>
        <w:jc w:val="both"/>
      </w:pPr>
      <w:r>
        <w:t>Task 1 delivers a functionally complete, responsive, accessible-by-default marketing homepage with no console errors, no broken anchors, and no placeholder/lorem-ipsum content, per the project's own README notes.</w:t>
      </w:r>
    </w:p>
    <w:p w14:paraId="0DDC162E">
      <w:pPr>
        <w:pStyle w:val="2"/>
        <w:pageBreakBefore/>
        <w:spacing w:before="360" w:after="160"/>
      </w:pPr>
      <w:r>
        <w:t>7. Task 2 — Detailed Implementation</w:t>
      </w:r>
    </w:p>
    <w:p w14:paraId="709747D3">
      <w:pPr>
        <w:pStyle w:val="3"/>
        <w:spacing w:before="220" w:after="100"/>
      </w:pPr>
      <w:r>
        <w:t>7.1 Objective</w:t>
      </w:r>
    </w:p>
    <w:p w14:paraId="412C7E03">
      <w:pPr>
        <w:spacing w:after="140"/>
        <w:jc w:val="both"/>
      </w:pPr>
      <w:r>
        <w:t>Raise the Task 1 site to a more production-ready standard — search-engine readiness, accessibility, spam resistance, and visual credibility of decorative UI mockups — without changing its content or information architecture.</w:t>
      </w:r>
    </w:p>
    <w:p w14:paraId="64FACBFD">
      <w:pPr>
        <w:pStyle w:val="3"/>
        <w:spacing w:before="220" w:after="100"/>
      </w:pPr>
      <w:r>
        <w:t>7.2 Requirements Addressed</w:t>
      </w:r>
    </w:p>
    <w:p w14:paraId="0A6D7B52">
      <w:pPr>
        <w:pStyle w:val="16"/>
        <w:numPr>
          <w:ilvl w:val="0"/>
          <w:numId w:val="1"/>
        </w:numPr>
        <w:spacing w:after="60"/>
      </w:pPr>
      <w:r>
        <w:t>Replace the inline data-URI favicon with a standalone, cacheable asset.</w:t>
      </w:r>
    </w:p>
    <w:p w14:paraId="26A59694">
      <w:pPr>
        <w:pStyle w:val="16"/>
        <w:numPr>
          <w:ilvl w:val="0"/>
          <w:numId w:val="1"/>
        </w:numPr>
        <w:spacing w:after="60"/>
      </w:pPr>
      <w:r>
        <w:t>Add machine-readable SEO signals (structured data, canonical URL, sitemap, robots file).</w:t>
      </w:r>
    </w:p>
    <w:p w14:paraId="71421F7E">
      <w:pPr>
        <w:pStyle w:val="16"/>
        <w:numPr>
          <w:ilvl w:val="0"/>
          <w:numId w:val="1"/>
        </w:numPr>
        <w:spacing w:after="60"/>
      </w:pPr>
      <w:r>
        <w:t>Add a keyboard-accessible way to bypass repeated navigation.</w:t>
      </w:r>
    </w:p>
    <w:p w14:paraId="30EB9276">
      <w:pPr>
        <w:pStyle w:val="16"/>
        <w:numPr>
          <w:ilvl w:val="0"/>
          <w:numId w:val="1"/>
        </w:numPr>
        <w:spacing w:after="60"/>
      </w:pPr>
      <w:r>
        <w:t>Reduce the impact of automated form spam without adding friction for real users.</w:t>
      </w:r>
    </w:p>
    <w:p w14:paraId="41A19415">
      <w:pPr>
        <w:pStyle w:val="16"/>
        <w:numPr>
          <w:ilvl w:val="0"/>
          <w:numId w:val="1"/>
        </w:numPr>
        <w:spacing w:after="60"/>
      </w:pPr>
      <w:r>
        <w:t>Replace the two abstract placeholder mockups (About, Case Study) with visuals that read as real interfaces.</w:t>
      </w:r>
    </w:p>
    <w:p w14:paraId="522E5266">
      <w:pPr>
        <w:pStyle w:val="3"/>
        <w:spacing w:before="220" w:after="100"/>
      </w:pPr>
      <w:r>
        <w:t>7.3 Features Implemented</w:t>
      </w:r>
    </w:p>
    <w:p w14:paraId="691F0B43">
      <w:pPr>
        <w:pStyle w:val="16"/>
        <w:numPr>
          <w:ilvl w:val="0"/>
          <w:numId w:val="1"/>
        </w:numPr>
        <w:spacing w:after="60"/>
      </w:pPr>
      <w:r>
        <w:t>assets/images/favicon.svg — a real file referenced via &lt;link rel="icon"&gt;, replacing the Task 1 inline data-URI.</w:t>
      </w:r>
    </w:p>
    <w:p w14:paraId="0B325D87">
      <w:pPr>
        <w:pStyle w:val="16"/>
        <w:numPr>
          <w:ilvl w:val="0"/>
          <w:numId w:val="1"/>
        </w:numPr>
        <w:spacing w:after="60"/>
      </w:pPr>
      <w:r>
        <w:t>A &lt;link rel="canonical"&gt; tag and a JSON-LD ProfessionalService block describing the business (name, description, contact, service area) for search engines.</w:t>
      </w:r>
    </w:p>
    <w:p w14:paraId="0ABCEA53">
      <w:pPr>
        <w:pStyle w:val="16"/>
        <w:numPr>
          <w:ilvl w:val="0"/>
          <w:numId w:val="1"/>
        </w:numPr>
        <w:spacing w:after="60"/>
      </w:pPr>
      <w:r>
        <w:t>robots.txt (crawl policy + sitemap pointer) and sitemap.xml (single canonical URL entry) at the project root.</w:t>
      </w:r>
    </w:p>
    <w:p w14:paraId="6A96DB3B">
      <w:pPr>
        <w:pStyle w:val="16"/>
        <w:numPr>
          <w:ilvl w:val="0"/>
          <w:numId w:val="1"/>
        </w:numPr>
        <w:spacing w:after="60"/>
      </w:pPr>
      <w:r>
        <w:t>A .skip-link anchor, visually hidden until keyboard focus, that jumps directly to #top — a standard WCAG 2.4.1 ("Bypass Blocks") pattern.</w:t>
      </w:r>
    </w:p>
    <w:p w14:paraId="50052E98">
      <w:pPr>
        <w:pStyle w:val="16"/>
        <w:numPr>
          <w:ilvl w:val="0"/>
          <w:numId w:val="1"/>
        </w:numPr>
        <w:spacing w:after="60"/>
      </w:pPr>
      <w:r>
        <w:t>A hidden honeypot field (#company) in the contact form: visually and semantically hidden from real users (CSS clip + tabindex="-1" + aria-hidden="true") but reachable by form-filling bots; the submit handler silently no-ops on a filled honeypot instead of showing an error, so automated submissions are dropped without tipping off the bot.</w:t>
      </w:r>
    </w:p>
    <w:p w14:paraId="78F277A5">
      <w:pPr>
        <w:pStyle w:val="16"/>
        <w:numPr>
          <w:ilvl w:val="0"/>
          <w:numId w:val="1"/>
        </w:numPr>
        <w:spacing w:after="60"/>
      </w:pPr>
      <w:r>
        <w:t>A back-to-top button (#backToTop), hidden until the visitor scrolls past 600px, wired to a smooth-scroll-to-top click handler.</w:t>
      </w:r>
    </w:p>
    <w:p w14:paraId="4F75A28D">
      <w:pPr>
        <w:pStyle w:val="16"/>
        <w:numPr>
          <w:ilvl w:val="0"/>
          <w:numId w:val="1"/>
        </w:numPr>
        <w:spacing w:after="60"/>
      </w:pPr>
      <w:r>
        <w:t>A redesigned About mockup: a design-system preview panel showing color-token swatches, a component card (avatar + text lines + status tag) and two button variants — replacing three generic placeholder bars.</w:t>
      </w:r>
    </w:p>
    <w:p w14:paraId="5CAB3F55">
      <w:pPr>
        <w:pStyle w:val="16"/>
        <w:numPr>
          <w:ilvl w:val="0"/>
          <w:numId w:val="1"/>
        </w:numPr>
        <w:spacing w:after="60"/>
      </w:pPr>
      <w:r>
        <w:t>A redesigned Case Study mockup: a fake analytics dashboard with a nav bar, three stat cards (Sessions/Conversions/Avg. load) each carrying an inline SVG sparkline and a trend badge, and a full SVG area/line chart with gridlines and an end-point marker — replacing three flat gray placeholder blocks.</w:t>
      </w:r>
    </w:p>
    <w:p w14:paraId="45A854D9">
      <w:pPr>
        <w:pStyle w:val="3"/>
        <w:spacing w:before="220" w:after="100"/>
      </w:pPr>
      <w:r>
        <w:t>7.4 Technical Implementation</w:t>
      </w:r>
    </w:p>
    <w:p w14:paraId="4B9A6226">
      <w:pPr>
        <w:spacing w:after="140"/>
        <w:jc w:val="both"/>
      </w:pPr>
      <w:r>
        <w:t>The honeypot check runs before the existing validation logic in the submit handler: if #company is non-empty, the handler resets the form and shows a generic success message without ever exercising the name/email/message validators, so a bot cannot use validation error text to fingerprint the form.</w:t>
      </w:r>
    </w:p>
    <w:p w14:paraId="3248C7B6">
      <w:pPr>
        <w:spacing w:after="140"/>
        <w:jc w:val="both"/>
      </w:pPr>
      <w:r>
        <w:t>Both redesigned mockups are built with layered inline SVG and CSS only (linear-gradient fills, CSS custom properties for stroke/fill colors) so they inherit the light/dark theme automatically and add zero image requests. The line chart uses an SVG &lt;linearGradient&gt; for the area fill and a &lt;polyline&gt; for the stroke, sized with a preserveAspectRatio="none" viewBox so it scales cleanly at any container width.</w:t>
      </w:r>
    </w:p>
    <w:p w14:paraId="7B875993">
      <w:pPr>
        <w:pStyle w:val="3"/>
        <w:spacing w:before="220" w:after="100"/>
      </w:pPr>
      <w:r>
        <w:t>7.5 UI/UX</w:t>
      </w:r>
    </w:p>
    <w:p w14:paraId="442A675E">
      <w:pPr>
        <w:spacing w:after="140"/>
        <w:jc w:val="both"/>
      </w:pPr>
      <w:r>
        <w:t>The redesign is intentionally restrained: no new color is introduced. Every element in both mockups reuses the existing --accent, --accent-2 and --border tokens, so the "upgrade" reads as more detail within the same design system rather than a visual departure from the rest of the page.</w:t>
      </w:r>
    </w:p>
    <w:p w14:paraId="5E5F610E">
      <w:pPr>
        <w:pStyle w:val="3"/>
        <w:spacing w:before="220" w:after="100"/>
      </w:pPr>
      <w:r>
        <w:t>7.6 Challenges &amp; Solutions</w:t>
      </w:r>
    </w:p>
    <w:p w14:paraId="606A8864">
      <w:pPr>
        <w:spacing w:after="120"/>
      </w:pPr>
      <w:r>
        <w:rPr>
          <w:b/>
          <w:bCs/>
        </w:rPr>
        <w:t xml:space="preserve">Challenge: </w:t>
      </w:r>
      <w:r>
        <w:t>A CSS-hidden honeypot field must be invisible and unreachable to real keyboard/screen-reader users without being invisible to bots that read the DOM.</w:t>
      </w:r>
    </w:p>
    <w:p w14:paraId="5FF20D7E">
      <w:pPr>
        <w:spacing w:after="120"/>
      </w:pPr>
      <w:r>
        <w:rPr>
          <w:b/>
          <w:bCs/>
        </w:rPr>
        <w:t xml:space="preserve">Solution: </w:t>
      </w:r>
      <w:r>
        <w:t>The field is hidden with a clip-based visually-hidden technique (not display:none, which some bots skip) and pulled out of the tab order with tabindex="-1" and aria-hidden="true", so it remains present in the DOM for bots while being unreachable for legitimate users.</w:t>
      </w:r>
    </w:p>
    <w:p w14:paraId="77B48676">
      <w:pPr>
        <w:spacing w:after="120"/>
      </w:pPr>
      <w:r>
        <w:rPr>
          <w:b/>
          <w:bCs/>
        </w:rPr>
        <w:t xml:space="preserve">Challenge: </w:t>
      </w:r>
      <w:r>
        <w:t>The original placeholder mockups conveyed no real information, which reduced perceived project quality despite being intentional decorative elements.</w:t>
      </w:r>
    </w:p>
    <w:p w14:paraId="0410AA65">
      <w:pPr>
        <w:spacing w:after="120"/>
      </w:pPr>
      <w:r>
        <w:rPr>
          <w:b/>
          <w:bCs/>
        </w:rPr>
        <w:t xml:space="preserve">Solution: </w:t>
      </w:r>
      <w:r>
        <w:t>Both mockups were rebuilt around real, plausible content — actual metric values, labels and a legend on the dashboard; actual token/component semantics on the design-system panel — while keeping them 100% CSS/SVG with no external image dependency.</w:t>
      </w:r>
    </w:p>
    <w:p w14:paraId="6E3D1EB0">
      <w:pPr>
        <w:pStyle w:val="3"/>
        <w:spacing w:before="220" w:after="100"/>
      </w:pPr>
      <w:r>
        <w:t>7.7 Testing / Evaluation</w:t>
      </w:r>
    </w:p>
    <w:p w14:paraId="432A00BA">
      <w:pPr>
        <w:spacing w:after="140"/>
        <w:jc w:val="both"/>
      </w:pPr>
      <w:r>
        <w:t>The redesigned mockups were verified with automated headless-browser screenshots (Chromium via Playwright) at desktop (1400px) and mobile (390px) viewports, in both the light and dark theme states, confirming no layout overflow or clipping. See Section 12 for the consolidated test log.</w:t>
      </w:r>
    </w:p>
    <w:p w14:paraId="1DBB9F8F">
      <w:pPr>
        <w:pStyle w:val="3"/>
        <w:spacing w:before="220" w:after="100"/>
      </w:pPr>
      <w:r>
        <w:t>7.8 Outcome</w:t>
      </w:r>
    </w:p>
    <w:p w14:paraId="385315C9">
      <w:pPr>
        <w:spacing w:after="140"/>
        <w:jc w:val="both"/>
      </w:pPr>
      <w:r>
        <w:t>Task 2 preserves 100% of Task 1's functionality — no existing feature, id, or class was removed — while adding measurable ground in SEO, accessibility and spam handling, and materially improving the credibility of the two decorative mockups called out during review.</w:t>
      </w:r>
    </w:p>
    <w:p w14:paraId="6100FD3D">
      <w:pPr>
        <w:pStyle w:val="2"/>
        <w:pageBreakBefore/>
        <w:spacing w:before="360" w:after="160"/>
      </w:pPr>
      <w:r>
        <w:t>8. Technical Skills Demonstrated</w:t>
      </w:r>
    </w:p>
    <w:tbl>
      <w:tblPr>
        <w:tblStyle w:val="9"/>
        <w:tblW w:w="9360" w:type="dxa"/>
        <w:tblInd w:w="0" w:type="dxa"/>
        <w:tblBorders>
          <w:top w:val="single" w:color="D9DEE8" w:sz="4" w:space="0"/>
          <w:left w:val="single" w:color="D9DEE8" w:sz="4" w:space="0"/>
          <w:bottom w:val="single" w:color="D9DEE8" w:sz="4" w:space="0"/>
          <w:right w:val="single" w:color="D9DEE8" w:sz="4" w:space="0"/>
          <w:insideH w:val="single" w:color="D9DEE8" w:sz="4" w:space="0"/>
          <w:insideV w:val="single" w:color="D9DEE8" w:sz="4" w:space="0"/>
        </w:tblBorders>
        <w:tblLayout w:type="autofit"/>
        <w:tblCellMar>
          <w:top w:w="0" w:type="dxa"/>
          <w:left w:w="10" w:type="dxa"/>
          <w:bottom w:w="0" w:type="dxa"/>
          <w:right w:w="10" w:type="dxa"/>
        </w:tblCellMar>
      </w:tblPr>
      <w:tblGrid>
        <w:gridCol w:w="2600"/>
        <w:gridCol w:w="6760"/>
      </w:tblGrid>
      <w:tr w14:paraId="4C85BB17">
        <w:tblPrEx>
          <w:tblBorders>
            <w:top w:val="single" w:color="D9DEE8" w:sz="4" w:space="0"/>
            <w:left w:val="single" w:color="D9DEE8" w:sz="4" w:space="0"/>
            <w:bottom w:val="single" w:color="D9DEE8" w:sz="4" w:space="0"/>
            <w:right w:val="single" w:color="D9DEE8" w:sz="4" w:space="0"/>
            <w:insideH w:val="single" w:color="D9DEE8" w:sz="4" w:space="0"/>
            <w:insideV w:val="single" w:color="D9DEE8" w:sz="4" w:space="0"/>
          </w:tblBorders>
          <w:tblCellMar>
            <w:top w:w="0" w:type="dxa"/>
            <w:left w:w="10" w:type="dxa"/>
            <w:bottom w:w="0" w:type="dxa"/>
            <w:right w:w="10" w:type="dxa"/>
          </w:tblCellMar>
        </w:tblPrEx>
        <w:trPr>
          <w:tblHeader/>
        </w:trPr>
        <w:tc>
          <w:tcPr>
            <w:tcW w:w="2600" w:type="dxa"/>
            <w:shd w:val="clear" w:color="auto" w:fill="1F3A5F"/>
            <w:tcMar>
              <w:top w:w="80" w:type="dxa"/>
              <w:left w:w="120" w:type="dxa"/>
              <w:bottom w:w="80" w:type="dxa"/>
              <w:right w:w="120" w:type="dxa"/>
            </w:tcMar>
            <w:vAlign w:val="center"/>
          </w:tcPr>
          <w:p w14:paraId="515F0E9E">
            <w:pPr>
              <w:jc w:val="left"/>
            </w:pPr>
            <w:r>
              <w:rPr>
                <w:b/>
                <w:bCs/>
                <w:color w:val="FFFFFF"/>
                <w:sz w:val="20"/>
                <w:szCs w:val="20"/>
              </w:rPr>
              <w:t>Skill Area</w:t>
            </w:r>
          </w:p>
        </w:tc>
        <w:tc>
          <w:tcPr>
            <w:tcW w:w="6760" w:type="dxa"/>
            <w:shd w:val="clear" w:color="auto" w:fill="1F3A5F"/>
            <w:tcMar>
              <w:top w:w="80" w:type="dxa"/>
              <w:left w:w="120" w:type="dxa"/>
              <w:bottom w:w="80" w:type="dxa"/>
              <w:right w:w="120" w:type="dxa"/>
            </w:tcMar>
            <w:vAlign w:val="center"/>
          </w:tcPr>
          <w:p w14:paraId="42E667B2">
            <w:pPr>
              <w:jc w:val="left"/>
            </w:pPr>
            <w:r>
              <w:rPr>
                <w:b/>
                <w:bCs/>
                <w:color w:val="FFFFFF"/>
                <w:sz w:val="20"/>
                <w:szCs w:val="20"/>
              </w:rPr>
              <w:t>Evidence in Code</w:t>
            </w:r>
          </w:p>
        </w:tc>
      </w:tr>
      <w:tr w14:paraId="2F9A16BC">
        <w:tblPrEx>
          <w:tblBorders>
            <w:top w:val="single" w:color="D9DEE8" w:sz="4" w:space="0"/>
            <w:left w:val="single" w:color="D9DEE8" w:sz="4" w:space="0"/>
            <w:bottom w:val="single" w:color="D9DEE8" w:sz="4" w:space="0"/>
            <w:right w:val="single" w:color="D9DEE8" w:sz="4" w:space="0"/>
            <w:insideH w:val="single" w:color="D9DEE8" w:sz="4" w:space="0"/>
            <w:insideV w:val="single" w:color="D9DEE8" w:sz="4" w:space="0"/>
          </w:tblBorders>
          <w:tblCellMar>
            <w:top w:w="0" w:type="dxa"/>
            <w:left w:w="10" w:type="dxa"/>
            <w:bottom w:w="0" w:type="dxa"/>
            <w:right w:w="10" w:type="dxa"/>
          </w:tblCellMar>
        </w:tblPrEx>
        <w:tc>
          <w:tcPr>
            <w:tcW w:w="2600" w:type="dxa"/>
            <w:tcMar>
              <w:top w:w="80" w:type="dxa"/>
              <w:left w:w="120" w:type="dxa"/>
              <w:bottom w:w="80" w:type="dxa"/>
              <w:right w:w="120" w:type="dxa"/>
            </w:tcMar>
            <w:vAlign w:val="center"/>
          </w:tcPr>
          <w:p w14:paraId="1616034D">
            <w:pPr>
              <w:jc w:val="left"/>
            </w:pPr>
            <w:r>
              <w:rPr>
                <w:b w:val="0"/>
                <w:bCs w:val="0"/>
                <w:color w:val="111111"/>
                <w:sz w:val="20"/>
                <w:szCs w:val="20"/>
              </w:rPr>
              <w:t>HTML5 semantics</w:t>
            </w:r>
          </w:p>
        </w:tc>
        <w:tc>
          <w:tcPr>
            <w:tcW w:w="6760" w:type="dxa"/>
            <w:tcMar>
              <w:top w:w="80" w:type="dxa"/>
              <w:left w:w="120" w:type="dxa"/>
              <w:bottom w:w="80" w:type="dxa"/>
              <w:right w:w="120" w:type="dxa"/>
            </w:tcMar>
            <w:vAlign w:val="center"/>
          </w:tcPr>
          <w:p w14:paraId="6A47900E">
            <w:pPr>
              <w:jc w:val="left"/>
            </w:pPr>
            <w:r>
              <w:rPr>
                <w:b w:val="0"/>
                <w:bCs w:val="0"/>
                <w:color w:val="111111"/>
                <w:sz w:val="20"/>
                <w:szCs w:val="20"/>
              </w:rPr>
              <w:t>&lt;header&gt;, &lt;nav&gt;, &lt;main&gt;, &lt;section&gt;, &lt;footer&gt;, &lt;details&gt;/&lt;summary&gt; FAQ accordion (no JS dependency), meta description/OG/Twitter tags.</w:t>
            </w:r>
          </w:p>
        </w:tc>
      </w:tr>
      <w:tr w14:paraId="10B93178">
        <w:tblPrEx>
          <w:tblBorders>
            <w:top w:val="single" w:color="D9DEE8" w:sz="4" w:space="0"/>
            <w:left w:val="single" w:color="D9DEE8" w:sz="4" w:space="0"/>
            <w:bottom w:val="single" w:color="D9DEE8" w:sz="4" w:space="0"/>
            <w:right w:val="single" w:color="D9DEE8" w:sz="4" w:space="0"/>
            <w:insideH w:val="single" w:color="D9DEE8" w:sz="4" w:space="0"/>
            <w:insideV w:val="single" w:color="D9DEE8" w:sz="4" w:space="0"/>
          </w:tblBorders>
          <w:tblCellMar>
            <w:top w:w="0" w:type="dxa"/>
            <w:left w:w="10" w:type="dxa"/>
            <w:bottom w:w="0" w:type="dxa"/>
            <w:right w:w="10" w:type="dxa"/>
          </w:tblCellMar>
        </w:tblPrEx>
        <w:tc>
          <w:tcPr>
            <w:tcW w:w="2600" w:type="dxa"/>
            <w:shd w:val="clear" w:color="auto" w:fill="F6F8FB"/>
            <w:tcMar>
              <w:top w:w="80" w:type="dxa"/>
              <w:left w:w="120" w:type="dxa"/>
              <w:bottom w:w="80" w:type="dxa"/>
              <w:right w:w="120" w:type="dxa"/>
            </w:tcMar>
            <w:vAlign w:val="center"/>
          </w:tcPr>
          <w:p w14:paraId="04E4B838">
            <w:pPr>
              <w:jc w:val="left"/>
            </w:pPr>
            <w:r>
              <w:rPr>
                <w:b w:val="0"/>
                <w:bCs w:val="0"/>
                <w:color w:val="111111"/>
                <w:sz w:val="20"/>
                <w:szCs w:val="20"/>
              </w:rPr>
              <w:t>CSS3 architecture</w:t>
            </w:r>
          </w:p>
        </w:tc>
        <w:tc>
          <w:tcPr>
            <w:tcW w:w="6760" w:type="dxa"/>
            <w:shd w:val="clear" w:color="auto" w:fill="F6F8FB"/>
            <w:tcMar>
              <w:top w:w="80" w:type="dxa"/>
              <w:left w:w="120" w:type="dxa"/>
              <w:bottom w:w="80" w:type="dxa"/>
              <w:right w:w="120" w:type="dxa"/>
            </w:tcMar>
            <w:vAlign w:val="center"/>
          </w:tcPr>
          <w:p w14:paraId="2C31CB37">
            <w:pPr>
              <w:jc w:val="left"/>
            </w:pPr>
            <w:r>
              <w:rPr>
                <w:b w:val="0"/>
                <w:bCs w:val="0"/>
                <w:color w:val="111111"/>
                <w:sz w:val="20"/>
                <w:szCs w:val="20"/>
              </w:rPr>
              <w:t>A :root token layer (color, type, layout, motion) consumed throughout; zero hard-coded hex values inside component rules.</w:t>
            </w:r>
          </w:p>
        </w:tc>
      </w:tr>
      <w:tr w14:paraId="3C1AF4CC">
        <w:tblPrEx>
          <w:tblBorders>
            <w:top w:val="single" w:color="D9DEE8" w:sz="4" w:space="0"/>
            <w:left w:val="single" w:color="D9DEE8" w:sz="4" w:space="0"/>
            <w:bottom w:val="single" w:color="D9DEE8" w:sz="4" w:space="0"/>
            <w:right w:val="single" w:color="D9DEE8" w:sz="4" w:space="0"/>
            <w:insideH w:val="single" w:color="D9DEE8" w:sz="4" w:space="0"/>
            <w:insideV w:val="single" w:color="D9DEE8" w:sz="4" w:space="0"/>
          </w:tblBorders>
          <w:tblCellMar>
            <w:top w:w="0" w:type="dxa"/>
            <w:left w:w="10" w:type="dxa"/>
            <w:bottom w:w="0" w:type="dxa"/>
            <w:right w:w="10" w:type="dxa"/>
          </w:tblCellMar>
        </w:tblPrEx>
        <w:tc>
          <w:tcPr>
            <w:tcW w:w="2600" w:type="dxa"/>
            <w:tcMar>
              <w:top w:w="80" w:type="dxa"/>
              <w:left w:w="120" w:type="dxa"/>
              <w:bottom w:w="80" w:type="dxa"/>
              <w:right w:w="120" w:type="dxa"/>
            </w:tcMar>
            <w:vAlign w:val="center"/>
          </w:tcPr>
          <w:p w14:paraId="287262D1">
            <w:pPr>
              <w:jc w:val="left"/>
            </w:pPr>
            <w:r>
              <w:rPr>
                <w:b w:val="0"/>
                <w:bCs w:val="0"/>
                <w:color w:val="111111"/>
                <w:sz w:val="20"/>
                <w:szCs w:val="20"/>
              </w:rPr>
              <w:t>Responsive design</w:t>
            </w:r>
          </w:p>
        </w:tc>
        <w:tc>
          <w:tcPr>
            <w:tcW w:w="6760" w:type="dxa"/>
            <w:tcMar>
              <w:top w:w="80" w:type="dxa"/>
              <w:left w:w="120" w:type="dxa"/>
              <w:bottom w:w="80" w:type="dxa"/>
              <w:right w:w="120" w:type="dxa"/>
            </w:tcMar>
            <w:vAlign w:val="center"/>
          </w:tcPr>
          <w:p w14:paraId="1EF0A5FA">
            <w:pPr>
              <w:jc w:val="left"/>
            </w:pPr>
            <w:r>
              <w:rPr>
                <w:b w:val="0"/>
                <w:bCs w:val="0"/>
                <w:color w:val="111111"/>
                <w:sz w:val="20"/>
                <w:szCs w:val="20"/>
              </w:rPr>
              <w:t>Four breakpoints (1180px, 980px, 760px, 480px) reflowing the services grid (4→2→1 columns), hero/about/case-study from two columns to stacked, and the nav to a hamburger menu.</w:t>
            </w:r>
          </w:p>
        </w:tc>
      </w:tr>
      <w:tr w14:paraId="2B574807">
        <w:tblPrEx>
          <w:tblBorders>
            <w:top w:val="single" w:color="D9DEE8" w:sz="4" w:space="0"/>
            <w:left w:val="single" w:color="D9DEE8" w:sz="4" w:space="0"/>
            <w:bottom w:val="single" w:color="D9DEE8" w:sz="4" w:space="0"/>
            <w:right w:val="single" w:color="D9DEE8" w:sz="4" w:space="0"/>
            <w:insideH w:val="single" w:color="D9DEE8" w:sz="4" w:space="0"/>
            <w:insideV w:val="single" w:color="D9DEE8" w:sz="4" w:space="0"/>
          </w:tblBorders>
          <w:tblCellMar>
            <w:top w:w="0" w:type="dxa"/>
            <w:left w:w="10" w:type="dxa"/>
            <w:bottom w:w="0" w:type="dxa"/>
            <w:right w:w="10" w:type="dxa"/>
          </w:tblCellMar>
        </w:tblPrEx>
        <w:tc>
          <w:tcPr>
            <w:tcW w:w="2600" w:type="dxa"/>
            <w:shd w:val="clear" w:color="auto" w:fill="F6F8FB"/>
            <w:tcMar>
              <w:top w:w="80" w:type="dxa"/>
              <w:left w:w="120" w:type="dxa"/>
              <w:bottom w:w="80" w:type="dxa"/>
              <w:right w:w="120" w:type="dxa"/>
            </w:tcMar>
            <w:vAlign w:val="center"/>
          </w:tcPr>
          <w:p w14:paraId="45E4DB50">
            <w:pPr>
              <w:jc w:val="left"/>
            </w:pPr>
            <w:r>
              <w:rPr>
                <w:b w:val="0"/>
                <w:bCs w:val="0"/>
                <w:color w:val="111111"/>
                <w:sz w:val="20"/>
                <w:szCs w:val="20"/>
              </w:rPr>
              <w:t>JavaScript / DOM manipulation</w:t>
            </w:r>
          </w:p>
        </w:tc>
        <w:tc>
          <w:tcPr>
            <w:tcW w:w="6760" w:type="dxa"/>
            <w:shd w:val="clear" w:color="auto" w:fill="F6F8FB"/>
            <w:tcMar>
              <w:top w:w="80" w:type="dxa"/>
              <w:left w:w="120" w:type="dxa"/>
              <w:bottom w:w="80" w:type="dxa"/>
              <w:right w:w="120" w:type="dxa"/>
            </w:tcMar>
            <w:vAlign w:val="center"/>
          </w:tcPr>
          <w:p w14:paraId="6CFFD052">
            <w:pPr>
              <w:jc w:val="left"/>
            </w:pPr>
            <w:r>
              <w:rPr>
                <w:b w:val="0"/>
                <w:bCs w:val="0"/>
                <w:color w:val="111111"/>
                <w:sz w:val="20"/>
                <w:szCs w:val="20"/>
              </w:rPr>
              <w:t>classList.add/remove/toggle, getElementById/querySelectorAll, closest(), textContent updates — all in js/script.js, no framework.</w:t>
            </w:r>
          </w:p>
        </w:tc>
      </w:tr>
      <w:tr w14:paraId="18F8B946">
        <w:tblPrEx>
          <w:tblBorders>
            <w:top w:val="single" w:color="D9DEE8" w:sz="4" w:space="0"/>
            <w:left w:val="single" w:color="D9DEE8" w:sz="4" w:space="0"/>
            <w:bottom w:val="single" w:color="D9DEE8" w:sz="4" w:space="0"/>
            <w:right w:val="single" w:color="D9DEE8" w:sz="4" w:space="0"/>
            <w:insideH w:val="single" w:color="D9DEE8" w:sz="4" w:space="0"/>
            <w:insideV w:val="single" w:color="D9DEE8" w:sz="4" w:space="0"/>
          </w:tblBorders>
          <w:tblCellMar>
            <w:top w:w="0" w:type="dxa"/>
            <w:left w:w="10" w:type="dxa"/>
            <w:bottom w:w="0" w:type="dxa"/>
            <w:right w:w="10" w:type="dxa"/>
          </w:tblCellMar>
        </w:tblPrEx>
        <w:tc>
          <w:tcPr>
            <w:tcW w:w="2600" w:type="dxa"/>
            <w:tcMar>
              <w:top w:w="80" w:type="dxa"/>
              <w:left w:w="120" w:type="dxa"/>
              <w:bottom w:w="80" w:type="dxa"/>
              <w:right w:w="120" w:type="dxa"/>
            </w:tcMar>
            <w:vAlign w:val="center"/>
          </w:tcPr>
          <w:p w14:paraId="31B482BA">
            <w:pPr>
              <w:jc w:val="left"/>
            </w:pPr>
            <w:r>
              <w:rPr>
                <w:b w:val="0"/>
                <w:bCs w:val="0"/>
                <w:color w:val="111111"/>
                <w:sz w:val="20"/>
                <w:szCs w:val="20"/>
              </w:rPr>
              <w:t>Event handling</w:t>
            </w:r>
          </w:p>
        </w:tc>
        <w:tc>
          <w:tcPr>
            <w:tcW w:w="6760" w:type="dxa"/>
            <w:tcMar>
              <w:top w:w="80" w:type="dxa"/>
              <w:left w:w="120" w:type="dxa"/>
              <w:bottom w:w="80" w:type="dxa"/>
              <w:right w:w="120" w:type="dxa"/>
            </w:tcMar>
            <w:vAlign w:val="center"/>
          </w:tcPr>
          <w:p w14:paraId="32B55195">
            <w:pPr>
              <w:jc w:val="left"/>
            </w:pPr>
            <w:r>
              <w:rPr>
                <w:b w:val="0"/>
                <w:bCs w:val="0"/>
                <w:color w:val="111111"/>
                <w:sz w:val="20"/>
                <w:szCs w:val="20"/>
              </w:rPr>
              <w:t>click (theme toggle, menu toggle, nav links, back-to-top), submit (contact form), scroll (header state, scrollspy, back-to-top visibility), all attached with addEventListener and passive:true where applicable for scroll performance.</w:t>
            </w:r>
          </w:p>
        </w:tc>
      </w:tr>
      <w:tr w14:paraId="39F9AB8C">
        <w:tblPrEx>
          <w:tblBorders>
            <w:top w:val="single" w:color="D9DEE8" w:sz="4" w:space="0"/>
            <w:left w:val="single" w:color="D9DEE8" w:sz="4" w:space="0"/>
            <w:bottom w:val="single" w:color="D9DEE8" w:sz="4" w:space="0"/>
            <w:right w:val="single" w:color="D9DEE8" w:sz="4" w:space="0"/>
            <w:insideH w:val="single" w:color="D9DEE8" w:sz="4" w:space="0"/>
            <w:insideV w:val="single" w:color="D9DEE8" w:sz="4" w:space="0"/>
          </w:tblBorders>
          <w:tblCellMar>
            <w:top w:w="0" w:type="dxa"/>
            <w:left w:w="10" w:type="dxa"/>
            <w:bottom w:w="0" w:type="dxa"/>
            <w:right w:w="10" w:type="dxa"/>
          </w:tblCellMar>
        </w:tblPrEx>
        <w:tc>
          <w:tcPr>
            <w:tcW w:w="2600" w:type="dxa"/>
            <w:shd w:val="clear" w:color="auto" w:fill="F6F8FB"/>
            <w:tcMar>
              <w:top w:w="80" w:type="dxa"/>
              <w:left w:w="120" w:type="dxa"/>
              <w:bottom w:w="80" w:type="dxa"/>
              <w:right w:w="120" w:type="dxa"/>
            </w:tcMar>
            <w:vAlign w:val="center"/>
          </w:tcPr>
          <w:p w14:paraId="243BD6D5">
            <w:pPr>
              <w:jc w:val="left"/>
            </w:pPr>
            <w:r>
              <w:rPr>
                <w:b w:val="0"/>
                <w:bCs w:val="0"/>
                <w:color w:val="111111"/>
                <w:sz w:val="20"/>
                <w:szCs w:val="20"/>
              </w:rPr>
              <w:t>Form handling &amp; validation</w:t>
            </w:r>
          </w:p>
        </w:tc>
        <w:tc>
          <w:tcPr>
            <w:tcW w:w="6760" w:type="dxa"/>
            <w:shd w:val="clear" w:color="auto" w:fill="F6F8FB"/>
            <w:tcMar>
              <w:top w:w="80" w:type="dxa"/>
              <w:left w:w="120" w:type="dxa"/>
              <w:bottom w:w="80" w:type="dxa"/>
              <w:right w:w="120" w:type="dxa"/>
            </w:tcMar>
            <w:vAlign w:val="center"/>
          </w:tcPr>
          <w:p w14:paraId="59263CAD">
            <w:pPr>
              <w:jc w:val="left"/>
            </w:pPr>
            <w:r>
              <w:rPr>
                <w:b w:val="0"/>
                <w:bCs w:val="0"/>
                <w:color w:val="111111"/>
                <w:sz w:val="20"/>
                <w:szCs w:val="20"/>
              </w:rPr>
              <w:t>Regex email check (/^[^\s@]+@[^\s@]+\.[^\s@]+$/), minimum-length checks for name and message, per-field error toggling, and (Task 2) a honeypot anti-spam field.</w:t>
            </w:r>
          </w:p>
        </w:tc>
      </w:tr>
      <w:tr w14:paraId="34C72C6A">
        <w:tblPrEx>
          <w:tblBorders>
            <w:top w:val="single" w:color="D9DEE8" w:sz="4" w:space="0"/>
            <w:left w:val="single" w:color="D9DEE8" w:sz="4" w:space="0"/>
            <w:bottom w:val="single" w:color="D9DEE8" w:sz="4" w:space="0"/>
            <w:right w:val="single" w:color="D9DEE8" w:sz="4" w:space="0"/>
            <w:insideH w:val="single" w:color="D9DEE8" w:sz="4" w:space="0"/>
            <w:insideV w:val="single" w:color="D9DEE8" w:sz="4" w:space="0"/>
          </w:tblBorders>
          <w:tblCellMar>
            <w:top w:w="0" w:type="dxa"/>
            <w:left w:w="10" w:type="dxa"/>
            <w:bottom w:w="0" w:type="dxa"/>
            <w:right w:w="10" w:type="dxa"/>
          </w:tblCellMar>
        </w:tblPrEx>
        <w:tc>
          <w:tcPr>
            <w:tcW w:w="2600" w:type="dxa"/>
            <w:tcMar>
              <w:top w:w="80" w:type="dxa"/>
              <w:left w:w="120" w:type="dxa"/>
              <w:bottom w:w="80" w:type="dxa"/>
              <w:right w:w="120" w:type="dxa"/>
            </w:tcMar>
            <w:vAlign w:val="center"/>
          </w:tcPr>
          <w:p w14:paraId="55FE4CD9">
            <w:pPr>
              <w:jc w:val="left"/>
            </w:pPr>
            <w:r>
              <w:rPr>
                <w:b w:val="0"/>
                <w:bCs w:val="0"/>
                <w:color w:val="111111"/>
                <w:sz w:val="20"/>
                <w:szCs w:val="20"/>
              </w:rPr>
              <w:t>Accessibility (WCAG-aligned)</w:t>
            </w:r>
          </w:p>
        </w:tc>
        <w:tc>
          <w:tcPr>
            <w:tcW w:w="6760" w:type="dxa"/>
            <w:tcMar>
              <w:top w:w="80" w:type="dxa"/>
              <w:left w:w="120" w:type="dxa"/>
              <w:bottom w:w="80" w:type="dxa"/>
              <w:right w:w="120" w:type="dxa"/>
            </w:tcMar>
            <w:vAlign w:val="center"/>
          </w:tcPr>
          <w:p w14:paraId="443838FB">
            <w:pPr>
              <w:jc w:val="left"/>
            </w:pPr>
            <w:r>
              <w:rPr>
                <w:b w:val="0"/>
                <w:bCs w:val="0"/>
                <w:color w:val="111111"/>
                <w:sz w:val="20"/>
                <w:szCs w:val="20"/>
              </w:rPr>
              <w:t>aria-label / aria-expanded / aria-pressed on interactive controls, aria-live="polite" on the form status region, :focus-visible outlines, prefers-reduced-motion media query, and (Task 2) a skip-link.</w:t>
            </w:r>
          </w:p>
        </w:tc>
      </w:tr>
      <w:tr w14:paraId="13A1FB42">
        <w:tblPrEx>
          <w:tblBorders>
            <w:top w:val="single" w:color="D9DEE8" w:sz="4" w:space="0"/>
            <w:left w:val="single" w:color="D9DEE8" w:sz="4" w:space="0"/>
            <w:bottom w:val="single" w:color="D9DEE8" w:sz="4" w:space="0"/>
            <w:right w:val="single" w:color="D9DEE8" w:sz="4" w:space="0"/>
            <w:insideH w:val="single" w:color="D9DEE8" w:sz="4" w:space="0"/>
            <w:insideV w:val="single" w:color="D9DEE8" w:sz="4" w:space="0"/>
          </w:tblBorders>
          <w:tblCellMar>
            <w:top w:w="0" w:type="dxa"/>
            <w:left w:w="10" w:type="dxa"/>
            <w:bottom w:w="0" w:type="dxa"/>
            <w:right w:w="10" w:type="dxa"/>
          </w:tblCellMar>
        </w:tblPrEx>
        <w:tc>
          <w:tcPr>
            <w:tcW w:w="2600" w:type="dxa"/>
            <w:shd w:val="clear" w:color="auto" w:fill="F6F8FB"/>
            <w:tcMar>
              <w:top w:w="80" w:type="dxa"/>
              <w:left w:w="120" w:type="dxa"/>
              <w:bottom w:w="80" w:type="dxa"/>
              <w:right w:w="120" w:type="dxa"/>
            </w:tcMar>
            <w:vAlign w:val="center"/>
          </w:tcPr>
          <w:p w14:paraId="2B1FEAEF">
            <w:pPr>
              <w:jc w:val="left"/>
            </w:pPr>
            <w:r>
              <w:rPr>
                <w:b w:val="0"/>
                <w:bCs w:val="0"/>
                <w:color w:val="111111"/>
                <w:sz w:val="20"/>
                <w:szCs w:val="20"/>
              </w:rPr>
              <w:t>SEO (Task 2)</w:t>
            </w:r>
          </w:p>
        </w:tc>
        <w:tc>
          <w:tcPr>
            <w:tcW w:w="6760" w:type="dxa"/>
            <w:shd w:val="clear" w:color="auto" w:fill="F6F8FB"/>
            <w:tcMar>
              <w:top w:w="80" w:type="dxa"/>
              <w:left w:w="120" w:type="dxa"/>
              <w:bottom w:w="80" w:type="dxa"/>
              <w:right w:w="120" w:type="dxa"/>
            </w:tcMar>
            <w:vAlign w:val="center"/>
          </w:tcPr>
          <w:p w14:paraId="5A3EA660">
            <w:pPr>
              <w:jc w:val="left"/>
            </w:pPr>
            <w:r>
              <w:rPr>
                <w:b w:val="0"/>
                <w:bCs w:val="0"/>
                <w:color w:val="111111"/>
                <w:sz w:val="20"/>
                <w:szCs w:val="20"/>
              </w:rPr>
              <w:t>JSON-LD structured data, canonical URL, robots.txt, sitemap.xml, a standalone favicon file replacing a data-URI.</w:t>
            </w:r>
          </w:p>
        </w:tc>
      </w:tr>
      <w:tr w14:paraId="68C2F2F6">
        <w:tblPrEx>
          <w:tblBorders>
            <w:top w:val="single" w:color="D9DEE8" w:sz="4" w:space="0"/>
            <w:left w:val="single" w:color="D9DEE8" w:sz="4" w:space="0"/>
            <w:bottom w:val="single" w:color="D9DEE8" w:sz="4" w:space="0"/>
            <w:right w:val="single" w:color="D9DEE8" w:sz="4" w:space="0"/>
            <w:insideH w:val="single" w:color="D9DEE8" w:sz="4" w:space="0"/>
            <w:insideV w:val="single" w:color="D9DEE8" w:sz="4" w:space="0"/>
          </w:tblBorders>
          <w:tblCellMar>
            <w:top w:w="0" w:type="dxa"/>
            <w:left w:w="10" w:type="dxa"/>
            <w:bottom w:w="0" w:type="dxa"/>
            <w:right w:w="10" w:type="dxa"/>
          </w:tblCellMar>
        </w:tblPrEx>
        <w:tc>
          <w:tcPr>
            <w:tcW w:w="2600" w:type="dxa"/>
            <w:tcMar>
              <w:top w:w="80" w:type="dxa"/>
              <w:left w:w="120" w:type="dxa"/>
              <w:bottom w:w="80" w:type="dxa"/>
              <w:right w:w="120" w:type="dxa"/>
            </w:tcMar>
            <w:vAlign w:val="center"/>
          </w:tcPr>
          <w:p w14:paraId="5B53FBDC">
            <w:pPr>
              <w:jc w:val="left"/>
            </w:pPr>
            <w:r>
              <w:rPr>
                <w:b w:val="0"/>
                <w:bCs w:val="0"/>
                <w:color w:val="111111"/>
                <w:sz w:val="20"/>
                <w:szCs w:val="20"/>
              </w:rPr>
              <w:t>Code organization</w:t>
            </w:r>
          </w:p>
        </w:tc>
        <w:tc>
          <w:tcPr>
            <w:tcW w:w="6760" w:type="dxa"/>
            <w:tcMar>
              <w:top w:w="80" w:type="dxa"/>
              <w:left w:w="120" w:type="dxa"/>
              <w:bottom w:w="80" w:type="dxa"/>
              <w:right w:w="120" w:type="dxa"/>
            </w:tcMar>
            <w:vAlign w:val="center"/>
          </w:tcPr>
          <w:p w14:paraId="34670E97">
            <w:pPr>
              <w:jc w:val="left"/>
            </w:pPr>
            <w:r>
              <w:rPr>
                <w:b w:val="0"/>
                <w:bCs w:val="0"/>
                <w:color w:val="111111"/>
                <w:sz w:val="20"/>
                <w:szCs w:val="20"/>
              </w:rPr>
              <w:t>Single-responsibility files (structure / style / behavior), an IIFE to avoid global scope pollution, consistent BEM-like class naming (case-block, case-block-wide, ds-swatch, etc.).</w:t>
            </w:r>
          </w:p>
        </w:tc>
      </w:tr>
      <w:tr w14:paraId="1965A8EC">
        <w:tblPrEx>
          <w:tblBorders>
            <w:top w:val="single" w:color="D9DEE8" w:sz="4" w:space="0"/>
            <w:left w:val="single" w:color="D9DEE8" w:sz="4" w:space="0"/>
            <w:bottom w:val="single" w:color="D9DEE8" w:sz="4" w:space="0"/>
            <w:right w:val="single" w:color="D9DEE8" w:sz="4" w:space="0"/>
            <w:insideH w:val="single" w:color="D9DEE8" w:sz="4" w:space="0"/>
            <w:insideV w:val="single" w:color="D9DEE8" w:sz="4" w:space="0"/>
          </w:tblBorders>
          <w:tblCellMar>
            <w:top w:w="0" w:type="dxa"/>
            <w:left w:w="10" w:type="dxa"/>
            <w:bottom w:w="0" w:type="dxa"/>
            <w:right w:w="10" w:type="dxa"/>
          </w:tblCellMar>
        </w:tblPrEx>
        <w:tc>
          <w:tcPr>
            <w:tcW w:w="2600" w:type="dxa"/>
            <w:shd w:val="clear" w:color="auto" w:fill="F6F8FB"/>
            <w:tcMar>
              <w:top w:w="80" w:type="dxa"/>
              <w:left w:w="120" w:type="dxa"/>
              <w:bottom w:w="80" w:type="dxa"/>
              <w:right w:w="120" w:type="dxa"/>
            </w:tcMar>
            <w:vAlign w:val="center"/>
          </w:tcPr>
          <w:p w14:paraId="6A0F5AF1">
            <w:pPr>
              <w:jc w:val="left"/>
            </w:pPr>
            <w:r>
              <w:rPr>
                <w:b w:val="0"/>
                <w:bCs w:val="0"/>
                <w:color w:val="111111"/>
                <w:sz w:val="20"/>
                <w:szCs w:val="20"/>
              </w:rPr>
              <w:t>Debugging / defensive coding</w:t>
            </w:r>
          </w:p>
        </w:tc>
        <w:tc>
          <w:tcPr>
            <w:tcW w:w="6760" w:type="dxa"/>
            <w:shd w:val="clear" w:color="auto" w:fill="F6F8FB"/>
            <w:tcMar>
              <w:top w:w="80" w:type="dxa"/>
              <w:left w:w="120" w:type="dxa"/>
              <w:bottom w:w="80" w:type="dxa"/>
              <w:right w:w="120" w:type="dxa"/>
            </w:tcMar>
            <w:vAlign w:val="center"/>
          </w:tcPr>
          <w:p w14:paraId="5BF7136A">
            <w:pPr>
              <w:jc w:val="left"/>
            </w:pPr>
            <w:r>
              <w:rPr>
                <w:b w:val="0"/>
                <w:bCs w:val="0"/>
                <w:color w:val="111111"/>
                <w:sz w:val="20"/>
                <w:szCs w:val="20"/>
              </w:rPr>
              <w:t>try/catch around localStorage access (private-browsing fallback), feature-detection ("IntersectionObserver" in window) with a no-JS-observer fallback that reveals content immediately.</w:t>
            </w:r>
          </w:p>
        </w:tc>
      </w:tr>
    </w:tbl>
    <w:p w14:paraId="0FC349CF">
      <w:pPr>
        <w:pStyle w:val="2"/>
        <w:pageBreakBefore/>
        <w:spacing w:before="360" w:after="160"/>
      </w:pPr>
      <w:r>
        <w:t>9. Problem Solving &amp; Implementation</w:t>
      </w:r>
    </w:p>
    <w:p w14:paraId="6D76D91D">
      <w:pPr>
        <w:pStyle w:val="4"/>
        <w:spacing w:before="160" w:after="80"/>
      </w:pPr>
      <w:r>
        <w:t>9.1 Theme flash on page load</w:t>
      </w:r>
    </w:p>
    <w:p w14:paraId="275016AF">
      <w:pPr>
        <w:spacing w:after="120"/>
      </w:pPr>
      <w:r>
        <w:rPr>
          <w:b/>
          <w:bCs/>
        </w:rPr>
        <w:t xml:space="preserve">Problem: </w:t>
      </w:r>
      <w:r>
        <w:t>Applying the saved theme only after script.js runs (at the end of &lt;body&gt;) would cause a visible flash of the default (light) theme before switching to dark.</w:t>
      </w:r>
    </w:p>
    <w:p w14:paraId="73B8DFBD">
      <w:pPr>
        <w:spacing w:after="120"/>
      </w:pPr>
      <w:r>
        <w:rPr>
          <w:b/>
          <w:bCs/>
        </w:rPr>
        <w:t xml:space="preserve">Analysis: </w:t>
      </w:r>
      <w:r>
        <w:t>The fix has to run before the browser paints, which means it cannot wait for the deferred external script.</w:t>
      </w:r>
    </w:p>
    <w:p w14:paraId="2BDDBF5E">
      <w:pPr>
        <w:spacing w:after="120"/>
      </w:pPr>
      <w:r>
        <w:rPr>
          <w:b/>
          <w:bCs/>
        </w:rPr>
        <w:t xml:space="preserve">Solution: </w:t>
      </w:r>
      <w:r>
        <w:t>An inline, synchronous &lt;script&gt; placed in &lt;head&gt; reads localStorage and window.matchMedia("prefers-color-scheme: dark") and sets data-theme on &lt;html&gt; before any CSS renders.</w:t>
      </w:r>
    </w:p>
    <w:p w14:paraId="17FB32ED">
      <w:pPr>
        <w:spacing w:after="120"/>
      </w:pPr>
      <w:r>
        <w:rPr>
          <w:b/>
          <w:bCs/>
        </w:rPr>
        <w:t xml:space="preserve">Implementation: </w:t>
      </w:r>
      <w:r>
        <w:t>Wrapped in a try/catch so environments that block localStorage (e.g. private browsing) fall back to "light" instead of throwing and blocking page render.</w:t>
      </w:r>
    </w:p>
    <w:p w14:paraId="1D8C1EAA">
      <w:pPr>
        <w:spacing w:after="120"/>
      </w:pPr>
      <w:r>
        <w:rPr>
          <w:b/>
          <w:bCs/>
        </w:rPr>
        <w:t xml:space="preserve">Result: </w:t>
      </w:r>
      <w:r>
        <w:t>No flash-of-wrong-theme on any tested load path, confirmed by code trace and by direct observation of the rendered page in both themes.</w:t>
      </w:r>
    </w:p>
    <w:p w14:paraId="0D50AE08">
      <w:pPr>
        <w:pStyle w:val="4"/>
        <w:spacing w:before="160" w:after="80"/>
      </w:pPr>
      <w:r>
        <w:t>9.2 Fixed header overlapping anchor targets</w:t>
      </w:r>
    </w:p>
    <w:p w14:paraId="6BFA6A92">
      <w:pPr>
        <w:spacing w:after="120"/>
      </w:pPr>
      <w:r>
        <w:rPr>
          <w:b/>
          <w:bCs/>
        </w:rPr>
        <w:t xml:space="preserve">Problem: </w:t>
      </w:r>
      <w:r>
        <w:t>With a fixed/sticky header, a plain #anchor jump or browser default scroll would land section content underneath the header, hiding the section heading.</w:t>
      </w:r>
    </w:p>
    <w:p w14:paraId="2BD8E1CE">
      <w:pPr>
        <w:spacing w:after="120"/>
      </w:pPr>
      <w:r>
        <w:rPr>
          <w:b/>
          <w:bCs/>
        </w:rPr>
        <w:t xml:space="preserve">Analysis: </w:t>
      </w:r>
      <w:r>
        <w:t>The scroll target's position must be offset by the header's rendered height, which itself changes if the mobile menu is open.</w:t>
      </w:r>
    </w:p>
    <w:p w14:paraId="2F1FBDA1">
      <w:pPr>
        <w:spacing w:after="120"/>
      </w:pPr>
      <w:r>
        <w:rPr>
          <w:b/>
          <w:bCs/>
        </w:rPr>
        <w:t xml:space="preserve">Solution: </w:t>
      </w:r>
      <w:r>
        <w:t>The smooth-scroll click handler closes the mobile menu first, then computes top = target.getBoundingClientRect().top + window.pageYOffset - header.offsetHeight + 1 before calling window.scrollTo.</w:t>
      </w:r>
    </w:p>
    <w:p w14:paraId="4555C88A">
      <w:pPr>
        <w:spacing w:after="120"/>
      </w:pPr>
      <w:r>
        <w:rPr>
          <w:b/>
          <w:bCs/>
        </w:rPr>
        <w:t xml:space="preserve">Implementation: </w:t>
      </w:r>
      <w:r>
        <w:t>Applied uniformly to every in-page link via a shared selector (a[data-nav], a.nav-link) rather than per-link logic.</w:t>
      </w:r>
    </w:p>
    <w:p w14:paraId="700160DF">
      <w:pPr>
        <w:spacing w:after="120"/>
      </w:pPr>
      <w:r>
        <w:rPr>
          <w:b/>
          <w:bCs/>
        </w:rPr>
        <w:t xml:space="preserve">Result: </w:t>
      </w:r>
      <w:r>
        <w:t>All nine anchor targets land with the section heading fully visible below the header, on both desktop and mobile.</w:t>
      </w:r>
    </w:p>
    <w:p w14:paraId="7A69CE03">
      <w:pPr>
        <w:pStyle w:val="4"/>
        <w:spacing w:before="160" w:after="80"/>
      </w:pPr>
      <w:r>
        <w:t>9.3 Decorative mockups reducing perceived project quality</w:t>
      </w:r>
    </w:p>
    <w:p w14:paraId="0AFB3604">
      <w:pPr>
        <w:spacing w:after="120"/>
      </w:pPr>
      <w:r>
        <w:rPr>
          <w:b/>
          <w:bCs/>
        </w:rPr>
        <w:t xml:space="preserve">Problem: </w:t>
      </w:r>
      <w:r>
        <w:t>The original About and Case Study visuals used flat, unlabeled placeholder blocks, which — while intentional and documented as CSS/SVG-only decoration — read as unfinished during review.</w:t>
      </w:r>
    </w:p>
    <w:p w14:paraId="0DD39F9B">
      <w:pPr>
        <w:spacing w:after="120"/>
      </w:pPr>
      <w:r>
        <w:rPr>
          <w:b/>
          <w:bCs/>
        </w:rPr>
        <w:t xml:space="preserve">Analysis: </w:t>
      </w:r>
      <w:r>
        <w:t>The underlying constraint (no external image files, theme-aware, load instantly) had to be preserved while making the content self-explanatory.</w:t>
      </w:r>
    </w:p>
    <w:p w14:paraId="65CE35C6">
      <w:pPr>
        <w:spacing w:after="120"/>
      </w:pPr>
      <w:r>
        <w:rPr>
          <w:b/>
          <w:bCs/>
        </w:rPr>
        <w:t xml:space="preserve">Solution: </w:t>
      </w:r>
      <w:r>
        <w:t>Both mockups were rebuilt as content-bearing interface previews: real token swatches and a labelled component card for About; real metric labels, sparkline trend lines and a gridded area chart for the Case Study.</w:t>
      </w:r>
    </w:p>
    <w:p w14:paraId="3BEE8385">
      <w:pPr>
        <w:spacing w:after="120"/>
      </w:pPr>
      <w:r>
        <w:rPr>
          <w:b/>
          <w:bCs/>
        </w:rPr>
        <w:t xml:space="preserve">Implementation: </w:t>
      </w:r>
      <w:r>
        <w:t>Built entirely with inline SVG and CSS custom properties so both mockups still inherit the dark/light theme and add no network requests.</w:t>
      </w:r>
    </w:p>
    <w:p w14:paraId="1CAEAA96">
      <w:pPr>
        <w:spacing w:after="120"/>
      </w:pPr>
      <w:r>
        <w:rPr>
          <w:b/>
          <w:bCs/>
        </w:rPr>
        <w:t xml:space="preserve">Result: </w:t>
      </w:r>
      <w:r>
        <w:t>Verified across light/dark theme and desktop/mobile viewport via automated screenshot testing (Section 12) with no layout regressions.</w:t>
      </w:r>
    </w:p>
    <w:p w14:paraId="14A2AF11">
      <w:pPr>
        <w:pStyle w:val="4"/>
        <w:spacing w:before="160" w:after="80"/>
      </w:pPr>
      <w:r>
        <w:t>9.4 Contact-form spam without a backend</w:t>
      </w:r>
    </w:p>
    <w:p w14:paraId="26F46A00">
      <w:pPr>
        <w:spacing w:after="120"/>
      </w:pPr>
      <w:r>
        <w:rPr>
          <w:b/>
          <w:bCs/>
        </w:rPr>
        <w:t xml:space="preserve">Problem: </w:t>
      </w:r>
      <w:r>
        <w:t>The form has no server to rate-limit or CAPTCHA-check submissions, so any spam-mitigation has to live entirely in the client.</w:t>
      </w:r>
    </w:p>
    <w:p w14:paraId="52EFC8B2">
      <w:pPr>
        <w:spacing w:after="120"/>
      </w:pPr>
      <w:r>
        <w:rPr>
          <w:b/>
          <w:bCs/>
        </w:rPr>
        <w:t xml:space="preserve">Analysis: </w:t>
      </w:r>
      <w:r>
        <w:t>A client-only defense cannot stop a targeted attacker, but it can filter the large majority of unsophisticated automated form-fillers cheaply and without adding friction.</w:t>
      </w:r>
    </w:p>
    <w:p w14:paraId="21C47469">
      <w:pPr>
        <w:spacing w:after="120"/>
      </w:pPr>
      <w:r>
        <w:rPr>
          <w:b/>
          <w:bCs/>
        </w:rPr>
        <w:t xml:space="preserve">Solution: </w:t>
      </w:r>
      <w:r>
        <w:t>A honeypot field, invisible to real users but visible to bots that fill every input programmatically, causes the handler to silently accept-and-discard rather than validate.</w:t>
      </w:r>
    </w:p>
    <w:p w14:paraId="2E739969">
      <w:pPr>
        <w:spacing w:after="120"/>
      </w:pPr>
      <w:r>
        <w:rPr>
          <w:b/>
          <w:bCs/>
        </w:rPr>
        <w:t xml:space="preserve">Implementation: </w:t>
      </w:r>
      <w:r>
        <w:t>Hidden via a clip-based visually-hidden CSS pattern (not display:none) plus tabindex="-1" and aria-hidden="true", so it is inert for keyboard and screen-reader users.</w:t>
      </w:r>
    </w:p>
    <w:p w14:paraId="4658BA4E">
      <w:pPr>
        <w:spacing w:after="120"/>
      </w:pPr>
      <w:r>
        <w:rPr>
          <w:b/>
          <w:bCs/>
        </w:rPr>
        <w:t xml:space="preserve">Result: </w:t>
      </w:r>
      <w:r>
        <w:t>Adds a real, low-cost spam filter appropriate to a static site's threat model; documented in the README as a known, deliberate limitation (no backend, so this is not a substitute for server-side validation).</w:t>
      </w:r>
    </w:p>
    <w:p w14:paraId="7F6C7863">
      <w:pPr>
        <w:pStyle w:val="2"/>
        <w:pageBreakBefore/>
        <w:spacing w:before="360" w:after="160"/>
      </w:pPr>
      <w:r>
        <w:t>10. Project Quality</w:t>
      </w:r>
    </w:p>
    <w:tbl>
      <w:tblPr>
        <w:tblStyle w:val="9"/>
        <w:tblW w:w="9360" w:type="dxa"/>
        <w:tblInd w:w="0" w:type="dxa"/>
        <w:tblBorders>
          <w:top w:val="single" w:color="D9DEE8" w:sz="4" w:space="0"/>
          <w:left w:val="single" w:color="D9DEE8" w:sz="4" w:space="0"/>
          <w:bottom w:val="single" w:color="D9DEE8" w:sz="4" w:space="0"/>
          <w:right w:val="single" w:color="D9DEE8" w:sz="4" w:space="0"/>
          <w:insideH w:val="single" w:color="D9DEE8" w:sz="4" w:space="0"/>
          <w:insideV w:val="single" w:color="D9DEE8" w:sz="4" w:space="0"/>
        </w:tblBorders>
        <w:tblLayout w:type="autofit"/>
        <w:tblCellMar>
          <w:top w:w="0" w:type="dxa"/>
          <w:left w:w="10" w:type="dxa"/>
          <w:bottom w:w="0" w:type="dxa"/>
          <w:right w:w="10" w:type="dxa"/>
        </w:tblCellMar>
      </w:tblPr>
      <w:tblGrid>
        <w:gridCol w:w="2200"/>
        <w:gridCol w:w="7160"/>
      </w:tblGrid>
      <w:tr w14:paraId="2AC5B502">
        <w:tblPrEx>
          <w:tblBorders>
            <w:top w:val="single" w:color="D9DEE8" w:sz="4" w:space="0"/>
            <w:left w:val="single" w:color="D9DEE8" w:sz="4" w:space="0"/>
            <w:bottom w:val="single" w:color="D9DEE8" w:sz="4" w:space="0"/>
            <w:right w:val="single" w:color="D9DEE8" w:sz="4" w:space="0"/>
            <w:insideH w:val="single" w:color="D9DEE8" w:sz="4" w:space="0"/>
            <w:insideV w:val="single" w:color="D9DEE8" w:sz="4" w:space="0"/>
          </w:tblBorders>
          <w:tblCellMar>
            <w:top w:w="0" w:type="dxa"/>
            <w:left w:w="10" w:type="dxa"/>
            <w:bottom w:w="0" w:type="dxa"/>
            <w:right w:w="10" w:type="dxa"/>
          </w:tblCellMar>
        </w:tblPrEx>
        <w:trPr>
          <w:tblHeader/>
        </w:trPr>
        <w:tc>
          <w:tcPr>
            <w:tcW w:w="2200" w:type="dxa"/>
            <w:shd w:val="clear" w:color="auto" w:fill="1F3A5F"/>
            <w:tcMar>
              <w:top w:w="80" w:type="dxa"/>
              <w:left w:w="120" w:type="dxa"/>
              <w:bottom w:w="80" w:type="dxa"/>
              <w:right w:w="120" w:type="dxa"/>
            </w:tcMar>
            <w:vAlign w:val="center"/>
          </w:tcPr>
          <w:p w14:paraId="64FABA0E">
            <w:pPr>
              <w:jc w:val="left"/>
            </w:pPr>
            <w:r>
              <w:rPr>
                <w:b/>
                <w:bCs/>
                <w:color w:val="FFFFFF"/>
                <w:sz w:val="20"/>
                <w:szCs w:val="20"/>
              </w:rPr>
              <w:t>Dimension</w:t>
            </w:r>
          </w:p>
        </w:tc>
        <w:tc>
          <w:tcPr>
            <w:tcW w:w="7160" w:type="dxa"/>
            <w:shd w:val="clear" w:color="auto" w:fill="1F3A5F"/>
            <w:tcMar>
              <w:top w:w="80" w:type="dxa"/>
              <w:left w:w="120" w:type="dxa"/>
              <w:bottom w:w="80" w:type="dxa"/>
              <w:right w:w="120" w:type="dxa"/>
            </w:tcMar>
            <w:vAlign w:val="center"/>
          </w:tcPr>
          <w:p w14:paraId="40981675">
            <w:pPr>
              <w:jc w:val="left"/>
            </w:pPr>
            <w:r>
              <w:rPr>
                <w:b/>
                <w:bCs/>
                <w:color w:val="FFFFFF"/>
                <w:sz w:val="20"/>
                <w:szCs w:val="20"/>
              </w:rPr>
              <w:t>Assessment</w:t>
            </w:r>
          </w:p>
        </w:tc>
      </w:tr>
      <w:tr w14:paraId="65448C1B">
        <w:tblPrEx>
          <w:tblBorders>
            <w:top w:val="single" w:color="D9DEE8" w:sz="4" w:space="0"/>
            <w:left w:val="single" w:color="D9DEE8" w:sz="4" w:space="0"/>
            <w:bottom w:val="single" w:color="D9DEE8" w:sz="4" w:space="0"/>
            <w:right w:val="single" w:color="D9DEE8" w:sz="4" w:space="0"/>
            <w:insideH w:val="single" w:color="D9DEE8" w:sz="4" w:space="0"/>
            <w:insideV w:val="single" w:color="D9DEE8" w:sz="4" w:space="0"/>
          </w:tblBorders>
          <w:tblCellMar>
            <w:top w:w="0" w:type="dxa"/>
            <w:left w:w="10" w:type="dxa"/>
            <w:bottom w:w="0" w:type="dxa"/>
            <w:right w:w="10" w:type="dxa"/>
          </w:tblCellMar>
        </w:tblPrEx>
        <w:tc>
          <w:tcPr>
            <w:tcW w:w="2200" w:type="dxa"/>
            <w:tcMar>
              <w:top w:w="80" w:type="dxa"/>
              <w:left w:w="120" w:type="dxa"/>
              <w:bottom w:w="80" w:type="dxa"/>
              <w:right w:w="120" w:type="dxa"/>
            </w:tcMar>
            <w:vAlign w:val="center"/>
          </w:tcPr>
          <w:p w14:paraId="79E18C47">
            <w:pPr>
              <w:jc w:val="left"/>
            </w:pPr>
            <w:r>
              <w:rPr>
                <w:b w:val="0"/>
                <w:bCs w:val="0"/>
                <w:color w:val="111111"/>
                <w:sz w:val="20"/>
                <w:szCs w:val="20"/>
              </w:rPr>
              <w:t>Code quality</w:t>
            </w:r>
          </w:p>
        </w:tc>
        <w:tc>
          <w:tcPr>
            <w:tcW w:w="7160" w:type="dxa"/>
            <w:tcMar>
              <w:top w:w="80" w:type="dxa"/>
              <w:left w:w="120" w:type="dxa"/>
              <w:bottom w:w="80" w:type="dxa"/>
              <w:right w:w="120" w:type="dxa"/>
            </w:tcMar>
            <w:vAlign w:val="center"/>
          </w:tcPr>
          <w:p w14:paraId="6A2FD203">
            <w:pPr>
              <w:jc w:val="left"/>
            </w:pPr>
            <w:r>
              <w:rPr>
                <w:b w:val="0"/>
                <w:bCs w:val="0"/>
                <w:color w:val="111111"/>
                <w:sz w:val="20"/>
                <w:szCs w:val="20"/>
              </w:rPr>
              <w:t>Consistent indentation, descriptive class/id naming, and section-delimiting comments in all three files ("/* ---------- X ---------- */") make both files easy to navigate without tooling.</w:t>
            </w:r>
          </w:p>
        </w:tc>
      </w:tr>
      <w:tr w14:paraId="58AAA1B5">
        <w:tblPrEx>
          <w:tblBorders>
            <w:top w:val="single" w:color="D9DEE8" w:sz="4" w:space="0"/>
            <w:left w:val="single" w:color="D9DEE8" w:sz="4" w:space="0"/>
            <w:bottom w:val="single" w:color="D9DEE8" w:sz="4" w:space="0"/>
            <w:right w:val="single" w:color="D9DEE8" w:sz="4" w:space="0"/>
            <w:insideH w:val="single" w:color="D9DEE8" w:sz="4" w:space="0"/>
            <w:insideV w:val="single" w:color="D9DEE8" w:sz="4" w:space="0"/>
          </w:tblBorders>
          <w:tblCellMar>
            <w:top w:w="0" w:type="dxa"/>
            <w:left w:w="10" w:type="dxa"/>
            <w:bottom w:w="0" w:type="dxa"/>
            <w:right w:w="10" w:type="dxa"/>
          </w:tblCellMar>
        </w:tblPrEx>
        <w:tc>
          <w:tcPr>
            <w:tcW w:w="2200" w:type="dxa"/>
            <w:shd w:val="clear" w:color="auto" w:fill="F6F8FB"/>
            <w:tcMar>
              <w:top w:w="80" w:type="dxa"/>
              <w:left w:w="120" w:type="dxa"/>
              <w:bottom w:w="80" w:type="dxa"/>
              <w:right w:w="120" w:type="dxa"/>
            </w:tcMar>
            <w:vAlign w:val="center"/>
          </w:tcPr>
          <w:p w14:paraId="175B1941">
            <w:pPr>
              <w:jc w:val="left"/>
            </w:pPr>
            <w:r>
              <w:rPr>
                <w:b w:val="0"/>
                <w:bCs w:val="0"/>
                <w:color w:val="111111"/>
                <w:sz w:val="20"/>
                <w:szCs w:val="20"/>
              </w:rPr>
              <w:t>Maintainability</w:t>
            </w:r>
          </w:p>
        </w:tc>
        <w:tc>
          <w:tcPr>
            <w:tcW w:w="7160" w:type="dxa"/>
            <w:shd w:val="clear" w:color="auto" w:fill="F6F8FB"/>
            <w:tcMar>
              <w:top w:w="80" w:type="dxa"/>
              <w:left w:w="120" w:type="dxa"/>
              <w:bottom w:w="80" w:type="dxa"/>
              <w:right w:w="120" w:type="dxa"/>
            </w:tcMar>
            <w:vAlign w:val="center"/>
          </w:tcPr>
          <w:p w14:paraId="594052D8">
            <w:pPr>
              <w:jc w:val="left"/>
            </w:pPr>
            <w:r>
              <w:rPr>
                <w:b w:val="0"/>
                <w:bCs w:val="0"/>
                <w:color w:val="111111"/>
                <w:sz w:val="20"/>
                <w:szCs w:val="20"/>
              </w:rPr>
              <w:t>The CSS-variable token layer means a palette or spacing change happens in one place (:root) rather than across every selector. The main risk is the DOM/CSS class contract (Section 5) which is undocumented outside the code comments themselves.</w:t>
            </w:r>
          </w:p>
        </w:tc>
      </w:tr>
      <w:tr w14:paraId="10980175">
        <w:tblPrEx>
          <w:tblBorders>
            <w:top w:val="single" w:color="D9DEE8" w:sz="4" w:space="0"/>
            <w:left w:val="single" w:color="D9DEE8" w:sz="4" w:space="0"/>
            <w:bottom w:val="single" w:color="D9DEE8" w:sz="4" w:space="0"/>
            <w:right w:val="single" w:color="D9DEE8" w:sz="4" w:space="0"/>
            <w:insideH w:val="single" w:color="D9DEE8" w:sz="4" w:space="0"/>
            <w:insideV w:val="single" w:color="D9DEE8" w:sz="4" w:space="0"/>
          </w:tblBorders>
          <w:tblCellMar>
            <w:top w:w="0" w:type="dxa"/>
            <w:left w:w="10" w:type="dxa"/>
            <w:bottom w:w="0" w:type="dxa"/>
            <w:right w:w="10" w:type="dxa"/>
          </w:tblCellMar>
        </w:tblPrEx>
        <w:tc>
          <w:tcPr>
            <w:tcW w:w="2200" w:type="dxa"/>
            <w:tcMar>
              <w:top w:w="80" w:type="dxa"/>
              <w:left w:w="120" w:type="dxa"/>
              <w:bottom w:w="80" w:type="dxa"/>
              <w:right w:w="120" w:type="dxa"/>
            </w:tcMar>
            <w:vAlign w:val="center"/>
          </w:tcPr>
          <w:p w14:paraId="18A08E3B">
            <w:pPr>
              <w:jc w:val="left"/>
            </w:pPr>
            <w:r>
              <w:rPr>
                <w:b w:val="0"/>
                <w:bCs w:val="0"/>
                <w:color w:val="111111"/>
                <w:sz w:val="20"/>
                <w:szCs w:val="20"/>
              </w:rPr>
              <w:t>Readability</w:t>
            </w:r>
          </w:p>
        </w:tc>
        <w:tc>
          <w:tcPr>
            <w:tcW w:w="7160" w:type="dxa"/>
            <w:tcMar>
              <w:top w:w="80" w:type="dxa"/>
              <w:left w:w="120" w:type="dxa"/>
              <w:bottom w:w="80" w:type="dxa"/>
              <w:right w:w="120" w:type="dxa"/>
            </w:tcMar>
            <w:vAlign w:val="center"/>
          </w:tcPr>
          <w:p w14:paraId="39D5D5F1">
            <w:pPr>
              <w:jc w:val="left"/>
            </w:pPr>
            <w:r>
              <w:rPr>
                <w:b w:val="0"/>
                <w:bCs w:val="0"/>
                <w:color w:val="111111"/>
                <w:sz w:val="20"/>
                <w:szCs w:val="20"/>
              </w:rPr>
              <w:t>JavaScript is organized into clearly commented, single-purpose blocks (theme toggle, header state, mobile menu, scrollspy, reveal, form) rather than one monolithic function.</w:t>
            </w:r>
          </w:p>
        </w:tc>
      </w:tr>
      <w:tr w14:paraId="16EB3395">
        <w:tblPrEx>
          <w:tblBorders>
            <w:top w:val="single" w:color="D9DEE8" w:sz="4" w:space="0"/>
            <w:left w:val="single" w:color="D9DEE8" w:sz="4" w:space="0"/>
            <w:bottom w:val="single" w:color="D9DEE8" w:sz="4" w:space="0"/>
            <w:right w:val="single" w:color="D9DEE8" w:sz="4" w:space="0"/>
            <w:insideH w:val="single" w:color="D9DEE8" w:sz="4" w:space="0"/>
            <w:insideV w:val="single" w:color="D9DEE8" w:sz="4" w:space="0"/>
          </w:tblBorders>
          <w:tblCellMar>
            <w:top w:w="0" w:type="dxa"/>
            <w:left w:w="10" w:type="dxa"/>
            <w:bottom w:w="0" w:type="dxa"/>
            <w:right w:w="10" w:type="dxa"/>
          </w:tblCellMar>
        </w:tblPrEx>
        <w:tc>
          <w:tcPr>
            <w:tcW w:w="2200" w:type="dxa"/>
            <w:shd w:val="clear" w:color="auto" w:fill="F6F8FB"/>
            <w:tcMar>
              <w:top w:w="80" w:type="dxa"/>
              <w:left w:w="120" w:type="dxa"/>
              <w:bottom w:w="80" w:type="dxa"/>
              <w:right w:w="120" w:type="dxa"/>
            </w:tcMar>
            <w:vAlign w:val="center"/>
          </w:tcPr>
          <w:p w14:paraId="45F5EF9A">
            <w:pPr>
              <w:jc w:val="left"/>
            </w:pPr>
            <w:r>
              <w:rPr>
                <w:b w:val="0"/>
                <w:bCs w:val="0"/>
                <w:color w:val="111111"/>
                <w:sz w:val="20"/>
                <w:szCs w:val="20"/>
              </w:rPr>
              <w:t>UI consistency</w:t>
            </w:r>
          </w:p>
        </w:tc>
        <w:tc>
          <w:tcPr>
            <w:tcW w:w="7160" w:type="dxa"/>
            <w:shd w:val="clear" w:color="auto" w:fill="F6F8FB"/>
            <w:tcMar>
              <w:top w:w="80" w:type="dxa"/>
              <w:left w:w="120" w:type="dxa"/>
              <w:bottom w:w="80" w:type="dxa"/>
              <w:right w:w="120" w:type="dxa"/>
            </w:tcMar>
            <w:vAlign w:val="center"/>
          </w:tcPr>
          <w:p w14:paraId="72BC85AE">
            <w:pPr>
              <w:jc w:val="left"/>
            </w:pPr>
            <w:r>
              <w:rPr>
                <w:b w:val="0"/>
                <w:bCs w:val="0"/>
                <w:color w:val="111111"/>
                <w:sz w:val="20"/>
                <w:szCs w:val="20"/>
              </w:rPr>
              <w:t>Both tasks reuse the same button, card, chip and section-heading patterns throughout; Task 2's new mockup elements reuse existing color tokens rather than introducing new ones.</w:t>
            </w:r>
          </w:p>
        </w:tc>
      </w:tr>
      <w:tr w14:paraId="1668F5A8">
        <w:tblPrEx>
          <w:tblBorders>
            <w:top w:val="single" w:color="D9DEE8" w:sz="4" w:space="0"/>
            <w:left w:val="single" w:color="D9DEE8" w:sz="4" w:space="0"/>
            <w:bottom w:val="single" w:color="D9DEE8" w:sz="4" w:space="0"/>
            <w:right w:val="single" w:color="D9DEE8" w:sz="4" w:space="0"/>
            <w:insideH w:val="single" w:color="D9DEE8" w:sz="4" w:space="0"/>
            <w:insideV w:val="single" w:color="D9DEE8" w:sz="4" w:space="0"/>
          </w:tblBorders>
          <w:tblCellMar>
            <w:top w:w="0" w:type="dxa"/>
            <w:left w:w="10" w:type="dxa"/>
            <w:bottom w:w="0" w:type="dxa"/>
            <w:right w:w="10" w:type="dxa"/>
          </w:tblCellMar>
        </w:tblPrEx>
        <w:tc>
          <w:tcPr>
            <w:tcW w:w="2200" w:type="dxa"/>
            <w:tcMar>
              <w:top w:w="80" w:type="dxa"/>
              <w:left w:w="120" w:type="dxa"/>
              <w:bottom w:w="80" w:type="dxa"/>
              <w:right w:w="120" w:type="dxa"/>
            </w:tcMar>
            <w:vAlign w:val="center"/>
          </w:tcPr>
          <w:p w14:paraId="7EDC1833">
            <w:pPr>
              <w:jc w:val="left"/>
            </w:pPr>
            <w:r>
              <w:rPr>
                <w:b w:val="0"/>
                <w:bCs w:val="0"/>
                <w:color w:val="111111"/>
                <w:sz w:val="20"/>
                <w:szCs w:val="20"/>
              </w:rPr>
              <w:t>Responsive behaviour</w:t>
            </w:r>
          </w:p>
        </w:tc>
        <w:tc>
          <w:tcPr>
            <w:tcW w:w="7160" w:type="dxa"/>
            <w:tcMar>
              <w:top w:w="80" w:type="dxa"/>
              <w:left w:w="120" w:type="dxa"/>
              <w:bottom w:w="80" w:type="dxa"/>
              <w:right w:w="120" w:type="dxa"/>
            </w:tcMar>
            <w:vAlign w:val="center"/>
          </w:tcPr>
          <w:p w14:paraId="10674372">
            <w:pPr>
              <w:jc w:val="left"/>
            </w:pPr>
            <w:r>
              <w:rPr>
                <w:b w:val="0"/>
                <w:bCs w:val="0"/>
                <w:color w:val="111111"/>
                <w:sz w:val="20"/>
                <w:szCs w:val="20"/>
              </w:rPr>
              <w:t>Verified down to a 390px mobile viewport with no horizontal overflow or overlapping elements in either theme (Section 12).</w:t>
            </w:r>
          </w:p>
        </w:tc>
      </w:tr>
      <w:tr w14:paraId="5AA91E82">
        <w:tblPrEx>
          <w:tblBorders>
            <w:top w:val="single" w:color="D9DEE8" w:sz="4" w:space="0"/>
            <w:left w:val="single" w:color="D9DEE8" w:sz="4" w:space="0"/>
            <w:bottom w:val="single" w:color="D9DEE8" w:sz="4" w:space="0"/>
            <w:right w:val="single" w:color="D9DEE8" w:sz="4" w:space="0"/>
            <w:insideH w:val="single" w:color="D9DEE8" w:sz="4" w:space="0"/>
            <w:insideV w:val="single" w:color="D9DEE8" w:sz="4" w:space="0"/>
          </w:tblBorders>
          <w:tblCellMar>
            <w:top w:w="0" w:type="dxa"/>
            <w:left w:w="10" w:type="dxa"/>
            <w:bottom w:w="0" w:type="dxa"/>
            <w:right w:w="10" w:type="dxa"/>
          </w:tblCellMar>
        </w:tblPrEx>
        <w:tc>
          <w:tcPr>
            <w:tcW w:w="2200" w:type="dxa"/>
            <w:shd w:val="clear" w:color="auto" w:fill="F6F8FB"/>
            <w:tcMar>
              <w:top w:w="80" w:type="dxa"/>
              <w:left w:w="120" w:type="dxa"/>
              <w:bottom w:w="80" w:type="dxa"/>
              <w:right w:w="120" w:type="dxa"/>
            </w:tcMar>
            <w:vAlign w:val="center"/>
          </w:tcPr>
          <w:p w14:paraId="17657C11">
            <w:pPr>
              <w:jc w:val="left"/>
            </w:pPr>
            <w:r>
              <w:rPr>
                <w:b w:val="0"/>
                <w:bCs w:val="0"/>
                <w:color w:val="111111"/>
                <w:sz w:val="20"/>
                <w:szCs w:val="20"/>
              </w:rPr>
              <w:t>User experience</w:t>
            </w:r>
          </w:p>
        </w:tc>
        <w:tc>
          <w:tcPr>
            <w:tcW w:w="7160" w:type="dxa"/>
            <w:shd w:val="clear" w:color="auto" w:fill="F6F8FB"/>
            <w:tcMar>
              <w:top w:w="80" w:type="dxa"/>
              <w:left w:w="120" w:type="dxa"/>
              <w:bottom w:w="80" w:type="dxa"/>
              <w:right w:w="120" w:type="dxa"/>
            </w:tcMar>
            <w:vAlign w:val="center"/>
          </w:tcPr>
          <w:p w14:paraId="57AED958">
            <w:pPr>
              <w:jc w:val="left"/>
            </w:pPr>
            <w:r>
              <w:rPr>
                <w:b w:val="0"/>
                <w:bCs w:val="0"/>
                <w:color w:val="111111"/>
                <w:sz w:val="20"/>
                <w:szCs w:val="20"/>
              </w:rPr>
              <w:t>Inline, field-level form errors; a persistent but unobtrusive theme toggle; a scrollspy that keeps the visitor oriented in a single-page layout; reduced-motion respected for users who request it.</w:t>
            </w:r>
          </w:p>
        </w:tc>
      </w:tr>
      <w:tr w14:paraId="51A75F20">
        <w:tblPrEx>
          <w:tblBorders>
            <w:top w:val="single" w:color="D9DEE8" w:sz="4" w:space="0"/>
            <w:left w:val="single" w:color="D9DEE8" w:sz="4" w:space="0"/>
            <w:bottom w:val="single" w:color="D9DEE8" w:sz="4" w:space="0"/>
            <w:right w:val="single" w:color="D9DEE8" w:sz="4" w:space="0"/>
            <w:insideH w:val="single" w:color="D9DEE8" w:sz="4" w:space="0"/>
            <w:insideV w:val="single" w:color="D9DEE8" w:sz="4" w:space="0"/>
          </w:tblBorders>
          <w:tblCellMar>
            <w:top w:w="0" w:type="dxa"/>
            <w:left w:w="10" w:type="dxa"/>
            <w:bottom w:w="0" w:type="dxa"/>
            <w:right w:w="10" w:type="dxa"/>
          </w:tblCellMar>
        </w:tblPrEx>
        <w:tc>
          <w:tcPr>
            <w:tcW w:w="2200" w:type="dxa"/>
            <w:tcMar>
              <w:top w:w="80" w:type="dxa"/>
              <w:left w:w="120" w:type="dxa"/>
              <w:bottom w:w="80" w:type="dxa"/>
              <w:right w:w="120" w:type="dxa"/>
            </w:tcMar>
            <w:vAlign w:val="center"/>
          </w:tcPr>
          <w:p w14:paraId="021F81EF">
            <w:pPr>
              <w:jc w:val="left"/>
            </w:pPr>
            <w:r>
              <w:rPr>
                <w:b w:val="0"/>
                <w:bCs w:val="0"/>
                <w:color w:val="111111"/>
                <w:sz w:val="20"/>
                <w:szCs w:val="20"/>
              </w:rPr>
              <w:t>File organization</w:t>
            </w:r>
          </w:p>
        </w:tc>
        <w:tc>
          <w:tcPr>
            <w:tcW w:w="7160" w:type="dxa"/>
            <w:tcMar>
              <w:top w:w="80" w:type="dxa"/>
              <w:left w:w="120" w:type="dxa"/>
              <w:bottom w:w="80" w:type="dxa"/>
              <w:right w:w="120" w:type="dxa"/>
            </w:tcMar>
            <w:vAlign w:val="center"/>
          </w:tcPr>
          <w:p w14:paraId="5761F15A">
            <w:pPr>
              <w:jc w:val="left"/>
            </w:pPr>
            <w:r>
              <w:rPr>
                <w:b w:val="0"/>
                <w:bCs w:val="0"/>
                <w:color w:val="111111"/>
                <w:sz w:val="20"/>
                <w:szCs w:val="20"/>
              </w:rPr>
              <w:t>Three top-level, single-responsibility files plus an assets folder; no dead files, no unused/commented-out blocks found in the reviewed source.</w:t>
            </w:r>
          </w:p>
        </w:tc>
      </w:tr>
      <w:tr w14:paraId="7C022733">
        <w:tblPrEx>
          <w:tblBorders>
            <w:top w:val="single" w:color="D9DEE8" w:sz="4" w:space="0"/>
            <w:left w:val="single" w:color="D9DEE8" w:sz="4" w:space="0"/>
            <w:bottom w:val="single" w:color="D9DEE8" w:sz="4" w:space="0"/>
            <w:right w:val="single" w:color="D9DEE8" w:sz="4" w:space="0"/>
            <w:insideH w:val="single" w:color="D9DEE8" w:sz="4" w:space="0"/>
            <w:insideV w:val="single" w:color="D9DEE8" w:sz="4" w:space="0"/>
          </w:tblBorders>
          <w:tblCellMar>
            <w:top w:w="0" w:type="dxa"/>
            <w:left w:w="10" w:type="dxa"/>
            <w:bottom w:w="0" w:type="dxa"/>
            <w:right w:w="10" w:type="dxa"/>
          </w:tblCellMar>
        </w:tblPrEx>
        <w:tc>
          <w:tcPr>
            <w:tcW w:w="2200" w:type="dxa"/>
            <w:shd w:val="clear" w:color="auto" w:fill="F6F8FB"/>
            <w:tcMar>
              <w:top w:w="80" w:type="dxa"/>
              <w:left w:w="120" w:type="dxa"/>
              <w:bottom w:w="80" w:type="dxa"/>
              <w:right w:w="120" w:type="dxa"/>
            </w:tcMar>
            <w:vAlign w:val="center"/>
          </w:tcPr>
          <w:p w14:paraId="17B2A5F7">
            <w:pPr>
              <w:jc w:val="left"/>
            </w:pPr>
            <w:r>
              <w:rPr>
                <w:b w:val="0"/>
                <w:bCs w:val="0"/>
                <w:color w:val="111111"/>
                <w:sz w:val="20"/>
                <w:szCs w:val="20"/>
              </w:rPr>
              <w:t>Performance</w:t>
            </w:r>
          </w:p>
        </w:tc>
        <w:tc>
          <w:tcPr>
            <w:tcW w:w="7160" w:type="dxa"/>
            <w:shd w:val="clear" w:color="auto" w:fill="F6F8FB"/>
            <w:tcMar>
              <w:top w:w="80" w:type="dxa"/>
              <w:left w:w="120" w:type="dxa"/>
              <w:bottom w:w="80" w:type="dxa"/>
              <w:right w:w="120" w:type="dxa"/>
            </w:tcMar>
            <w:vAlign w:val="center"/>
          </w:tcPr>
          <w:p w14:paraId="18513D02">
            <w:pPr>
              <w:jc w:val="left"/>
            </w:pPr>
            <w:r>
              <w:rPr>
                <w:b w:val="0"/>
                <w:bCs w:val="0"/>
                <w:color w:val="111111"/>
                <w:sz w:val="20"/>
                <w:szCs w:val="20"/>
              </w:rPr>
              <w:t>Zero external image requests (SVG/CSS only), a single external font request, and scroll listeners marked passive:true. No lazy-loading or bundling was necessary at this project's scale, and none was claimed.</w:t>
            </w:r>
          </w:p>
        </w:tc>
      </w:tr>
      <w:tr w14:paraId="04E8771D">
        <w:tblPrEx>
          <w:tblBorders>
            <w:top w:val="single" w:color="D9DEE8" w:sz="4" w:space="0"/>
            <w:left w:val="single" w:color="D9DEE8" w:sz="4" w:space="0"/>
            <w:bottom w:val="single" w:color="D9DEE8" w:sz="4" w:space="0"/>
            <w:right w:val="single" w:color="D9DEE8" w:sz="4" w:space="0"/>
            <w:insideH w:val="single" w:color="D9DEE8" w:sz="4" w:space="0"/>
            <w:insideV w:val="single" w:color="D9DEE8" w:sz="4" w:space="0"/>
          </w:tblBorders>
          <w:tblCellMar>
            <w:top w:w="0" w:type="dxa"/>
            <w:left w:w="10" w:type="dxa"/>
            <w:bottom w:w="0" w:type="dxa"/>
            <w:right w:w="10" w:type="dxa"/>
          </w:tblCellMar>
        </w:tblPrEx>
        <w:tc>
          <w:tcPr>
            <w:tcW w:w="2200" w:type="dxa"/>
            <w:tcMar>
              <w:top w:w="80" w:type="dxa"/>
              <w:left w:w="120" w:type="dxa"/>
              <w:bottom w:w="80" w:type="dxa"/>
              <w:right w:w="120" w:type="dxa"/>
            </w:tcMar>
            <w:vAlign w:val="center"/>
          </w:tcPr>
          <w:p w14:paraId="155BF91B">
            <w:pPr>
              <w:jc w:val="left"/>
            </w:pPr>
            <w:r>
              <w:rPr>
                <w:b w:val="0"/>
                <w:bCs w:val="0"/>
                <w:color w:val="111111"/>
                <w:sz w:val="20"/>
                <w:szCs w:val="20"/>
              </w:rPr>
              <w:t>Reliability</w:t>
            </w:r>
          </w:p>
        </w:tc>
        <w:tc>
          <w:tcPr>
            <w:tcW w:w="7160" w:type="dxa"/>
            <w:tcMar>
              <w:top w:w="80" w:type="dxa"/>
              <w:left w:w="120" w:type="dxa"/>
              <w:bottom w:w="80" w:type="dxa"/>
              <w:right w:w="120" w:type="dxa"/>
            </w:tcMar>
            <w:vAlign w:val="center"/>
          </w:tcPr>
          <w:p w14:paraId="26EEC7E8">
            <w:pPr>
              <w:jc w:val="left"/>
            </w:pPr>
            <w:r>
              <w:rPr>
                <w:b w:val="0"/>
                <w:bCs w:val="0"/>
                <w:color w:val="111111"/>
                <w:sz w:val="20"/>
                <w:szCs w:val="20"/>
              </w:rPr>
              <w:t>Defensive coding around optional browser features (localStorage, IntersectionObserver) prevents hard failures on older or restricted browsers; the site degrades to a fully readable, functional page without JavaScript for the FAQ (native &lt;details&gt;) and content sections.</w:t>
            </w:r>
          </w:p>
        </w:tc>
      </w:tr>
      <w:tr w14:paraId="6140419C">
        <w:tblPrEx>
          <w:tblBorders>
            <w:top w:val="single" w:color="D9DEE8" w:sz="4" w:space="0"/>
            <w:left w:val="single" w:color="D9DEE8" w:sz="4" w:space="0"/>
            <w:bottom w:val="single" w:color="D9DEE8" w:sz="4" w:space="0"/>
            <w:right w:val="single" w:color="D9DEE8" w:sz="4" w:space="0"/>
            <w:insideH w:val="single" w:color="D9DEE8" w:sz="4" w:space="0"/>
            <w:insideV w:val="single" w:color="D9DEE8" w:sz="4" w:space="0"/>
          </w:tblBorders>
          <w:tblCellMar>
            <w:top w:w="0" w:type="dxa"/>
            <w:left w:w="10" w:type="dxa"/>
            <w:bottom w:w="0" w:type="dxa"/>
            <w:right w:w="10" w:type="dxa"/>
          </w:tblCellMar>
        </w:tblPrEx>
        <w:tc>
          <w:tcPr>
            <w:tcW w:w="2200" w:type="dxa"/>
            <w:shd w:val="clear" w:color="auto" w:fill="F6F8FB"/>
            <w:tcMar>
              <w:top w:w="80" w:type="dxa"/>
              <w:left w:w="120" w:type="dxa"/>
              <w:bottom w:w="80" w:type="dxa"/>
              <w:right w:w="120" w:type="dxa"/>
            </w:tcMar>
            <w:vAlign w:val="center"/>
          </w:tcPr>
          <w:p w14:paraId="7E6A8577">
            <w:pPr>
              <w:jc w:val="left"/>
            </w:pPr>
            <w:r>
              <w:rPr>
                <w:b w:val="0"/>
                <w:bCs w:val="0"/>
                <w:color w:val="111111"/>
                <w:sz w:val="20"/>
                <w:szCs w:val="20"/>
              </w:rPr>
              <w:t>Professional presentation</w:t>
            </w:r>
          </w:p>
        </w:tc>
        <w:tc>
          <w:tcPr>
            <w:tcW w:w="7160" w:type="dxa"/>
            <w:shd w:val="clear" w:color="auto" w:fill="F6F8FB"/>
            <w:tcMar>
              <w:top w:w="80" w:type="dxa"/>
              <w:left w:w="120" w:type="dxa"/>
              <w:bottom w:w="80" w:type="dxa"/>
              <w:right w:w="120" w:type="dxa"/>
            </w:tcMar>
            <w:vAlign w:val="center"/>
          </w:tcPr>
          <w:p w14:paraId="6EAF946A">
            <w:pPr>
              <w:jc w:val="left"/>
            </w:pPr>
            <w:r>
              <w:rPr>
                <w:b w:val="0"/>
                <w:bCs w:val="0"/>
                <w:color w:val="111111"/>
                <w:sz w:val="20"/>
                <w:szCs w:val="20"/>
              </w:rPr>
              <w:t>Consistent typography scale, deliberate light/dark contact section, and (Task 2) a footer disclosure separated from the copyright line for clearer, more professional wording.</w:t>
            </w:r>
          </w:p>
        </w:tc>
      </w:tr>
    </w:tbl>
    <w:p w14:paraId="5DA65DC7">
      <w:pPr>
        <w:pStyle w:val="2"/>
        <w:pageBreakBefore/>
        <w:spacing w:before="360" w:after="160"/>
      </w:pPr>
      <w:r>
        <w:t>11. Creativity &amp; Innovation</w:t>
      </w:r>
    </w:p>
    <w:p w14:paraId="712D33C3">
      <w:pPr>
        <w:pStyle w:val="4"/>
        <w:spacing w:before="160" w:after="80"/>
      </w:pPr>
      <w:r>
        <w:t>The theme-aware, image-free mockup system</w:t>
      </w:r>
    </w:p>
    <w:p w14:paraId="6A717A1C">
      <w:pPr>
        <w:spacing w:after="140"/>
        <w:jc w:val="both"/>
      </w:pPr>
      <w:r>
        <w:t>Rather than using stock photography or screenshots for the About and Case Study illustrations, both are constructed entirely from SVG primitives and CSS gradients bound to the site's own design tokens. This is a genuine technical choice, not decoration: it means the illustrations automatically match whichever theme (light/dark) and brand palette the rest of the page is using, load with zero additional HTTP requests, and scale losslessly at any size — a property a raster screenshot cannot offer.</w:t>
      </w:r>
    </w:p>
    <w:p w14:paraId="3B406143">
      <w:pPr>
        <w:pStyle w:val="4"/>
        <w:spacing w:before="160" w:after="80"/>
      </w:pPr>
      <w:r>
        <w:t>The dark "conversion panel" pattern</w:t>
      </w:r>
    </w:p>
    <w:p w14:paraId="511DC9F5">
      <w:pPr>
        <w:spacing w:after="140"/>
        <w:jc w:val="both"/>
      </w:pPr>
      <w:r>
        <w:t>Switching the Contact section (and only that section) to a dark background is a deliberate signal, not a default: it visually separates the point where the visitor is asked to act from the informational content above it. Combined with the header's on-dark class swap, the whole transition is handled by two coordinated but independently simple mechanisms (a CSS variable block + one IntersectionObserver) rather than a single complex component.</w:t>
      </w:r>
    </w:p>
    <w:p w14:paraId="323EBE93">
      <w:pPr>
        <w:pStyle w:val="4"/>
        <w:spacing w:before="160" w:after="80"/>
      </w:pPr>
      <w:r>
        <w:t>Honeypot spam defense scoped to the project's real constraints</w:t>
      </w:r>
    </w:p>
    <w:p w14:paraId="360813D8">
      <w:pPr>
        <w:spacing w:after="140"/>
        <w:jc w:val="both"/>
      </w:pPr>
      <w:r>
        <w:t>Rather than reaching for a third-party CAPTCHA service (which would require an API key and a backend this static project does not have), the spam mitigation was scoped to what a client-only form can actually support. This is a realistic engineering trade-off rather than an attempt to oversell the form's security — and it is documented as such.</w:t>
      </w:r>
    </w:p>
    <w:p w14:paraId="53D6B387">
      <w:pPr>
        <w:pStyle w:val="2"/>
        <w:pageBreakBefore/>
        <w:spacing w:before="360" w:after="160"/>
      </w:pPr>
      <w:r>
        <w:t>12. Testing &amp; Quality Assurance</w:t>
      </w:r>
    </w:p>
    <w:p w14:paraId="25A65162">
      <w:pPr>
        <w:spacing w:after="140"/>
        <w:jc w:val="both"/>
      </w:pPr>
      <w:r>
        <w:t>Testing was performed by (a) tracing the validation and event-handling logic directly in source, and (b) rendering both tasks in a headless Chromium browser (Playwright) at desktop (1400×1000) and mobile (390×900) viewports, in both light and dark themes, to visually confirm layout integrity — particularly for the Task 2 mockup redesign.</w:t>
      </w:r>
    </w:p>
    <w:tbl>
      <w:tblPr>
        <w:tblStyle w:val="9"/>
        <w:tblW w:w="9360" w:type="dxa"/>
        <w:tblInd w:w="0" w:type="dxa"/>
        <w:tblBorders>
          <w:top w:val="single" w:color="D9DEE8" w:sz="4" w:space="0"/>
          <w:left w:val="single" w:color="D9DEE8" w:sz="4" w:space="0"/>
          <w:bottom w:val="single" w:color="D9DEE8" w:sz="4" w:space="0"/>
          <w:right w:val="single" w:color="D9DEE8" w:sz="4" w:space="0"/>
          <w:insideH w:val="single" w:color="D9DEE8" w:sz="4" w:space="0"/>
          <w:insideV w:val="single" w:color="D9DEE8" w:sz="4" w:space="0"/>
        </w:tblBorders>
        <w:tblLayout w:type="autofit"/>
        <w:tblCellMar>
          <w:top w:w="0" w:type="dxa"/>
          <w:left w:w="10" w:type="dxa"/>
          <w:bottom w:w="0" w:type="dxa"/>
          <w:right w:w="10" w:type="dxa"/>
        </w:tblCellMar>
      </w:tblPr>
      <w:tblGrid>
        <w:gridCol w:w="2500"/>
        <w:gridCol w:w="2500"/>
        <w:gridCol w:w="2900"/>
        <w:gridCol w:w="1460"/>
      </w:tblGrid>
      <w:tr w14:paraId="108CE581">
        <w:tblPrEx>
          <w:tblBorders>
            <w:top w:val="single" w:color="D9DEE8" w:sz="4" w:space="0"/>
            <w:left w:val="single" w:color="D9DEE8" w:sz="4" w:space="0"/>
            <w:bottom w:val="single" w:color="D9DEE8" w:sz="4" w:space="0"/>
            <w:right w:val="single" w:color="D9DEE8" w:sz="4" w:space="0"/>
            <w:insideH w:val="single" w:color="D9DEE8" w:sz="4" w:space="0"/>
            <w:insideV w:val="single" w:color="D9DEE8" w:sz="4" w:space="0"/>
          </w:tblBorders>
          <w:tblCellMar>
            <w:top w:w="0" w:type="dxa"/>
            <w:left w:w="10" w:type="dxa"/>
            <w:bottom w:w="0" w:type="dxa"/>
            <w:right w:w="10" w:type="dxa"/>
          </w:tblCellMar>
        </w:tblPrEx>
        <w:trPr>
          <w:tblHeader/>
        </w:trPr>
        <w:tc>
          <w:tcPr>
            <w:tcW w:w="2500" w:type="dxa"/>
            <w:shd w:val="clear" w:color="auto" w:fill="1F3A5F"/>
            <w:tcMar>
              <w:top w:w="80" w:type="dxa"/>
              <w:left w:w="120" w:type="dxa"/>
              <w:bottom w:w="80" w:type="dxa"/>
              <w:right w:w="120" w:type="dxa"/>
            </w:tcMar>
            <w:vAlign w:val="center"/>
          </w:tcPr>
          <w:p w14:paraId="70A92938">
            <w:pPr>
              <w:jc w:val="left"/>
            </w:pPr>
            <w:r>
              <w:rPr>
                <w:b/>
                <w:bCs/>
                <w:color w:val="FFFFFF"/>
                <w:sz w:val="20"/>
                <w:szCs w:val="20"/>
              </w:rPr>
              <w:t>Test Case</w:t>
            </w:r>
          </w:p>
        </w:tc>
        <w:tc>
          <w:tcPr>
            <w:tcW w:w="2500" w:type="dxa"/>
            <w:shd w:val="clear" w:color="auto" w:fill="1F3A5F"/>
            <w:tcMar>
              <w:top w:w="80" w:type="dxa"/>
              <w:left w:w="120" w:type="dxa"/>
              <w:bottom w:w="80" w:type="dxa"/>
              <w:right w:w="120" w:type="dxa"/>
            </w:tcMar>
            <w:vAlign w:val="center"/>
          </w:tcPr>
          <w:p w14:paraId="1F97F217">
            <w:pPr>
              <w:jc w:val="left"/>
            </w:pPr>
            <w:r>
              <w:rPr>
                <w:b/>
                <w:bCs/>
                <w:color w:val="FFFFFF"/>
                <w:sz w:val="20"/>
                <w:szCs w:val="20"/>
              </w:rPr>
              <w:t>Expected Result</w:t>
            </w:r>
          </w:p>
        </w:tc>
        <w:tc>
          <w:tcPr>
            <w:tcW w:w="2900" w:type="dxa"/>
            <w:shd w:val="clear" w:color="auto" w:fill="1F3A5F"/>
            <w:tcMar>
              <w:top w:w="80" w:type="dxa"/>
              <w:left w:w="120" w:type="dxa"/>
              <w:bottom w:w="80" w:type="dxa"/>
              <w:right w:w="120" w:type="dxa"/>
            </w:tcMar>
            <w:vAlign w:val="center"/>
          </w:tcPr>
          <w:p w14:paraId="2AB8F592">
            <w:pPr>
              <w:jc w:val="left"/>
            </w:pPr>
            <w:r>
              <w:rPr>
                <w:b/>
                <w:bCs/>
                <w:color w:val="FFFFFF"/>
                <w:sz w:val="20"/>
                <w:szCs w:val="20"/>
              </w:rPr>
              <w:t>Actual Result</w:t>
            </w:r>
          </w:p>
        </w:tc>
        <w:tc>
          <w:tcPr>
            <w:tcW w:w="1460" w:type="dxa"/>
            <w:shd w:val="clear" w:color="auto" w:fill="1F3A5F"/>
            <w:tcMar>
              <w:top w:w="80" w:type="dxa"/>
              <w:left w:w="120" w:type="dxa"/>
              <w:bottom w:w="80" w:type="dxa"/>
              <w:right w:w="120" w:type="dxa"/>
            </w:tcMar>
            <w:vAlign w:val="center"/>
          </w:tcPr>
          <w:p w14:paraId="5C054611">
            <w:pPr>
              <w:jc w:val="left"/>
            </w:pPr>
            <w:r>
              <w:rPr>
                <w:b/>
                <w:bCs/>
                <w:color w:val="FFFFFF"/>
                <w:sz w:val="20"/>
                <w:szCs w:val="20"/>
              </w:rPr>
              <w:t>Status</w:t>
            </w:r>
          </w:p>
        </w:tc>
      </w:tr>
      <w:tr w14:paraId="562B191C">
        <w:tblPrEx>
          <w:tblBorders>
            <w:top w:val="single" w:color="D9DEE8" w:sz="4" w:space="0"/>
            <w:left w:val="single" w:color="D9DEE8" w:sz="4" w:space="0"/>
            <w:bottom w:val="single" w:color="D9DEE8" w:sz="4" w:space="0"/>
            <w:right w:val="single" w:color="D9DEE8" w:sz="4" w:space="0"/>
            <w:insideH w:val="single" w:color="D9DEE8" w:sz="4" w:space="0"/>
            <w:insideV w:val="single" w:color="D9DEE8" w:sz="4" w:space="0"/>
          </w:tblBorders>
          <w:tblCellMar>
            <w:top w:w="0" w:type="dxa"/>
            <w:left w:w="10" w:type="dxa"/>
            <w:bottom w:w="0" w:type="dxa"/>
            <w:right w:w="10" w:type="dxa"/>
          </w:tblCellMar>
        </w:tblPrEx>
        <w:tc>
          <w:tcPr>
            <w:tcW w:w="2500" w:type="dxa"/>
            <w:tcMar>
              <w:top w:w="80" w:type="dxa"/>
              <w:left w:w="120" w:type="dxa"/>
              <w:bottom w:w="80" w:type="dxa"/>
              <w:right w:w="120" w:type="dxa"/>
            </w:tcMar>
            <w:vAlign w:val="center"/>
          </w:tcPr>
          <w:p w14:paraId="60A8B87E">
            <w:pPr>
              <w:jc w:val="left"/>
            </w:pPr>
            <w:r>
              <w:rPr>
                <w:b w:val="0"/>
                <w:bCs w:val="0"/>
                <w:color w:val="111111"/>
                <w:sz w:val="20"/>
                <w:szCs w:val="20"/>
              </w:rPr>
              <w:t>Submit contact form empty</w:t>
            </w:r>
          </w:p>
        </w:tc>
        <w:tc>
          <w:tcPr>
            <w:tcW w:w="2500" w:type="dxa"/>
            <w:tcMar>
              <w:top w:w="80" w:type="dxa"/>
              <w:left w:w="120" w:type="dxa"/>
              <w:bottom w:w="80" w:type="dxa"/>
              <w:right w:w="120" w:type="dxa"/>
            </w:tcMar>
            <w:vAlign w:val="center"/>
          </w:tcPr>
          <w:p w14:paraId="6C49F685">
            <w:pPr>
              <w:jc w:val="left"/>
            </w:pPr>
            <w:r>
              <w:rPr>
                <w:b w:val="0"/>
                <w:bCs w:val="0"/>
                <w:color w:val="111111"/>
                <w:sz w:val="20"/>
                <w:szCs w:val="20"/>
              </w:rPr>
              <w:t>Inline errors shown for name, email, message; no success message</w:t>
            </w:r>
          </w:p>
        </w:tc>
        <w:tc>
          <w:tcPr>
            <w:tcW w:w="2900" w:type="dxa"/>
            <w:tcMar>
              <w:top w:w="80" w:type="dxa"/>
              <w:left w:w="120" w:type="dxa"/>
              <w:bottom w:w="80" w:type="dxa"/>
              <w:right w:w="120" w:type="dxa"/>
            </w:tcMar>
            <w:vAlign w:val="center"/>
          </w:tcPr>
          <w:p w14:paraId="57F8EA1F">
            <w:pPr>
              <w:jc w:val="left"/>
            </w:pPr>
            <w:r>
              <w:rPr>
                <w:b w:val="0"/>
                <w:bCs w:val="0"/>
                <w:color w:val="111111"/>
                <w:sz w:val="20"/>
                <w:szCs w:val="20"/>
              </w:rPr>
              <w:t>All three fields show inline errors; form does not reset</w:t>
            </w:r>
          </w:p>
        </w:tc>
        <w:tc>
          <w:tcPr>
            <w:tcW w:w="1460" w:type="dxa"/>
            <w:tcMar>
              <w:top w:w="80" w:type="dxa"/>
              <w:left w:w="120" w:type="dxa"/>
              <w:bottom w:w="80" w:type="dxa"/>
              <w:right w:w="120" w:type="dxa"/>
            </w:tcMar>
            <w:vAlign w:val="center"/>
          </w:tcPr>
          <w:p w14:paraId="1DDDDE25">
            <w:pPr>
              <w:jc w:val="left"/>
            </w:pPr>
            <w:r>
              <w:rPr>
                <w:b w:val="0"/>
                <w:bCs w:val="0"/>
                <w:color w:val="111111"/>
                <w:sz w:val="20"/>
                <w:szCs w:val="20"/>
              </w:rPr>
              <w:t>Pass</w:t>
            </w:r>
          </w:p>
        </w:tc>
      </w:tr>
      <w:tr w14:paraId="235217CB">
        <w:tblPrEx>
          <w:tblBorders>
            <w:top w:val="single" w:color="D9DEE8" w:sz="4" w:space="0"/>
            <w:left w:val="single" w:color="D9DEE8" w:sz="4" w:space="0"/>
            <w:bottom w:val="single" w:color="D9DEE8" w:sz="4" w:space="0"/>
            <w:right w:val="single" w:color="D9DEE8" w:sz="4" w:space="0"/>
            <w:insideH w:val="single" w:color="D9DEE8" w:sz="4" w:space="0"/>
            <w:insideV w:val="single" w:color="D9DEE8" w:sz="4" w:space="0"/>
          </w:tblBorders>
          <w:tblCellMar>
            <w:top w:w="0" w:type="dxa"/>
            <w:left w:w="10" w:type="dxa"/>
            <w:bottom w:w="0" w:type="dxa"/>
            <w:right w:w="10" w:type="dxa"/>
          </w:tblCellMar>
        </w:tblPrEx>
        <w:tc>
          <w:tcPr>
            <w:tcW w:w="2500" w:type="dxa"/>
            <w:shd w:val="clear" w:color="auto" w:fill="F6F8FB"/>
            <w:tcMar>
              <w:top w:w="80" w:type="dxa"/>
              <w:left w:w="120" w:type="dxa"/>
              <w:bottom w:w="80" w:type="dxa"/>
              <w:right w:w="120" w:type="dxa"/>
            </w:tcMar>
            <w:vAlign w:val="center"/>
          </w:tcPr>
          <w:p w14:paraId="08834BC2">
            <w:pPr>
              <w:jc w:val="left"/>
            </w:pPr>
            <w:r>
              <w:rPr>
                <w:b w:val="0"/>
                <w:bCs w:val="0"/>
                <w:color w:val="111111"/>
                <w:sz w:val="20"/>
                <w:szCs w:val="20"/>
              </w:rPr>
              <w:t>Submit contact form with invalid email</w:t>
            </w:r>
          </w:p>
        </w:tc>
        <w:tc>
          <w:tcPr>
            <w:tcW w:w="2500" w:type="dxa"/>
            <w:shd w:val="clear" w:color="auto" w:fill="F6F8FB"/>
            <w:tcMar>
              <w:top w:w="80" w:type="dxa"/>
              <w:left w:w="120" w:type="dxa"/>
              <w:bottom w:w="80" w:type="dxa"/>
              <w:right w:w="120" w:type="dxa"/>
            </w:tcMar>
            <w:vAlign w:val="center"/>
          </w:tcPr>
          <w:p w14:paraId="64CB23F3">
            <w:pPr>
              <w:jc w:val="left"/>
            </w:pPr>
            <w:r>
              <w:rPr>
                <w:b w:val="0"/>
                <w:bCs w:val="0"/>
                <w:color w:val="111111"/>
                <w:sz w:val="20"/>
                <w:szCs w:val="20"/>
              </w:rPr>
              <w:t>Email field shows format error; other valid fields show no error</w:t>
            </w:r>
          </w:p>
        </w:tc>
        <w:tc>
          <w:tcPr>
            <w:tcW w:w="2900" w:type="dxa"/>
            <w:shd w:val="clear" w:color="auto" w:fill="F6F8FB"/>
            <w:tcMar>
              <w:top w:w="80" w:type="dxa"/>
              <w:left w:w="120" w:type="dxa"/>
              <w:bottom w:w="80" w:type="dxa"/>
              <w:right w:w="120" w:type="dxa"/>
            </w:tcMar>
            <w:vAlign w:val="center"/>
          </w:tcPr>
          <w:p w14:paraId="6FD5B316">
            <w:pPr>
              <w:jc w:val="left"/>
            </w:pPr>
            <w:r>
              <w:rPr>
                <w:b w:val="0"/>
                <w:bCs w:val="0"/>
                <w:color w:val="111111"/>
                <w:sz w:val="20"/>
                <w:szCs w:val="20"/>
              </w:rPr>
              <w:t>"Please enter a valid email address." shown only under email</w:t>
            </w:r>
          </w:p>
        </w:tc>
        <w:tc>
          <w:tcPr>
            <w:tcW w:w="1460" w:type="dxa"/>
            <w:shd w:val="clear" w:color="auto" w:fill="F6F8FB"/>
            <w:tcMar>
              <w:top w:w="80" w:type="dxa"/>
              <w:left w:w="120" w:type="dxa"/>
              <w:bottom w:w="80" w:type="dxa"/>
              <w:right w:w="120" w:type="dxa"/>
            </w:tcMar>
            <w:vAlign w:val="center"/>
          </w:tcPr>
          <w:p w14:paraId="596DC86B">
            <w:pPr>
              <w:jc w:val="left"/>
            </w:pPr>
            <w:r>
              <w:rPr>
                <w:b w:val="0"/>
                <w:bCs w:val="0"/>
                <w:color w:val="111111"/>
                <w:sz w:val="20"/>
                <w:szCs w:val="20"/>
              </w:rPr>
              <w:t>Pass</w:t>
            </w:r>
          </w:p>
        </w:tc>
      </w:tr>
      <w:tr w14:paraId="2987A3AF">
        <w:tblPrEx>
          <w:tblBorders>
            <w:top w:val="single" w:color="D9DEE8" w:sz="4" w:space="0"/>
            <w:left w:val="single" w:color="D9DEE8" w:sz="4" w:space="0"/>
            <w:bottom w:val="single" w:color="D9DEE8" w:sz="4" w:space="0"/>
            <w:right w:val="single" w:color="D9DEE8" w:sz="4" w:space="0"/>
            <w:insideH w:val="single" w:color="D9DEE8" w:sz="4" w:space="0"/>
            <w:insideV w:val="single" w:color="D9DEE8" w:sz="4" w:space="0"/>
          </w:tblBorders>
          <w:tblCellMar>
            <w:top w:w="0" w:type="dxa"/>
            <w:left w:w="10" w:type="dxa"/>
            <w:bottom w:w="0" w:type="dxa"/>
            <w:right w:w="10" w:type="dxa"/>
          </w:tblCellMar>
        </w:tblPrEx>
        <w:tc>
          <w:tcPr>
            <w:tcW w:w="2500" w:type="dxa"/>
            <w:tcMar>
              <w:top w:w="80" w:type="dxa"/>
              <w:left w:w="120" w:type="dxa"/>
              <w:bottom w:w="80" w:type="dxa"/>
              <w:right w:w="120" w:type="dxa"/>
            </w:tcMar>
            <w:vAlign w:val="center"/>
          </w:tcPr>
          <w:p w14:paraId="52C459D6">
            <w:pPr>
              <w:jc w:val="left"/>
            </w:pPr>
            <w:r>
              <w:rPr>
                <w:b w:val="0"/>
                <w:bCs w:val="0"/>
                <w:color w:val="111111"/>
                <w:sz w:val="20"/>
                <w:szCs w:val="20"/>
              </w:rPr>
              <w:t>Submit contact form with valid data</w:t>
            </w:r>
          </w:p>
        </w:tc>
        <w:tc>
          <w:tcPr>
            <w:tcW w:w="2500" w:type="dxa"/>
            <w:tcMar>
              <w:top w:w="80" w:type="dxa"/>
              <w:left w:w="120" w:type="dxa"/>
              <w:bottom w:w="80" w:type="dxa"/>
              <w:right w:w="120" w:type="dxa"/>
            </w:tcMar>
            <w:vAlign w:val="center"/>
          </w:tcPr>
          <w:p w14:paraId="70B9912A">
            <w:pPr>
              <w:jc w:val="left"/>
            </w:pPr>
            <w:r>
              <w:rPr>
                <w:b w:val="0"/>
                <w:bCs w:val="0"/>
                <w:color w:val="111111"/>
                <w:sz w:val="20"/>
                <w:szCs w:val="20"/>
              </w:rPr>
              <w:t>Success message shown; form resets</w:t>
            </w:r>
          </w:p>
        </w:tc>
        <w:tc>
          <w:tcPr>
            <w:tcW w:w="2900" w:type="dxa"/>
            <w:tcMar>
              <w:top w:w="80" w:type="dxa"/>
              <w:left w:w="120" w:type="dxa"/>
              <w:bottom w:w="80" w:type="dxa"/>
              <w:right w:w="120" w:type="dxa"/>
            </w:tcMar>
            <w:vAlign w:val="center"/>
          </w:tcPr>
          <w:p w14:paraId="7F4C1AEA">
            <w:pPr>
              <w:jc w:val="left"/>
            </w:pPr>
            <w:r>
              <w:rPr>
                <w:b w:val="0"/>
                <w:bCs w:val="0"/>
                <w:color w:val="111111"/>
                <w:sz w:val="20"/>
                <w:szCs w:val="20"/>
              </w:rPr>
              <w:t>Personalized success message rendered; all fields cleared</w:t>
            </w:r>
          </w:p>
        </w:tc>
        <w:tc>
          <w:tcPr>
            <w:tcW w:w="1460" w:type="dxa"/>
            <w:tcMar>
              <w:top w:w="80" w:type="dxa"/>
              <w:left w:w="120" w:type="dxa"/>
              <w:bottom w:w="80" w:type="dxa"/>
              <w:right w:w="120" w:type="dxa"/>
            </w:tcMar>
            <w:vAlign w:val="center"/>
          </w:tcPr>
          <w:p w14:paraId="47071A9C">
            <w:pPr>
              <w:jc w:val="left"/>
            </w:pPr>
            <w:r>
              <w:rPr>
                <w:b w:val="0"/>
                <w:bCs w:val="0"/>
                <w:color w:val="111111"/>
                <w:sz w:val="20"/>
                <w:szCs w:val="20"/>
              </w:rPr>
              <w:t>Pass</w:t>
            </w:r>
          </w:p>
        </w:tc>
      </w:tr>
      <w:tr w14:paraId="6AF8221C">
        <w:tblPrEx>
          <w:tblBorders>
            <w:top w:val="single" w:color="D9DEE8" w:sz="4" w:space="0"/>
            <w:left w:val="single" w:color="D9DEE8" w:sz="4" w:space="0"/>
            <w:bottom w:val="single" w:color="D9DEE8" w:sz="4" w:space="0"/>
            <w:right w:val="single" w:color="D9DEE8" w:sz="4" w:space="0"/>
            <w:insideH w:val="single" w:color="D9DEE8" w:sz="4" w:space="0"/>
            <w:insideV w:val="single" w:color="D9DEE8" w:sz="4" w:space="0"/>
          </w:tblBorders>
          <w:tblCellMar>
            <w:top w:w="0" w:type="dxa"/>
            <w:left w:w="10" w:type="dxa"/>
            <w:bottom w:w="0" w:type="dxa"/>
            <w:right w:w="10" w:type="dxa"/>
          </w:tblCellMar>
        </w:tblPrEx>
        <w:tc>
          <w:tcPr>
            <w:tcW w:w="2500" w:type="dxa"/>
            <w:shd w:val="clear" w:color="auto" w:fill="F6F8FB"/>
            <w:tcMar>
              <w:top w:w="80" w:type="dxa"/>
              <w:left w:w="120" w:type="dxa"/>
              <w:bottom w:w="80" w:type="dxa"/>
              <w:right w:w="120" w:type="dxa"/>
            </w:tcMar>
            <w:vAlign w:val="center"/>
          </w:tcPr>
          <w:p w14:paraId="2D144562">
            <w:pPr>
              <w:jc w:val="left"/>
            </w:pPr>
            <w:r>
              <w:rPr>
                <w:b w:val="0"/>
                <w:bCs w:val="0"/>
                <w:color w:val="111111"/>
                <w:sz w:val="20"/>
                <w:szCs w:val="20"/>
              </w:rPr>
              <w:t>Toggle theme, reload page</w:t>
            </w:r>
          </w:p>
        </w:tc>
        <w:tc>
          <w:tcPr>
            <w:tcW w:w="2500" w:type="dxa"/>
            <w:shd w:val="clear" w:color="auto" w:fill="F6F8FB"/>
            <w:tcMar>
              <w:top w:w="80" w:type="dxa"/>
              <w:left w:w="120" w:type="dxa"/>
              <w:bottom w:w="80" w:type="dxa"/>
              <w:right w:w="120" w:type="dxa"/>
            </w:tcMar>
            <w:vAlign w:val="center"/>
          </w:tcPr>
          <w:p w14:paraId="60B36399">
            <w:pPr>
              <w:jc w:val="left"/>
            </w:pPr>
            <w:r>
              <w:rPr>
                <w:b w:val="0"/>
                <w:bCs w:val="0"/>
                <w:color w:val="111111"/>
                <w:sz w:val="20"/>
                <w:szCs w:val="20"/>
              </w:rPr>
              <w:t>Theme choice persists across reload</w:t>
            </w:r>
          </w:p>
        </w:tc>
        <w:tc>
          <w:tcPr>
            <w:tcW w:w="2900" w:type="dxa"/>
            <w:shd w:val="clear" w:color="auto" w:fill="F6F8FB"/>
            <w:tcMar>
              <w:top w:w="80" w:type="dxa"/>
              <w:left w:w="120" w:type="dxa"/>
              <w:bottom w:w="80" w:type="dxa"/>
              <w:right w:w="120" w:type="dxa"/>
            </w:tcMar>
            <w:vAlign w:val="center"/>
          </w:tcPr>
          <w:p w14:paraId="743FEE70">
            <w:pPr>
              <w:jc w:val="left"/>
            </w:pPr>
            <w:r>
              <w:rPr>
                <w:b w:val="0"/>
                <w:bCs w:val="0"/>
                <w:color w:val="111111"/>
                <w:sz w:val="20"/>
                <w:szCs w:val="20"/>
              </w:rPr>
              <w:t>data-theme restored from localStorage before first paint</w:t>
            </w:r>
          </w:p>
        </w:tc>
        <w:tc>
          <w:tcPr>
            <w:tcW w:w="1460" w:type="dxa"/>
            <w:shd w:val="clear" w:color="auto" w:fill="F6F8FB"/>
            <w:tcMar>
              <w:top w:w="80" w:type="dxa"/>
              <w:left w:w="120" w:type="dxa"/>
              <w:bottom w:w="80" w:type="dxa"/>
              <w:right w:w="120" w:type="dxa"/>
            </w:tcMar>
            <w:vAlign w:val="center"/>
          </w:tcPr>
          <w:p w14:paraId="02795053">
            <w:pPr>
              <w:jc w:val="left"/>
            </w:pPr>
            <w:r>
              <w:rPr>
                <w:b w:val="0"/>
                <w:bCs w:val="0"/>
                <w:color w:val="111111"/>
                <w:sz w:val="20"/>
                <w:szCs w:val="20"/>
              </w:rPr>
              <w:t>Pass</w:t>
            </w:r>
          </w:p>
        </w:tc>
      </w:tr>
      <w:tr w14:paraId="07360633">
        <w:tblPrEx>
          <w:tblBorders>
            <w:top w:val="single" w:color="D9DEE8" w:sz="4" w:space="0"/>
            <w:left w:val="single" w:color="D9DEE8" w:sz="4" w:space="0"/>
            <w:bottom w:val="single" w:color="D9DEE8" w:sz="4" w:space="0"/>
            <w:right w:val="single" w:color="D9DEE8" w:sz="4" w:space="0"/>
            <w:insideH w:val="single" w:color="D9DEE8" w:sz="4" w:space="0"/>
            <w:insideV w:val="single" w:color="D9DEE8" w:sz="4" w:space="0"/>
          </w:tblBorders>
          <w:tblCellMar>
            <w:top w:w="0" w:type="dxa"/>
            <w:left w:w="10" w:type="dxa"/>
            <w:bottom w:w="0" w:type="dxa"/>
            <w:right w:w="10" w:type="dxa"/>
          </w:tblCellMar>
        </w:tblPrEx>
        <w:tc>
          <w:tcPr>
            <w:tcW w:w="2500" w:type="dxa"/>
            <w:tcMar>
              <w:top w:w="80" w:type="dxa"/>
              <w:left w:w="120" w:type="dxa"/>
              <w:bottom w:w="80" w:type="dxa"/>
              <w:right w:w="120" w:type="dxa"/>
            </w:tcMar>
            <w:vAlign w:val="center"/>
          </w:tcPr>
          <w:p w14:paraId="4B311B4B">
            <w:pPr>
              <w:jc w:val="left"/>
            </w:pPr>
            <w:r>
              <w:rPr>
                <w:b w:val="0"/>
                <w:bCs w:val="0"/>
                <w:color w:val="111111"/>
                <w:sz w:val="20"/>
                <w:szCs w:val="20"/>
              </w:rPr>
              <w:t>Open/close mobile menu</w:t>
            </w:r>
          </w:p>
        </w:tc>
        <w:tc>
          <w:tcPr>
            <w:tcW w:w="2500" w:type="dxa"/>
            <w:tcMar>
              <w:top w:w="80" w:type="dxa"/>
              <w:left w:w="120" w:type="dxa"/>
              <w:bottom w:w="80" w:type="dxa"/>
              <w:right w:w="120" w:type="dxa"/>
            </w:tcMar>
            <w:vAlign w:val="center"/>
          </w:tcPr>
          <w:p w14:paraId="3BAF96A8">
            <w:pPr>
              <w:jc w:val="left"/>
            </w:pPr>
            <w:r>
              <w:rPr>
                <w:b w:val="0"/>
                <w:bCs w:val="0"/>
                <w:color w:val="111111"/>
                <w:sz w:val="20"/>
                <w:szCs w:val="20"/>
              </w:rPr>
              <w:t>Menu opens on tap, closes on link tap or repeat toggle</w:t>
            </w:r>
          </w:p>
        </w:tc>
        <w:tc>
          <w:tcPr>
            <w:tcW w:w="2900" w:type="dxa"/>
            <w:tcMar>
              <w:top w:w="80" w:type="dxa"/>
              <w:left w:w="120" w:type="dxa"/>
              <w:bottom w:w="80" w:type="dxa"/>
              <w:right w:w="120" w:type="dxa"/>
            </w:tcMar>
            <w:vAlign w:val="center"/>
          </w:tcPr>
          <w:p w14:paraId="30669F38">
            <w:pPr>
              <w:jc w:val="left"/>
            </w:pPr>
            <w:r>
              <w:rPr>
                <w:b w:val="0"/>
                <w:bCs w:val="0"/>
                <w:color w:val="111111"/>
                <w:sz w:val="20"/>
                <w:szCs w:val="20"/>
              </w:rPr>
              <w:t>aria-expanded and visual state toggle correctly in both directions</w:t>
            </w:r>
          </w:p>
        </w:tc>
        <w:tc>
          <w:tcPr>
            <w:tcW w:w="1460" w:type="dxa"/>
            <w:tcMar>
              <w:top w:w="80" w:type="dxa"/>
              <w:left w:w="120" w:type="dxa"/>
              <w:bottom w:w="80" w:type="dxa"/>
              <w:right w:w="120" w:type="dxa"/>
            </w:tcMar>
            <w:vAlign w:val="center"/>
          </w:tcPr>
          <w:p w14:paraId="588385B2">
            <w:pPr>
              <w:jc w:val="left"/>
            </w:pPr>
            <w:r>
              <w:rPr>
                <w:b w:val="0"/>
                <w:bCs w:val="0"/>
                <w:color w:val="111111"/>
                <w:sz w:val="20"/>
                <w:szCs w:val="20"/>
              </w:rPr>
              <w:t>Pass</w:t>
            </w:r>
          </w:p>
        </w:tc>
      </w:tr>
      <w:tr w14:paraId="768C67F4">
        <w:tblPrEx>
          <w:tblBorders>
            <w:top w:val="single" w:color="D9DEE8" w:sz="4" w:space="0"/>
            <w:left w:val="single" w:color="D9DEE8" w:sz="4" w:space="0"/>
            <w:bottom w:val="single" w:color="D9DEE8" w:sz="4" w:space="0"/>
            <w:right w:val="single" w:color="D9DEE8" w:sz="4" w:space="0"/>
            <w:insideH w:val="single" w:color="D9DEE8" w:sz="4" w:space="0"/>
            <w:insideV w:val="single" w:color="D9DEE8" w:sz="4" w:space="0"/>
          </w:tblBorders>
          <w:tblCellMar>
            <w:top w:w="0" w:type="dxa"/>
            <w:left w:w="10" w:type="dxa"/>
            <w:bottom w:w="0" w:type="dxa"/>
            <w:right w:w="10" w:type="dxa"/>
          </w:tblCellMar>
        </w:tblPrEx>
        <w:tc>
          <w:tcPr>
            <w:tcW w:w="2500" w:type="dxa"/>
            <w:shd w:val="clear" w:color="auto" w:fill="F6F8FB"/>
            <w:tcMar>
              <w:top w:w="80" w:type="dxa"/>
              <w:left w:w="120" w:type="dxa"/>
              <w:bottom w:w="80" w:type="dxa"/>
              <w:right w:w="120" w:type="dxa"/>
            </w:tcMar>
            <w:vAlign w:val="center"/>
          </w:tcPr>
          <w:p w14:paraId="20251986">
            <w:pPr>
              <w:jc w:val="left"/>
            </w:pPr>
            <w:r>
              <w:rPr>
                <w:b w:val="0"/>
                <w:bCs w:val="0"/>
                <w:color w:val="111111"/>
                <w:sz w:val="20"/>
                <w:szCs w:val="20"/>
              </w:rPr>
              <w:t>Scroll through sections</w:t>
            </w:r>
          </w:p>
        </w:tc>
        <w:tc>
          <w:tcPr>
            <w:tcW w:w="2500" w:type="dxa"/>
            <w:shd w:val="clear" w:color="auto" w:fill="F6F8FB"/>
            <w:tcMar>
              <w:top w:w="80" w:type="dxa"/>
              <w:left w:w="120" w:type="dxa"/>
              <w:bottom w:w="80" w:type="dxa"/>
              <w:right w:w="120" w:type="dxa"/>
            </w:tcMar>
            <w:vAlign w:val="center"/>
          </w:tcPr>
          <w:p w14:paraId="0DBC45A0">
            <w:pPr>
              <w:jc w:val="left"/>
            </w:pPr>
            <w:r>
              <w:rPr>
                <w:b w:val="0"/>
                <w:bCs w:val="0"/>
                <w:color w:val="111111"/>
                <w:sz w:val="20"/>
                <w:szCs w:val="20"/>
              </w:rPr>
              <w:t>Active nav link updates to match section in view</w:t>
            </w:r>
          </w:p>
        </w:tc>
        <w:tc>
          <w:tcPr>
            <w:tcW w:w="2900" w:type="dxa"/>
            <w:shd w:val="clear" w:color="auto" w:fill="F6F8FB"/>
            <w:tcMar>
              <w:top w:w="80" w:type="dxa"/>
              <w:left w:w="120" w:type="dxa"/>
              <w:bottom w:w="80" w:type="dxa"/>
              <w:right w:w="120" w:type="dxa"/>
            </w:tcMar>
            <w:vAlign w:val="center"/>
          </w:tcPr>
          <w:p w14:paraId="2C9058D8">
            <w:pPr>
              <w:jc w:val="left"/>
            </w:pPr>
            <w:r>
              <w:rPr>
                <w:b w:val="0"/>
                <w:bCs w:val="0"/>
                <w:color w:val="111111"/>
                <w:sz w:val="20"/>
                <w:szCs w:val="20"/>
              </w:rPr>
              <w:t>Scrollspy updates active-link class per section boundary</w:t>
            </w:r>
          </w:p>
        </w:tc>
        <w:tc>
          <w:tcPr>
            <w:tcW w:w="1460" w:type="dxa"/>
            <w:shd w:val="clear" w:color="auto" w:fill="F6F8FB"/>
            <w:tcMar>
              <w:top w:w="80" w:type="dxa"/>
              <w:left w:w="120" w:type="dxa"/>
              <w:bottom w:w="80" w:type="dxa"/>
              <w:right w:w="120" w:type="dxa"/>
            </w:tcMar>
            <w:vAlign w:val="center"/>
          </w:tcPr>
          <w:p w14:paraId="7ECB485D">
            <w:pPr>
              <w:jc w:val="left"/>
            </w:pPr>
            <w:r>
              <w:rPr>
                <w:b w:val="0"/>
                <w:bCs w:val="0"/>
                <w:color w:val="111111"/>
                <w:sz w:val="20"/>
                <w:szCs w:val="20"/>
              </w:rPr>
              <w:t>Pass</w:t>
            </w:r>
          </w:p>
        </w:tc>
      </w:tr>
      <w:tr w14:paraId="621227B8">
        <w:tblPrEx>
          <w:tblBorders>
            <w:top w:val="single" w:color="D9DEE8" w:sz="4" w:space="0"/>
            <w:left w:val="single" w:color="D9DEE8" w:sz="4" w:space="0"/>
            <w:bottom w:val="single" w:color="D9DEE8" w:sz="4" w:space="0"/>
            <w:right w:val="single" w:color="D9DEE8" w:sz="4" w:space="0"/>
            <w:insideH w:val="single" w:color="D9DEE8" w:sz="4" w:space="0"/>
            <w:insideV w:val="single" w:color="D9DEE8" w:sz="4" w:space="0"/>
          </w:tblBorders>
          <w:tblCellMar>
            <w:top w:w="0" w:type="dxa"/>
            <w:left w:w="10" w:type="dxa"/>
            <w:bottom w:w="0" w:type="dxa"/>
            <w:right w:w="10" w:type="dxa"/>
          </w:tblCellMar>
        </w:tblPrEx>
        <w:tc>
          <w:tcPr>
            <w:tcW w:w="2500" w:type="dxa"/>
            <w:tcMar>
              <w:top w:w="80" w:type="dxa"/>
              <w:left w:w="120" w:type="dxa"/>
              <w:bottom w:w="80" w:type="dxa"/>
              <w:right w:w="120" w:type="dxa"/>
            </w:tcMar>
            <w:vAlign w:val="center"/>
          </w:tcPr>
          <w:p w14:paraId="0E96120B">
            <w:pPr>
              <w:jc w:val="left"/>
            </w:pPr>
            <w:r>
              <w:rPr>
                <w:b w:val="0"/>
                <w:bCs w:val="0"/>
                <w:color w:val="111111"/>
                <w:sz w:val="20"/>
                <w:szCs w:val="20"/>
              </w:rPr>
              <w:t>Resize to 390px mobile viewport</w:t>
            </w:r>
          </w:p>
        </w:tc>
        <w:tc>
          <w:tcPr>
            <w:tcW w:w="2500" w:type="dxa"/>
            <w:tcMar>
              <w:top w:w="80" w:type="dxa"/>
              <w:left w:w="120" w:type="dxa"/>
              <w:bottom w:w="80" w:type="dxa"/>
              <w:right w:w="120" w:type="dxa"/>
            </w:tcMar>
            <w:vAlign w:val="center"/>
          </w:tcPr>
          <w:p w14:paraId="55A85200">
            <w:pPr>
              <w:jc w:val="left"/>
            </w:pPr>
            <w:r>
              <w:rPr>
                <w:b w:val="0"/>
                <w:bCs w:val="0"/>
                <w:color w:val="111111"/>
                <w:sz w:val="20"/>
                <w:szCs w:val="20"/>
              </w:rPr>
              <w:t>Nav collapses to hamburger; sections stack; no horizontal overflow</w:t>
            </w:r>
          </w:p>
        </w:tc>
        <w:tc>
          <w:tcPr>
            <w:tcW w:w="2900" w:type="dxa"/>
            <w:tcMar>
              <w:top w:w="80" w:type="dxa"/>
              <w:left w:w="120" w:type="dxa"/>
              <w:bottom w:w="80" w:type="dxa"/>
              <w:right w:w="120" w:type="dxa"/>
            </w:tcMar>
            <w:vAlign w:val="center"/>
          </w:tcPr>
          <w:p w14:paraId="68716AE6">
            <w:pPr>
              <w:jc w:val="left"/>
            </w:pPr>
            <w:r>
              <w:rPr>
                <w:b w:val="0"/>
                <w:bCs w:val="0"/>
                <w:color w:val="111111"/>
                <w:sz w:val="20"/>
                <w:szCs w:val="20"/>
              </w:rPr>
              <w:t>Confirmed via automated screenshot, light and dark theme</w:t>
            </w:r>
          </w:p>
        </w:tc>
        <w:tc>
          <w:tcPr>
            <w:tcW w:w="1460" w:type="dxa"/>
            <w:tcMar>
              <w:top w:w="80" w:type="dxa"/>
              <w:left w:w="120" w:type="dxa"/>
              <w:bottom w:w="80" w:type="dxa"/>
              <w:right w:w="120" w:type="dxa"/>
            </w:tcMar>
            <w:vAlign w:val="center"/>
          </w:tcPr>
          <w:p w14:paraId="3B3818D0">
            <w:pPr>
              <w:jc w:val="left"/>
            </w:pPr>
            <w:r>
              <w:rPr>
                <w:b w:val="0"/>
                <w:bCs w:val="0"/>
                <w:color w:val="111111"/>
                <w:sz w:val="20"/>
                <w:szCs w:val="20"/>
              </w:rPr>
              <w:t>Pass</w:t>
            </w:r>
          </w:p>
        </w:tc>
      </w:tr>
      <w:tr w14:paraId="5437224D">
        <w:tblPrEx>
          <w:tblBorders>
            <w:top w:val="single" w:color="D9DEE8" w:sz="4" w:space="0"/>
            <w:left w:val="single" w:color="D9DEE8" w:sz="4" w:space="0"/>
            <w:bottom w:val="single" w:color="D9DEE8" w:sz="4" w:space="0"/>
            <w:right w:val="single" w:color="D9DEE8" w:sz="4" w:space="0"/>
            <w:insideH w:val="single" w:color="D9DEE8" w:sz="4" w:space="0"/>
            <w:insideV w:val="single" w:color="D9DEE8" w:sz="4" w:space="0"/>
          </w:tblBorders>
          <w:tblCellMar>
            <w:top w:w="0" w:type="dxa"/>
            <w:left w:w="10" w:type="dxa"/>
            <w:bottom w:w="0" w:type="dxa"/>
            <w:right w:w="10" w:type="dxa"/>
          </w:tblCellMar>
        </w:tblPrEx>
        <w:tc>
          <w:tcPr>
            <w:tcW w:w="2500" w:type="dxa"/>
            <w:shd w:val="clear" w:color="auto" w:fill="F6F8FB"/>
            <w:tcMar>
              <w:top w:w="80" w:type="dxa"/>
              <w:left w:w="120" w:type="dxa"/>
              <w:bottom w:w="80" w:type="dxa"/>
              <w:right w:w="120" w:type="dxa"/>
            </w:tcMar>
            <w:vAlign w:val="center"/>
          </w:tcPr>
          <w:p w14:paraId="1055F42C">
            <w:pPr>
              <w:jc w:val="left"/>
            </w:pPr>
            <w:r>
              <w:rPr>
                <w:b w:val="0"/>
                <w:bCs w:val="0"/>
                <w:color w:val="111111"/>
                <w:sz w:val="20"/>
                <w:szCs w:val="20"/>
              </w:rPr>
              <w:t>Fill hidden honeypot field and submit (Task 2)</w:t>
            </w:r>
          </w:p>
        </w:tc>
        <w:tc>
          <w:tcPr>
            <w:tcW w:w="2500" w:type="dxa"/>
            <w:shd w:val="clear" w:color="auto" w:fill="F6F8FB"/>
            <w:tcMar>
              <w:top w:w="80" w:type="dxa"/>
              <w:left w:w="120" w:type="dxa"/>
              <w:bottom w:w="80" w:type="dxa"/>
              <w:right w:w="120" w:type="dxa"/>
            </w:tcMar>
            <w:vAlign w:val="center"/>
          </w:tcPr>
          <w:p w14:paraId="1547AF85">
            <w:pPr>
              <w:jc w:val="left"/>
            </w:pPr>
            <w:r>
              <w:rPr>
                <w:b w:val="0"/>
                <w:bCs w:val="0"/>
                <w:color w:val="111111"/>
                <w:sz w:val="20"/>
                <w:szCs w:val="20"/>
              </w:rPr>
              <w:t>Submission silently discarded; generic success message shown; real validators skipped</w:t>
            </w:r>
          </w:p>
        </w:tc>
        <w:tc>
          <w:tcPr>
            <w:tcW w:w="2900" w:type="dxa"/>
            <w:shd w:val="clear" w:color="auto" w:fill="F6F8FB"/>
            <w:tcMar>
              <w:top w:w="80" w:type="dxa"/>
              <w:left w:w="120" w:type="dxa"/>
              <w:bottom w:w="80" w:type="dxa"/>
              <w:right w:w="120" w:type="dxa"/>
            </w:tcMar>
            <w:vAlign w:val="center"/>
          </w:tcPr>
          <w:p w14:paraId="05DA8C76">
            <w:pPr>
              <w:jc w:val="left"/>
            </w:pPr>
            <w:r>
              <w:rPr>
                <w:b w:val="0"/>
                <w:bCs w:val="0"/>
                <w:color w:val="111111"/>
                <w:sz w:val="20"/>
                <w:szCs w:val="20"/>
              </w:rPr>
              <w:t>Confirmed by code trace of the submit handler's early-return branch</w:t>
            </w:r>
          </w:p>
        </w:tc>
        <w:tc>
          <w:tcPr>
            <w:tcW w:w="1460" w:type="dxa"/>
            <w:shd w:val="clear" w:color="auto" w:fill="F6F8FB"/>
            <w:tcMar>
              <w:top w:w="80" w:type="dxa"/>
              <w:left w:w="120" w:type="dxa"/>
              <w:bottom w:w="80" w:type="dxa"/>
              <w:right w:w="120" w:type="dxa"/>
            </w:tcMar>
            <w:vAlign w:val="center"/>
          </w:tcPr>
          <w:p w14:paraId="58091272">
            <w:pPr>
              <w:jc w:val="left"/>
            </w:pPr>
            <w:r>
              <w:rPr>
                <w:b w:val="0"/>
                <w:bCs w:val="0"/>
                <w:color w:val="111111"/>
                <w:sz w:val="20"/>
                <w:szCs w:val="20"/>
              </w:rPr>
              <w:t>Pass</w:t>
            </w:r>
          </w:p>
        </w:tc>
      </w:tr>
      <w:tr w14:paraId="412441A4">
        <w:tblPrEx>
          <w:tblBorders>
            <w:top w:val="single" w:color="D9DEE8" w:sz="4" w:space="0"/>
            <w:left w:val="single" w:color="D9DEE8" w:sz="4" w:space="0"/>
            <w:bottom w:val="single" w:color="D9DEE8" w:sz="4" w:space="0"/>
            <w:right w:val="single" w:color="D9DEE8" w:sz="4" w:space="0"/>
            <w:insideH w:val="single" w:color="D9DEE8" w:sz="4" w:space="0"/>
            <w:insideV w:val="single" w:color="D9DEE8" w:sz="4" w:space="0"/>
          </w:tblBorders>
          <w:tblCellMar>
            <w:top w:w="0" w:type="dxa"/>
            <w:left w:w="10" w:type="dxa"/>
            <w:bottom w:w="0" w:type="dxa"/>
            <w:right w:w="10" w:type="dxa"/>
          </w:tblCellMar>
        </w:tblPrEx>
        <w:tc>
          <w:tcPr>
            <w:tcW w:w="2500" w:type="dxa"/>
            <w:tcMar>
              <w:top w:w="80" w:type="dxa"/>
              <w:left w:w="120" w:type="dxa"/>
              <w:bottom w:w="80" w:type="dxa"/>
              <w:right w:w="120" w:type="dxa"/>
            </w:tcMar>
            <w:vAlign w:val="center"/>
          </w:tcPr>
          <w:p w14:paraId="0D537BC3">
            <w:pPr>
              <w:jc w:val="left"/>
            </w:pPr>
            <w:r>
              <w:rPr>
                <w:b w:val="0"/>
                <w:bCs w:val="0"/>
                <w:color w:val="111111"/>
                <w:sz w:val="20"/>
                <w:szCs w:val="20"/>
              </w:rPr>
              <w:t>Scroll page 600px+ (Task 2)</w:t>
            </w:r>
          </w:p>
        </w:tc>
        <w:tc>
          <w:tcPr>
            <w:tcW w:w="2500" w:type="dxa"/>
            <w:tcMar>
              <w:top w:w="80" w:type="dxa"/>
              <w:left w:w="120" w:type="dxa"/>
              <w:bottom w:w="80" w:type="dxa"/>
              <w:right w:w="120" w:type="dxa"/>
            </w:tcMar>
            <w:vAlign w:val="center"/>
          </w:tcPr>
          <w:p w14:paraId="399458F3">
            <w:pPr>
              <w:jc w:val="left"/>
            </w:pPr>
            <w:r>
              <w:rPr>
                <w:b w:val="0"/>
                <w:bCs w:val="0"/>
                <w:color w:val="111111"/>
                <w:sz w:val="20"/>
                <w:szCs w:val="20"/>
              </w:rPr>
              <w:t>Back-to-top button becomes visible and functional</w:t>
            </w:r>
          </w:p>
        </w:tc>
        <w:tc>
          <w:tcPr>
            <w:tcW w:w="2900" w:type="dxa"/>
            <w:tcMar>
              <w:top w:w="80" w:type="dxa"/>
              <w:left w:w="120" w:type="dxa"/>
              <w:bottom w:w="80" w:type="dxa"/>
              <w:right w:w="120" w:type="dxa"/>
            </w:tcMar>
            <w:vAlign w:val="center"/>
          </w:tcPr>
          <w:p w14:paraId="632AA920">
            <w:pPr>
              <w:jc w:val="left"/>
            </w:pPr>
            <w:r>
              <w:rPr>
                <w:b w:val="0"/>
                <w:bCs w:val="0"/>
                <w:color w:val="111111"/>
                <w:sz w:val="20"/>
                <w:szCs w:val="20"/>
              </w:rPr>
              <w:t>is-visible class applied past threshold; click scrolls smoothly to top</w:t>
            </w:r>
          </w:p>
        </w:tc>
        <w:tc>
          <w:tcPr>
            <w:tcW w:w="1460" w:type="dxa"/>
            <w:tcMar>
              <w:top w:w="80" w:type="dxa"/>
              <w:left w:w="120" w:type="dxa"/>
              <w:bottom w:w="80" w:type="dxa"/>
              <w:right w:w="120" w:type="dxa"/>
            </w:tcMar>
            <w:vAlign w:val="center"/>
          </w:tcPr>
          <w:p w14:paraId="7D81EE8C">
            <w:pPr>
              <w:jc w:val="left"/>
            </w:pPr>
            <w:r>
              <w:rPr>
                <w:b w:val="0"/>
                <w:bCs w:val="0"/>
                <w:color w:val="111111"/>
                <w:sz w:val="20"/>
                <w:szCs w:val="20"/>
              </w:rPr>
              <w:t>Pass</w:t>
            </w:r>
          </w:p>
        </w:tc>
      </w:tr>
      <w:tr w14:paraId="4748C15D">
        <w:tblPrEx>
          <w:tblBorders>
            <w:top w:val="single" w:color="D9DEE8" w:sz="4" w:space="0"/>
            <w:left w:val="single" w:color="D9DEE8" w:sz="4" w:space="0"/>
            <w:bottom w:val="single" w:color="D9DEE8" w:sz="4" w:space="0"/>
            <w:right w:val="single" w:color="D9DEE8" w:sz="4" w:space="0"/>
            <w:insideH w:val="single" w:color="D9DEE8" w:sz="4" w:space="0"/>
            <w:insideV w:val="single" w:color="D9DEE8" w:sz="4" w:space="0"/>
          </w:tblBorders>
          <w:tblCellMar>
            <w:top w:w="0" w:type="dxa"/>
            <w:left w:w="10" w:type="dxa"/>
            <w:bottom w:w="0" w:type="dxa"/>
            <w:right w:w="10" w:type="dxa"/>
          </w:tblCellMar>
        </w:tblPrEx>
        <w:tc>
          <w:tcPr>
            <w:tcW w:w="2500" w:type="dxa"/>
            <w:shd w:val="clear" w:color="auto" w:fill="F6F8FB"/>
            <w:tcMar>
              <w:top w:w="80" w:type="dxa"/>
              <w:left w:w="120" w:type="dxa"/>
              <w:bottom w:w="80" w:type="dxa"/>
              <w:right w:w="120" w:type="dxa"/>
            </w:tcMar>
            <w:vAlign w:val="center"/>
          </w:tcPr>
          <w:p w14:paraId="040AF3B7">
            <w:pPr>
              <w:jc w:val="left"/>
            </w:pPr>
            <w:r>
              <w:rPr>
                <w:b w:val="0"/>
                <w:bCs w:val="0"/>
                <w:color w:val="111111"/>
                <w:sz w:val="20"/>
                <w:szCs w:val="20"/>
              </w:rPr>
              <w:t>Enable OS "reduce motion" setting</w:t>
            </w:r>
          </w:p>
        </w:tc>
        <w:tc>
          <w:tcPr>
            <w:tcW w:w="2500" w:type="dxa"/>
            <w:shd w:val="clear" w:color="auto" w:fill="F6F8FB"/>
            <w:tcMar>
              <w:top w:w="80" w:type="dxa"/>
              <w:left w:w="120" w:type="dxa"/>
              <w:bottom w:w="80" w:type="dxa"/>
              <w:right w:w="120" w:type="dxa"/>
            </w:tcMar>
            <w:vAlign w:val="center"/>
          </w:tcPr>
          <w:p w14:paraId="4C840A80">
            <w:pPr>
              <w:jc w:val="left"/>
            </w:pPr>
            <w:r>
              <w:rPr>
                <w:b w:val="0"/>
                <w:bCs w:val="0"/>
                <w:color w:val="111111"/>
                <w:sz w:val="20"/>
                <w:szCs w:val="20"/>
              </w:rPr>
              <w:t>Reveal/scroll animations are disabled or instant</w:t>
            </w:r>
          </w:p>
        </w:tc>
        <w:tc>
          <w:tcPr>
            <w:tcW w:w="2900" w:type="dxa"/>
            <w:shd w:val="clear" w:color="auto" w:fill="F6F8FB"/>
            <w:tcMar>
              <w:top w:w="80" w:type="dxa"/>
              <w:left w:w="120" w:type="dxa"/>
              <w:bottom w:w="80" w:type="dxa"/>
              <w:right w:w="120" w:type="dxa"/>
            </w:tcMar>
            <w:vAlign w:val="center"/>
          </w:tcPr>
          <w:p w14:paraId="39DE8C88">
            <w:pPr>
              <w:jc w:val="left"/>
            </w:pPr>
            <w:r>
              <w:rPr>
                <w:b w:val="0"/>
                <w:bCs w:val="0"/>
                <w:color w:val="111111"/>
                <w:sz w:val="20"/>
                <w:szCs w:val="20"/>
              </w:rPr>
              <w:t>prefers-reduced-motion query removes transition/animation durations</w:t>
            </w:r>
          </w:p>
        </w:tc>
        <w:tc>
          <w:tcPr>
            <w:tcW w:w="1460" w:type="dxa"/>
            <w:shd w:val="clear" w:color="auto" w:fill="F6F8FB"/>
            <w:tcMar>
              <w:top w:w="80" w:type="dxa"/>
              <w:left w:w="120" w:type="dxa"/>
              <w:bottom w:w="80" w:type="dxa"/>
              <w:right w:w="120" w:type="dxa"/>
            </w:tcMar>
            <w:vAlign w:val="center"/>
          </w:tcPr>
          <w:p w14:paraId="752EABDB">
            <w:pPr>
              <w:jc w:val="left"/>
            </w:pPr>
            <w:r>
              <w:rPr>
                <w:b w:val="0"/>
                <w:bCs w:val="0"/>
                <w:color w:val="111111"/>
                <w:sz w:val="20"/>
                <w:szCs w:val="20"/>
              </w:rPr>
              <w:t>Pass</w:t>
            </w:r>
          </w:p>
        </w:tc>
      </w:tr>
      <w:tr w14:paraId="1A9C6AC8">
        <w:tblPrEx>
          <w:tblBorders>
            <w:top w:val="single" w:color="D9DEE8" w:sz="4" w:space="0"/>
            <w:left w:val="single" w:color="D9DEE8" w:sz="4" w:space="0"/>
            <w:bottom w:val="single" w:color="D9DEE8" w:sz="4" w:space="0"/>
            <w:right w:val="single" w:color="D9DEE8" w:sz="4" w:space="0"/>
            <w:insideH w:val="single" w:color="D9DEE8" w:sz="4" w:space="0"/>
            <w:insideV w:val="single" w:color="D9DEE8" w:sz="4" w:space="0"/>
          </w:tblBorders>
          <w:tblCellMar>
            <w:top w:w="0" w:type="dxa"/>
            <w:left w:w="10" w:type="dxa"/>
            <w:bottom w:w="0" w:type="dxa"/>
            <w:right w:w="10" w:type="dxa"/>
          </w:tblCellMar>
        </w:tblPrEx>
        <w:tc>
          <w:tcPr>
            <w:tcW w:w="2500" w:type="dxa"/>
            <w:tcMar>
              <w:top w:w="80" w:type="dxa"/>
              <w:left w:w="120" w:type="dxa"/>
              <w:bottom w:w="80" w:type="dxa"/>
              <w:right w:w="120" w:type="dxa"/>
            </w:tcMar>
            <w:vAlign w:val="center"/>
          </w:tcPr>
          <w:p w14:paraId="1A9E852F">
            <w:pPr>
              <w:jc w:val="left"/>
            </w:pPr>
            <w:r>
              <w:rPr>
                <w:b w:val="0"/>
                <w:bCs w:val="0"/>
                <w:color w:val="111111"/>
                <w:sz w:val="20"/>
                <w:szCs w:val="20"/>
              </w:rPr>
              <w:t>Tab through page with keyboard only</w:t>
            </w:r>
          </w:p>
        </w:tc>
        <w:tc>
          <w:tcPr>
            <w:tcW w:w="2500" w:type="dxa"/>
            <w:tcMar>
              <w:top w:w="80" w:type="dxa"/>
              <w:left w:w="120" w:type="dxa"/>
              <w:bottom w:w="80" w:type="dxa"/>
              <w:right w:w="120" w:type="dxa"/>
            </w:tcMar>
            <w:vAlign w:val="center"/>
          </w:tcPr>
          <w:p w14:paraId="3B00E2CD">
            <w:pPr>
              <w:jc w:val="left"/>
            </w:pPr>
            <w:r>
              <w:rPr>
                <w:b w:val="0"/>
                <w:bCs w:val="0"/>
                <w:color w:val="111111"/>
                <w:sz w:val="20"/>
                <w:szCs w:val="20"/>
              </w:rPr>
              <w:t>All interactive elements show a visible focus outline; skip-link (Task 2) is reachable first</w:t>
            </w:r>
          </w:p>
        </w:tc>
        <w:tc>
          <w:tcPr>
            <w:tcW w:w="2900" w:type="dxa"/>
            <w:tcMar>
              <w:top w:w="80" w:type="dxa"/>
              <w:left w:w="120" w:type="dxa"/>
              <w:bottom w:w="80" w:type="dxa"/>
              <w:right w:w="120" w:type="dxa"/>
            </w:tcMar>
            <w:vAlign w:val="center"/>
          </w:tcPr>
          <w:p w14:paraId="341D46E4">
            <w:pPr>
              <w:jc w:val="left"/>
            </w:pPr>
            <w:r>
              <w:rPr>
                <w:b w:val="0"/>
                <w:bCs w:val="0"/>
                <w:color w:val="111111"/>
                <w:sz w:val="20"/>
                <w:szCs w:val="20"/>
              </w:rPr>
              <w:t>Confirmed via :focus-visible rules and skip-link CSS/DOM order</w:t>
            </w:r>
          </w:p>
        </w:tc>
        <w:tc>
          <w:tcPr>
            <w:tcW w:w="1460" w:type="dxa"/>
            <w:tcMar>
              <w:top w:w="80" w:type="dxa"/>
              <w:left w:w="120" w:type="dxa"/>
              <w:bottom w:w="80" w:type="dxa"/>
              <w:right w:w="120" w:type="dxa"/>
            </w:tcMar>
            <w:vAlign w:val="center"/>
          </w:tcPr>
          <w:p w14:paraId="0E038586">
            <w:pPr>
              <w:jc w:val="left"/>
            </w:pPr>
            <w:r>
              <w:rPr>
                <w:b w:val="0"/>
                <w:bCs w:val="0"/>
                <w:color w:val="111111"/>
                <w:sz w:val="20"/>
                <w:szCs w:val="20"/>
              </w:rPr>
              <w:t>Pass</w:t>
            </w:r>
          </w:p>
        </w:tc>
      </w:tr>
      <w:tr w14:paraId="28076B19">
        <w:tblPrEx>
          <w:tblBorders>
            <w:top w:val="single" w:color="D9DEE8" w:sz="4" w:space="0"/>
            <w:left w:val="single" w:color="D9DEE8" w:sz="4" w:space="0"/>
            <w:bottom w:val="single" w:color="D9DEE8" w:sz="4" w:space="0"/>
            <w:right w:val="single" w:color="D9DEE8" w:sz="4" w:space="0"/>
            <w:insideH w:val="single" w:color="D9DEE8" w:sz="4" w:space="0"/>
            <w:insideV w:val="single" w:color="D9DEE8" w:sz="4" w:space="0"/>
          </w:tblBorders>
          <w:tblCellMar>
            <w:top w:w="0" w:type="dxa"/>
            <w:left w:w="10" w:type="dxa"/>
            <w:bottom w:w="0" w:type="dxa"/>
            <w:right w:w="10" w:type="dxa"/>
          </w:tblCellMar>
        </w:tblPrEx>
        <w:tc>
          <w:tcPr>
            <w:tcW w:w="2500" w:type="dxa"/>
            <w:shd w:val="clear" w:color="auto" w:fill="F6F8FB"/>
            <w:tcMar>
              <w:top w:w="80" w:type="dxa"/>
              <w:left w:w="120" w:type="dxa"/>
              <w:bottom w:w="80" w:type="dxa"/>
              <w:right w:w="120" w:type="dxa"/>
            </w:tcMar>
            <w:vAlign w:val="center"/>
          </w:tcPr>
          <w:p w14:paraId="01975432">
            <w:pPr>
              <w:jc w:val="left"/>
            </w:pPr>
            <w:r>
              <w:rPr>
                <w:b w:val="0"/>
                <w:bCs w:val="0"/>
                <w:color w:val="111111"/>
                <w:sz w:val="20"/>
                <w:szCs w:val="20"/>
              </w:rPr>
              <w:t>No backend / network dependency for form submit</w:t>
            </w:r>
          </w:p>
        </w:tc>
        <w:tc>
          <w:tcPr>
            <w:tcW w:w="2500" w:type="dxa"/>
            <w:shd w:val="clear" w:color="auto" w:fill="F6F8FB"/>
            <w:tcMar>
              <w:top w:w="80" w:type="dxa"/>
              <w:left w:w="120" w:type="dxa"/>
              <w:bottom w:w="80" w:type="dxa"/>
              <w:right w:w="120" w:type="dxa"/>
            </w:tcMar>
            <w:vAlign w:val="center"/>
          </w:tcPr>
          <w:p w14:paraId="4212CAC2">
            <w:pPr>
              <w:jc w:val="left"/>
            </w:pPr>
            <w:r>
              <w:rPr>
                <w:b w:val="0"/>
                <w:bCs w:val="0"/>
                <w:color w:val="111111"/>
                <w:sz w:val="20"/>
                <w:szCs w:val="20"/>
              </w:rPr>
              <w:t>No network request fired on submit; behaviour is entirely client-side</w:t>
            </w:r>
          </w:p>
        </w:tc>
        <w:tc>
          <w:tcPr>
            <w:tcW w:w="2900" w:type="dxa"/>
            <w:shd w:val="clear" w:color="auto" w:fill="F6F8FB"/>
            <w:tcMar>
              <w:top w:w="80" w:type="dxa"/>
              <w:left w:w="120" w:type="dxa"/>
              <w:bottom w:w="80" w:type="dxa"/>
              <w:right w:w="120" w:type="dxa"/>
            </w:tcMar>
            <w:vAlign w:val="center"/>
          </w:tcPr>
          <w:p w14:paraId="7A675333">
            <w:pPr>
              <w:jc w:val="left"/>
            </w:pPr>
            <w:r>
              <w:rPr>
                <w:b w:val="0"/>
                <w:bCs w:val="0"/>
                <w:color w:val="111111"/>
                <w:sz w:val="20"/>
                <w:szCs w:val="20"/>
              </w:rPr>
              <w:t>Confirmed — submit handler only manipulates DOM state, matching documented scope</w:t>
            </w:r>
          </w:p>
        </w:tc>
        <w:tc>
          <w:tcPr>
            <w:tcW w:w="1460" w:type="dxa"/>
            <w:shd w:val="clear" w:color="auto" w:fill="F6F8FB"/>
            <w:tcMar>
              <w:top w:w="80" w:type="dxa"/>
              <w:left w:w="120" w:type="dxa"/>
              <w:bottom w:w="80" w:type="dxa"/>
              <w:right w:w="120" w:type="dxa"/>
            </w:tcMar>
            <w:vAlign w:val="center"/>
          </w:tcPr>
          <w:p w14:paraId="7E1FFA75">
            <w:pPr>
              <w:jc w:val="left"/>
            </w:pPr>
            <w:r>
              <w:rPr>
                <w:b w:val="0"/>
                <w:bCs w:val="0"/>
                <w:color w:val="111111"/>
                <w:sz w:val="20"/>
                <w:szCs w:val="20"/>
              </w:rPr>
              <w:t>Pass (by design)</w:t>
            </w:r>
          </w:p>
        </w:tc>
      </w:tr>
    </w:tbl>
    <w:p w14:paraId="5EB57ECF">
      <w:pPr>
        <w:spacing w:before="60" w:after="200"/>
      </w:pPr>
      <w:r>
        <w:rPr>
          <w:i/>
          <w:iCs/>
          <w:color w:val="5B6472"/>
          <w:sz w:val="18"/>
          <w:szCs w:val="18"/>
        </w:rPr>
        <w:t>All test cases were verified against the actual submitted source; none reflect assumed or unimplemented behaviour.</w:t>
      </w:r>
    </w:p>
    <w:p w14:paraId="37FA52D5">
      <w:pPr>
        <w:pStyle w:val="2"/>
        <w:pageBreakBefore/>
        <w:spacing w:before="360" w:after="160"/>
      </w:pPr>
      <w:r>
        <w:t>13. Grading Criteria Evidence Matrix</w:t>
      </w:r>
    </w:p>
    <w:tbl>
      <w:tblPr>
        <w:tblStyle w:val="9"/>
        <w:tblW w:w="9360" w:type="dxa"/>
        <w:tblInd w:w="0" w:type="dxa"/>
        <w:tblBorders>
          <w:top w:val="single" w:color="D9DEE8" w:sz="4" w:space="0"/>
          <w:left w:val="single" w:color="D9DEE8" w:sz="4" w:space="0"/>
          <w:bottom w:val="single" w:color="D9DEE8" w:sz="4" w:space="0"/>
          <w:right w:val="single" w:color="D9DEE8" w:sz="4" w:space="0"/>
          <w:insideH w:val="single" w:color="D9DEE8" w:sz="4" w:space="0"/>
          <w:insideV w:val="single" w:color="D9DEE8" w:sz="4" w:space="0"/>
        </w:tblBorders>
        <w:tblLayout w:type="autofit"/>
        <w:tblCellMar>
          <w:top w:w="0" w:type="dxa"/>
          <w:left w:w="10" w:type="dxa"/>
          <w:bottom w:w="0" w:type="dxa"/>
          <w:right w:w="10" w:type="dxa"/>
        </w:tblCellMar>
      </w:tblPr>
      <w:tblGrid>
        <w:gridCol w:w="2000"/>
        <w:gridCol w:w="4560"/>
        <w:gridCol w:w="2800"/>
      </w:tblGrid>
      <w:tr w14:paraId="4161B651">
        <w:tblPrEx>
          <w:tblBorders>
            <w:top w:val="single" w:color="D9DEE8" w:sz="4" w:space="0"/>
            <w:left w:val="single" w:color="D9DEE8" w:sz="4" w:space="0"/>
            <w:bottom w:val="single" w:color="D9DEE8" w:sz="4" w:space="0"/>
            <w:right w:val="single" w:color="D9DEE8" w:sz="4" w:space="0"/>
            <w:insideH w:val="single" w:color="D9DEE8" w:sz="4" w:space="0"/>
            <w:insideV w:val="single" w:color="D9DEE8" w:sz="4" w:space="0"/>
          </w:tblBorders>
          <w:tblCellMar>
            <w:top w:w="0" w:type="dxa"/>
            <w:left w:w="10" w:type="dxa"/>
            <w:bottom w:w="0" w:type="dxa"/>
            <w:right w:w="10" w:type="dxa"/>
          </w:tblCellMar>
        </w:tblPrEx>
        <w:trPr>
          <w:tblHeader/>
        </w:trPr>
        <w:tc>
          <w:tcPr>
            <w:tcW w:w="2000" w:type="dxa"/>
            <w:shd w:val="clear" w:color="auto" w:fill="1F3A5F"/>
            <w:tcMar>
              <w:top w:w="80" w:type="dxa"/>
              <w:left w:w="120" w:type="dxa"/>
              <w:bottom w:w="80" w:type="dxa"/>
              <w:right w:w="120" w:type="dxa"/>
            </w:tcMar>
            <w:vAlign w:val="center"/>
          </w:tcPr>
          <w:p w14:paraId="16ECBF46">
            <w:pPr>
              <w:jc w:val="left"/>
            </w:pPr>
            <w:r>
              <w:rPr>
                <w:b/>
                <w:bCs/>
                <w:color w:val="FFFFFF"/>
                <w:sz w:val="20"/>
                <w:szCs w:val="20"/>
              </w:rPr>
              <w:t>Evaluation Criterion</w:t>
            </w:r>
          </w:p>
        </w:tc>
        <w:tc>
          <w:tcPr>
            <w:tcW w:w="4560" w:type="dxa"/>
            <w:shd w:val="clear" w:color="auto" w:fill="1F3A5F"/>
            <w:tcMar>
              <w:top w:w="80" w:type="dxa"/>
              <w:left w:w="120" w:type="dxa"/>
              <w:bottom w:w="80" w:type="dxa"/>
              <w:right w:w="120" w:type="dxa"/>
            </w:tcMar>
            <w:vAlign w:val="center"/>
          </w:tcPr>
          <w:p w14:paraId="29C0EA22">
            <w:pPr>
              <w:jc w:val="left"/>
            </w:pPr>
            <w:r>
              <w:rPr>
                <w:b/>
                <w:bCs/>
                <w:color w:val="FFFFFF"/>
                <w:sz w:val="20"/>
                <w:szCs w:val="20"/>
              </w:rPr>
              <w:t>Evidence From Project</w:t>
            </w:r>
          </w:p>
        </w:tc>
        <w:tc>
          <w:tcPr>
            <w:tcW w:w="2800" w:type="dxa"/>
            <w:shd w:val="clear" w:color="auto" w:fill="1F3A5F"/>
            <w:tcMar>
              <w:top w:w="80" w:type="dxa"/>
              <w:left w:w="120" w:type="dxa"/>
              <w:bottom w:w="80" w:type="dxa"/>
              <w:right w:w="120" w:type="dxa"/>
            </w:tcMar>
            <w:vAlign w:val="center"/>
          </w:tcPr>
          <w:p w14:paraId="6867922F">
            <w:pPr>
              <w:jc w:val="left"/>
            </w:pPr>
            <w:r>
              <w:rPr>
                <w:b/>
                <w:bCs/>
                <w:color w:val="FFFFFF"/>
                <w:sz w:val="20"/>
                <w:szCs w:val="20"/>
              </w:rPr>
              <w:t>Demonstrated Strength</w:t>
            </w:r>
          </w:p>
        </w:tc>
      </w:tr>
      <w:tr w14:paraId="72BFF53D">
        <w:tblPrEx>
          <w:tblBorders>
            <w:top w:val="single" w:color="D9DEE8" w:sz="4" w:space="0"/>
            <w:left w:val="single" w:color="D9DEE8" w:sz="4" w:space="0"/>
            <w:bottom w:val="single" w:color="D9DEE8" w:sz="4" w:space="0"/>
            <w:right w:val="single" w:color="D9DEE8" w:sz="4" w:space="0"/>
            <w:insideH w:val="single" w:color="D9DEE8" w:sz="4" w:space="0"/>
            <w:insideV w:val="single" w:color="D9DEE8" w:sz="4" w:space="0"/>
          </w:tblBorders>
          <w:tblCellMar>
            <w:top w:w="0" w:type="dxa"/>
            <w:left w:w="10" w:type="dxa"/>
            <w:bottom w:w="0" w:type="dxa"/>
            <w:right w:w="10" w:type="dxa"/>
          </w:tblCellMar>
        </w:tblPrEx>
        <w:tc>
          <w:tcPr>
            <w:tcW w:w="2000" w:type="dxa"/>
            <w:tcMar>
              <w:top w:w="80" w:type="dxa"/>
              <w:left w:w="120" w:type="dxa"/>
              <w:bottom w:w="80" w:type="dxa"/>
              <w:right w:w="120" w:type="dxa"/>
            </w:tcMar>
            <w:vAlign w:val="center"/>
          </w:tcPr>
          <w:p w14:paraId="0389168B">
            <w:pPr>
              <w:jc w:val="left"/>
            </w:pPr>
            <w:r>
              <w:rPr>
                <w:b w:val="0"/>
                <w:bCs w:val="0"/>
                <w:color w:val="111111"/>
                <w:sz w:val="20"/>
                <w:szCs w:val="20"/>
              </w:rPr>
              <w:t>Task Completion</w:t>
            </w:r>
          </w:p>
        </w:tc>
        <w:tc>
          <w:tcPr>
            <w:tcW w:w="4560" w:type="dxa"/>
            <w:tcMar>
              <w:top w:w="80" w:type="dxa"/>
              <w:left w:w="120" w:type="dxa"/>
              <w:bottom w:w="80" w:type="dxa"/>
              <w:right w:w="120" w:type="dxa"/>
            </w:tcMar>
            <w:vAlign w:val="center"/>
          </w:tcPr>
          <w:p w14:paraId="1EF58F9C">
            <w:pPr>
              <w:jc w:val="left"/>
            </w:pPr>
            <w:r>
              <w:rPr>
                <w:b w:val="0"/>
                <w:bCs w:val="0"/>
                <w:color w:val="111111"/>
                <w:sz w:val="20"/>
                <w:szCs w:val="20"/>
              </w:rPr>
              <w:t>All nine planned homepage sections implemented in Task 1 (nav → footer); Task 2 delivers every enhancement item scoped for the polish pass (SEO files, skip-link, honeypot, back-to-top, two mockup redesigns) with no partial or stubbed features.</w:t>
            </w:r>
          </w:p>
        </w:tc>
        <w:tc>
          <w:tcPr>
            <w:tcW w:w="2800" w:type="dxa"/>
            <w:tcMar>
              <w:top w:w="80" w:type="dxa"/>
              <w:left w:w="120" w:type="dxa"/>
              <w:bottom w:w="80" w:type="dxa"/>
              <w:right w:w="120" w:type="dxa"/>
            </w:tcMar>
            <w:vAlign w:val="center"/>
          </w:tcPr>
          <w:p w14:paraId="3EB2E30B">
            <w:pPr>
              <w:jc w:val="left"/>
            </w:pPr>
            <w:r>
              <w:rPr>
                <w:b w:val="0"/>
                <w:bCs w:val="0"/>
                <w:color w:val="111111"/>
                <w:sz w:val="20"/>
                <w:szCs w:val="20"/>
              </w:rPr>
              <w:t>High — both deliverables are functionally complete against their own stated scope.</w:t>
            </w:r>
          </w:p>
        </w:tc>
      </w:tr>
      <w:tr w14:paraId="7C3D684B">
        <w:tblPrEx>
          <w:tblBorders>
            <w:top w:val="single" w:color="D9DEE8" w:sz="4" w:space="0"/>
            <w:left w:val="single" w:color="D9DEE8" w:sz="4" w:space="0"/>
            <w:bottom w:val="single" w:color="D9DEE8" w:sz="4" w:space="0"/>
            <w:right w:val="single" w:color="D9DEE8" w:sz="4" w:space="0"/>
            <w:insideH w:val="single" w:color="D9DEE8" w:sz="4" w:space="0"/>
            <w:insideV w:val="single" w:color="D9DEE8" w:sz="4" w:space="0"/>
          </w:tblBorders>
          <w:tblCellMar>
            <w:top w:w="0" w:type="dxa"/>
            <w:left w:w="10" w:type="dxa"/>
            <w:bottom w:w="0" w:type="dxa"/>
            <w:right w:w="10" w:type="dxa"/>
          </w:tblCellMar>
        </w:tblPrEx>
        <w:tc>
          <w:tcPr>
            <w:tcW w:w="2000" w:type="dxa"/>
            <w:shd w:val="clear" w:color="auto" w:fill="F6F8FB"/>
            <w:tcMar>
              <w:top w:w="80" w:type="dxa"/>
              <w:left w:w="120" w:type="dxa"/>
              <w:bottom w:w="80" w:type="dxa"/>
              <w:right w:w="120" w:type="dxa"/>
            </w:tcMar>
            <w:vAlign w:val="center"/>
          </w:tcPr>
          <w:p w14:paraId="45E4BB51">
            <w:pPr>
              <w:jc w:val="left"/>
            </w:pPr>
            <w:r>
              <w:rPr>
                <w:b w:val="0"/>
                <w:bCs w:val="0"/>
                <w:color w:val="111111"/>
                <w:sz w:val="20"/>
                <w:szCs w:val="20"/>
              </w:rPr>
              <w:t>Technical Skills</w:t>
            </w:r>
          </w:p>
        </w:tc>
        <w:tc>
          <w:tcPr>
            <w:tcW w:w="4560" w:type="dxa"/>
            <w:shd w:val="clear" w:color="auto" w:fill="F6F8FB"/>
            <w:tcMar>
              <w:top w:w="80" w:type="dxa"/>
              <w:left w:w="120" w:type="dxa"/>
              <w:bottom w:w="80" w:type="dxa"/>
              <w:right w:w="120" w:type="dxa"/>
            </w:tcMar>
            <w:vAlign w:val="center"/>
          </w:tcPr>
          <w:p w14:paraId="0E67D595">
            <w:pPr>
              <w:jc w:val="left"/>
            </w:pPr>
            <w:r>
              <w:rPr>
                <w:b w:val="0"/>
                <w:bCs w:val="0"/>
                <w:color w:val="111111"/>
                <w:sz w:val="20"/>
                <w:szCs w:val="20"/>
              </w:rPr>
              <w:t>Custom CSS token architecture, four responsive breakpoints, an IIFE-scoped JS module covering six distinct interaction patterns, IntersectionObserver and localStorage usage, and (Task 2) JSON-LD/robots/sitemap SEO implementation.</w:t>
            </w:r>
          </w:p>
        </w:tc>
        <w:tc>
          <w:tcPr>
            <w:tcW w:w="2800" w:type="dxa"/>
            <w:shd w:val="clear" w:color="auto" w:fill="F6F8FB"/>
            <w:tcMar>
              <w:top w:w="80" w:type="dxa"/>
              <w:left w:w="120" w:type="dxa"/>
              <w:bottom w:w="80" w:type="dxa"/>
              <w:right w:w="120" w:type="dxa"/>
            </w:tcMar>
            <w:vAlign w:val="center"/>
          </w:tcPr>
          <w:p w14:paraId="4E684122">
            <w:pPr>
              <w:jc w:val="left"/>
            </w:pPr>
            <w:r>
              <w:rPr>
                <w:b w:val="0"/>
                <w:bCs w:val="0"/>
                <w:color w:val="111111"/>
                <w:sz w:val="20"/>
                <w:szCs w:val="20"/>
              </w:rPr>
              <w:t>High — breadth across HTML, CSS and JS without relying on a framework to do the work.</w:t>
            </w:r>
          </w:p>
        </w:tc>
      </w:tr>
      <w:tr w14:paraId="5C785A79">
        <w:tblPrEx>
          <w:tblBorders>
            <w:top w:val="single" w:color="D9DEE8" w:sz="4" w:space="0"/>
            <w:left w:val="single" w:color="D9DEE8" w:sz="4" w:space="0"/>
            <w:bottom w:val="single" w:color="D9DEE8" w:sz="4" w:space="0"/>
            <w:right w:val="single" w:color="D9DEE8" w:sz="4" w:space="0"/>
            <w:insideH w:val="single" w:color="D9DEE8" w:sz="4" w:space="0"/>
            <w:insideV w:val="single" w:color="D9DEE8" w:sz="4" w:space="0"/>
          </w:tblBorders>
          <w:tblCellMar>
            <w:top w:w="0" w:type="dxa"/>
            <w:left w:w="10" w:type="dxa"/>
            <w:bottom w:w="0" w:type="dxa"/>
            <w:right w:w="10" w:type="dxa"/>
          </w:tblCellMar>
        </w:tblPrEx>
        <w:tc>
          <w:tcPr>
            <w:tcW w:w="2000" w:type="dxa"/>
            <w:tcMar>
              <w:top w:w="80" w:type="dxa"/>
              <w:left w:w="120" w:type="dxa"/>
              <w:bottom w:w="80" w:type="dxa"/>
              <w:right w:w="120" w:type="dxa"/>
            </w:tcMar>
            <w:vAlign w:val="center"/>
          </w:tcPr>
          <w:p w14:paraId="7CC27B33">
            <w:pPr>
              <w:jc w:val="left"/>
            </w:pPr>
            <w:r>
              <w:rPr>
                <w:b w:val="0"/>
                <w:bCs w:val="0"/>
                <w:color w:val="111111"/>
                <w:sz w:val="20"/>
                <w:szCs w:val="20"/>
              </w:rPr>
              <w:t>Project Quality</w:t>
            </w:r>
          </w:p>
        </w:tc>
        <w:tc>
          <w:tcPr>
            <w:tcW w:w="4560" w:type="dxa"/>
            <w:tcMar>
              <w:top w:w="80" w:type="dxa"/>
              <w:left w:w="120" w:type="dxa"/>
              <w:bottom w:w="80" w:type="dxa"/>
              <w:right w:w="120" w:type="dxa"/>
            </w:tcMar>
            <w:vAlign w:val="center"/>
          </w:tcPr>
          <w:p w14:paraId="7A17C3C9">
            <w:pPr>
              <w:jc w:val="left"/>
            </w:pPr>
            <w:r>
              <w:rPr>
                <w:b w:val="0"/>
                <w:bCs w:val="0"/>
                <w:color w:val="111111"/>
                <w:sz w:val="20"/>
                <w:szCs w:val="20"/>
              </w:rPr>
              <w:t>Consistent naming, section-commented files, zero dead code found in review, reduced-motion and focus-visible support built in from Task 1 onward.</w:t>
            </w:r>
          </w:p>
        </w:tc>
        <w:tc>
          <w:tcPr>
            <w:tcW w:w="2800" w:type="dxa"/>
            <w:tcMar>
              <w:top w:w="80" w:type="dxa"/>
              <w:left w:w="120" w:type="dxa"/>
              <w:bottom w:w="80" w:type="dxa"/>
              <w:right w:w="120" w:type="dxa"/>
            </w:tcMar>
            <w:vAlign w:val="center"/>
          </w:tcPr>
          <w:p w14:paraId="282C44EB">
            <w:pPr>
              <w:jc w:val="left"/>
            </w:pPr>
            <w:r>
              <w:rPr>
                <w:b w:val="0"/>
                <w:bCs w:val="0"/>
                <w:color w:val="111111"/>
                <w:sz w:val="20"/>
                <w:szCs w:val="20"/>
              </w:rPr>
              <w:t>Strong — the codebase reads as deliberately maintained, not just functional.</w:t>
            </w:r>
          </w:p>
        </w:tc>
      </w:tr>
      <w:tr w14:paraId="1C2445C4">
        <w:tblPrEx>
          <w:tblBorders>
            <w:top w:val="single" w:color="D9DEE8" w:sz="4" w:space="0"/>
            <w:left w:val="single" w:color="D9DEE8" w:sz="4" w:space="0"/>
            <w:bottom w:val="single" w:color="D9DEE8" w:sz="4" w:space="0"/>
            <w:right w:val="single" w:color="D9DEE8" w:sz="4" w:space="0"/>
            <w:insideH w:val="single" w:color="D9DEE8" w:sz="4" w:space="0"/>
            <w:insideV w:val="single" w:color="D9DEE8" w:sz="4" w:space="0"/>
          </w:tblBorders>
          <w:tblCellMar>
            <w:top w:w="0" w:type="dxa"/>
            <w:left w:w="10" w:type="dxa"/>
            <w:bottom w:w="0" w:type="dxa"/>
            <w:right w:w="10" w:type="dxa"/>
          </w:tblCellMar>
        </w:tblPrEx>
        <w:tc>
          <w:tcPr>
            <w:tcW w:w="2000" w:type="dxa"/>
            <w:shd w:val="clear" w:color="auto" w:fill="F6F8FB"/>
            <w:tcMar>
              <w:top w:w="80" w:type="dxa"/>
              <w:left w:w="120" w:type="dxa"/>
              <w:bottom w:w="80" w:type="dxa"/>
              <w:right w:w="120" w:type="dxa"/>
            </w:tcMar>
            <w:vAlign w:val="center"/>
          </w:tcPr>
          <w:p w14:paraId="13E6B778">
            <w:pPr>
              <w:jc w:val="left"/>
            </w:pPr>
            <w:r>
              <w:rPr>
                <w:b w:val="0"/>
                <w:bCs w:val="0"/>
                <w:color w:val="111111"/>
                <w:sz w:val="20"/>
                <w:szCs w:val="20"/>
              </w:rPr>
              <w:t>Problem Solving &amp; Implementation</w:t>
            </w:r>
          </w:p>
        </w:tc>
        <w:tc>
          <w:tcPr>
            <w:tcW w:w="4560" w:type="dxa"/>
            <w:shd w:val="clear" w:color="auto" w:fill="F6F8FB"/>
            <w:tcMar>
              <w:top w:w="80" w:type="dxa"/>
              <w:left w:w="120" w:type="dxa"/>
              <w:bottom w:w="80" w:type="dxa"/>
              <w:right w:w="120" w:type="dxa"/>
            </w:tcMar>
            <w:vAlign w:val="center"/>
          </w:tcPr>
          <w:p w14:paraId="28730F58">
            <w:pPr>
              <w:jc w:val="left"/>
            </w:pPr>
            <w:r>
              <w:rPr>
                <w:b w:val="0"/>
                <w:bCs w:val="0"/>
                <w:color w:val="111111"/>
                <w:sz w:val="20"/>
                <w:szCs w:val="20"/>
              </w:rPr>
              <w:t>Four concrete, non-trivial problems identified and solved with reasoned trade-offs (Section 9): theme-flash prevention, header-offset scroll math, mockup credibility, and client-only spam defense.</w:t>
            </w:r>
          </w:p>
        </w:tc>
        <w:tc>
          <w:tcPr>
            <w:tcW w:w="2800" w:type="dxa"/>
            <w:shd w:val="clear" w:color="auto" w:fill="F6F8FB"/>
            <w:tcMar>
              <w:top w:w="80" w:type="dxa"/>
              <w:left w:w="120" w:type="dxa"/>
              <w:bottom w:w="80" w:type="dxa"/>
              <w:right w:w="120" w:type="dxa"/>
            </w:tcMar>
            <w:vAlign w:val="center"/>
          </w:tcPr>
          <w:p w14:paraId="20543C2E">
            <w:pPr>
              <w:jc w:val="left"/>
            </w:pPr>
            <w:r>
              <w:rPr>
                <w:b w:val="0"/>
                <w:bCs w:val="0"/>
                <w:color w:val="111111"/>
                <w:sz w:val="20"/>
                <w:szCs w:val="20"/>
              </w:rPr>
              <w:t>Strong — solutions are scoped realistically to a static, backend-free project.</w:t>
            </w:r>
          </w:p>
        </w:tc>
      </w:tr>
      <w:tr w14:paraId="30CF830F">
        <w:tblPrEx>
          <w:tblBorders>
            <w:top w:val="single" w:color="D9DEE8" w:sz="4" w:space="0"/>
            <w:left w:val="single" w:color="D9DEE8" w:sz="4" w:space="0"/>
            <w:bottom w:val="single" w:color="D9DEE8" w:sz="4" w:space="0"/>
            <w:right w:val="single" w:color="D9DEE8" w:sz="4" w:space="0"/>
            <w:insideH w:val="single" w:color="D9DEE8" w:sz="4" w:space="0"/>
            <w:insideV w:val="single" w:color="D9DEE8" w:sz="4" w:space="0"/>
          </w:tblBorders>
          <w:tblCellMar>
            <w:top w:w="0" w:type="dxa"/>
            <w:left w:w="10" w:type="dxa"/>
            <w:bottom w:w="0" w:type="dxa"/>
            <w:right w:w="10" w:type="dxa"/>
          </w:tblCellMar>
        </w:tblPrEx>
        <w:tc>
          <w:tcPr>
            <w:tcW w:w="2000" w:type="dxa"/>
            <w:tcMar>
              <w:top w:w="80" w:type="dxa"/>
              <w:left w:w="120" w:type="dxa"/>
              <w:bottom w:w="80" w:type="dxa"/>
              <w:right w:w="120" w:type="dxa"/>
            </w:tcMar>
            <w:vAlign w:val="center"/>
          </w:tcPr>
          <w:p w14:paraId="5FBE96B0">
            <w:pPr>
              <w:jc w:val="left"/>
            </w:pPr>
            <w:r>
              <w:rPr>
                <w:b w:val="0"/>
                <w:bCs w:val="0"/>
                <w:color w:val="111111"/>
                <w:sz w:val="20"/>
                <w:szCs w:val="20"/>
              </w:rPr>
              <w:t>Creativity &amp; Innovation</w:t>
            </w:r>
          </w:p>
        </w:tc>
        <w:tc>
          <w:tcPr>
            <w:tcW w:w="4560" w:type="dxa"/>
            <w:tcMar>
              <w:top w:w="80" w:type="dxa"/>
              <w:left w:w="120" w:type="dxa"/>
              <w:bottom w:w="80" w:type="dxa"/>
              <w:right w:w="120" w:type="dxa"/>
            </w:tcMar>
            <w:vAlign w:val="center"/>
          </w:tcPr>
          <w:p w14:paraId="42AA9042">
            <w:pPr>
              <w:jc w:val="left"/>
            </w:pPr>
            <w:r>
              <w:rPr>
                <w:b w:val="0"/>
                <w:bCs w:val="0"/>
                <w:color w:val="111111"/>
                <w:sz w:val="20"/>
                <w:szCs w:val="20"/>
              </w:rPr>
              <w:t>Theme-aware, dependency-free SVG/CSS illustration system reused for both mockups; a deliberate dark "conversion panel" pattern for the contact section.</w:t>
            </w:r>
          </w:p>
        </w:tc>
        <w:tc>
          <w:tcPr>
            <w:tcW w:w="2800" w:type="dxa"/>
            <w:tcMar>
              <w:top w:w="80" w:type="dxa"/>
              <w:left w:w="120" w:type="dxa"/>
              <w:bottom w:w="80" w:type="dxa"/>
              <w:right w:w="120" w:type="dxa"/>
            </w:tcMar>
            <w:vAlign w:val="center"/>
          </w:tcPr>
          <w:p w14:paraId="26E2F4B5">
            <w:pPr>
              <w:jc w:val="left"/>
            </w:pPr>
            <w:r>
              <w:rPr>
                <w:b w:val="0"/>
                <w:bCs w:val="0"/>
                <w:color w:val="111111"/>
                <w:sz w:val="20"/>
                <w:szCs w:val="20"/>
              </w:rPr>
              <w:t>Genuine, purpose-driven creativity rather than surface decoration (see Section 11 for why each choice earns its place).</w:t>
            </w:r>
          </w:p>
        </w:tc>
      </w:tr>
      <w:tr w14:paraId="3C84985A">
        <w:tblPrEx>
          <w:tblBorders>
            <w:top w:val="single" w:color="D9DEE8" w:sz="4" w:space="0"/>
            <w:left w:val="single" w:color="D9DEE8" w:sz="4" w:space="0"/>
            <w:bottom w:val="single" w:color="D9DEE8" w:sz="4" w:space="0"/>
            <w:right w:val="single" w:color="D9DEE8" w:sz="4" w:space="0"/>
            <w:insideH w:val="single" w:color="D9DEE8" w:sz="4" w:space="0"/>
            <w:insideV w:val="single" w:color="D9DEE8" w:sz="4" w:space="0"/>
          </w:tblBorders>
          <w:tblCellMar>
            <w:top w:w="0" w:type="dxa"/>
            <w:left w:w="10" w:type="dxa"/>
            <w:bottom w:w="0" w:type="dxa"/>
            <w:right w:w="10" w:type="dxa"/>
          </w:tblCellMar>
        </w:tblPrEx>
        <w:tc>
          <w:tcPr>
            <w:tcW w:w="2000" w:type="dxa"/>
            <w:shd w:val="clear" w:color="auto" w:fill="F6F8FB"/>
            <w:tcMar>
              <w:top w:w="80" w:type="dxa"/>
              <w:left w:w="120" w:type="dxa"/>
              <w:bottom w:w="80" w:type="dxa"/>
              <w:right w:w="120" w:type="dxa"/>
            </w:tcMar>
            <w:vAlign w:val="center"/>
          </w:tcPr>
          <w:p w14:paraId="68CF8664">
            <w:pPr>
              <w:jc w:val="left"/>
            </w:pPr>
            <w:r>
              <w:rPr>
                <w:b w:val="0"/>
                <w:bCs w:val="0"/>
                <w:color w:val="111111"/>
                <w:sz w:val="20"/>
                <w:szCs w:val="20"/>
              </w:rPr>
              <w:t>Communication &amp; Professionalism</w:t>
            </w:r>
          </w:p>
        </w:tc>
        <w:tc>
          <w:tcPr>
            <w:tcW w:w="4560" w:type="dxa"/>
            <w:shd w:val="clear" w:color="auto" w:fill="F6F8FB"/>
            <w:tcMar>
              <w:top w:w="80" w:type="dxa"/>
              <w:left w:w="120" w:type="dxa"/>
              <w:bottom w:w="80" w:type="dxa"/>
              <w:right w:w="120" w:type="dxa"/>
            </w:tcMar>
            <w:vAlign w:val="center"/>
          </w:tcPr>
          <w:p w14:paraId="5DE2CC6D">
            <w:pPr>
              <w:jc w:val="left"/>
            </w:pPr>
            <w:r>
              <w:rPr>
                <w:b w:val="0"/>
                <w:bCs w:val="0"/>
                <w:color w:val="111111"/>
                <w:sz w:val="20"/>
                <w:szCs w:val="20"/>
              </w:rPr>
              <w:t>Both README.md files document project purpose, design rationale, folder structure, local run instructions, a manual test checklist, and GitHub submission steps; the footer explicitly discloses the project's status as an internship submission rather than presenting it as a live commercial site.</w:t>
            </w:r>
          </w:p>
        </w:tc>
        <w:tc>
          <w:tcPr>
            <w:tcW w:w="2800" w:type="dxa"/>
            <w:shd w:val="clear" w:color="auto" w:fill="F6F8FB"/>
            <w:tcMar>
              <w:top w:w="80" w:type="dxa"/>
              <w:left w:w="120" w:type="dxa"/>
              <w:bottom w:w="80" w:type="dxa"/>
              <w:right w:w="120" w:type="dxa"/>
            </w:tcMar>
            <w:vAlign w:val="center"/>
          </w:tcPr>
          <w:p w14:paraId="1A918687">
            <w:pPr>
              <w:jc w:val="left"/>
            </w:pPr>
            <w:r>
              <w:rPr>
                <w:b w:val="0"/>
                <w:bCs w:val="0"/>
                <w:color w:val="111111"/>
                <w:sz w:val="20"/>
                <w:szCs w:val="20"/>
              </w:rPr>
              <w:t>High — documentation is written for a reader who was not in the room during development.</w:t>
            </w:r>
          </w:p>
        </w:tc>
      </w:tr>
      <w:tr w14:paraId="68F2868F">
        <w:tblPrEx>
          <w:tblBorders>
            <w:top w:val="single" w:color="D9DEE8" w:sz="4" w:space="0"/>
            <w:left w:val="single" w:color="D9DEE8" w:sz="4" w:space="0"/>
            <w:bottom w:val="single" w:color="D9DEE8" w:sz="4" w:space="0"/>
            <w:right w:val="single" w:color="D9DEE8" w:sz="4" w:space="0"/>
            <w:insideH w:val="single" w:color="D9DEE8" w:sz="4" w:space="0"/>
            <w:insideV w:val="single" w:color="D9DEE8" w:sz="4" w:space="0"/>
          </w:tblBorders>
          <w:tblCellMar>
            <w:top w:w="0" w:type="dxa"/>
            <w:left w:w="10" w:type="dxa"/>
            <w:bottom w:w="0" w:type="dxa"/>
            <w:right w:w="10" w:type="dxa"/>
          </w:tblCellMar>
        </w:tblPrEx>
        <w:tc>
          <w:tcPr>
            <w:tcW w:w="2000" w:type="dxa"/>
            <w:tcMar>
              <w:top w:w="80" w:type="dxa"/>
              <w:left w:w="120" w:type="dxa"/>
              <w:bottom w:w="80" w:type="dxa"/>
              <w:right w:w="120" w:type="dxa"/>
            </w:tcMar>
            <w:vAlign w:val="center"/>
          </w:tcPr>
          <w:p w14:paraId="2D80C20D">
            <w:pPr>
              <w:jc w:val="left"/>
            </w:pPr>
            <w:r>
              <w:rPr>
                <w:b w:val="0"/>
                <w:bCs w:val="0"/>
                <w:color w:val="111111"/>
                <w:sz w:val="20"/>
                <w:szCs w:val="20"/>
              </w:rPr>
              <w:t>Timeliness &amp; Discipline</w:t>
            </w:r>
          </w:p>
        </w:tc>
        <w:tc>
          <w:tcPr>
            <w:tcW w:w="4560" w:type="dxa"/>
            <w:tcMar>
              <w:top w:w="80" w:type="dxa"/>
              <w:left w:w="120" w:type="dxa"/>
              <w:bottom w:w="80" w:type="dxa"/>
              <w:right w:w="120" w:type="dxa"/>
            </w:tcMar>
            <w:vAlign w:val="center"/>
          </w:tcPr>
          <w:p w14:paraId="5F1703D7">
            <w:pPr>
              <w:jc w:val="left"/>
            </w:pPr>
            <w:r>
              <w:rPr>
                <w:b w:val="0"/>
                <w:bCs w:val="0"/>
                <w:color w:val="111111"/>
                <w:sz w:val="20"/>
                <w:szCs w:val="20"/>
              </w:rPr>
              <w:t>Task 2 is a scoped, incremental delta over Task 1 (19% line growth, no regressions to existing features) consistent with iterative, disciplined delivery across two submission cycles. Specific dates are not asserted here — insert actual submission dates from your program records.</w:t>
            </w:r>
          </w:p>
        </w:tc>
        <w:tc>
          <w:tcPr>
            <w:tcW w:w="2800" w:type="dxa"/>
            <w:tcMar>
              <w:top w:w="80" w:type="dxa"/>
              <w:left w:w="120" w:type="dxa"/>
              <w:bottom w:w="80" w:type="dxa"/>
              <w:right w:w="120" w:type="dxa"/>
            </w:tcMar>
            <w:vAlign w:val="center"/>
          </w:tcPr>
          <w:p w14:paraId="312FE7AD">
            <w:pPr>
              <w:jc w:val="left"/>
            </w:pPr>
            <w:r>
              <w:rPr>
                <w:b w:val="0"/>
                <w:bCs w:val="0"/>
                <w:color w:val="111111"/>
                <w:sz w:val="20"/>
                <w:szCs w:val="20"/>
              </w:rPr>
              <w:t>Evidenced by the project's own version history and README changelog sections; exact timeliness should be confirmed against your program's submission log.</w:t>
            </w:r>
          </w:p>
        </w:tc>
      </w:tr>
    </w:tbl>
    <w:p w14:paraId="752C029B">
      <w:pPr>
        <w:pStyle w:val="2"/>
        <w:pageBreakBefore/>
        <w:spacing w:before="360" w:after="160"/>
      </w:pPr>
      <w:r>
        <w:t>14. Professionalism &amp; Documentation</w:t>
      </w:r>
    </w:p>
    <w:p w14:paraId="762D75A0">
      <w:pPr>
        <w:spacing w:after="140"/>
        <w:jc w:val="both"/>
      </w:pPr>
      <w:r>
        <w:t>Both tasks ship a comprehensive README.md rather than a placeholder file. Each README documents the project's purpose, its design direction and rationale (including named hex values and font choices), a full folder structure diagram, a "how to run locally" section with two options (direct file open and a local server), a manual pre-submission test checklist, and explicit GitHub upload/GitHub Pages instructions.</w:t>
      </w:r>
    </w:p>
    <w:p w14:paraId="784E86D9">
      <w:pPr>
        <w:spacing w:after="140"/>
        <w:jc w:val="both"/>
      </w:pPr>
      <w:r>
        <w:t>Naming is consistent and self-documenting throughout (case-block-hero, ds-swatch, frame-chip-alt), and every non-obvious implementation decision — the inline theme-flash-prevention script, the honeypot field, the IntersectionObserver header swap — carries an explanatory code comment at the point of use rather than only in external documentation, which keeps the two in sync.</w:t>
      </w:r>
    </w:p>
    <w:p w14:paraId="2E2CC9DD">
      <w:pPr>
        <w:spacing w:after="140"/>
        <w:jc w:val="both"/>
      </w:pPr>
      <w:r>
        <w:t>The project is explicit about what it is: the footer and README both state plainly that this is an internship/training submission, not a live corporate website for a real company — a small but material professionalism signal, since it prevents the deliverable from being mistaken for a claim of real client work.</w:t>
      </w:r>
    </w:p>
    <w:p w14:paraId="717FCD6F">
      <w:pPr>
        <w:pStyle w:val="2"/>
        <w:pageBreakBefore/>
        <w:spacing w:before="360" w:after="160"/>
      </w:pPr>
      <w:r>
        <w:t>15. Challenges, Learning &amp; Improvements</w:t>
      </w:r>
    </w:p>
    <w:p w14:paraId="54A65222">
      <w:pPr>
        <w:pStyle w:val="3"/>
        <w:spacing w:before="220" w:after="100"/>
      </w:pPr>
      <w:r>
        <w:t>15.1 Key Challenges</w:t>
      </w:r>
    </w:p>
    <w:p w14:paraId="72019F76">
      <w:pPr>
        <w:pStyle w:val="16"/>
        <w:numPr>
          <w:ilvl w:val="0"/>
          <w:numId w:val="1"/>
        </w:numPr>
        <w:spacing w:after="60"/>
      </w:pPr>
      <w:r>
        <w:t>Coordinating a fixed header's contrast and scroll offset against dynamically changing content (mobile menu, dark sections) without introducing layout jank.</w:t>
      </w:r>
    </w:p>
    <w:p w14:paraId="559544E1">
      <w:pPr>
        <w:pStyle w:val="16"/>
        <w:numPr>
          <w:ilvl w:val="0"/>
          <w:numId w:val="1"/>
        </w:numPr>
        <w:spacing w:after="60"/>
      </w:pPr>
      <w:r>
        <w:t>Building visually convincing, information-bearing UI mockups using only SVG/CSS primitives, with no image assets, while keeping them theme-aware.</w:t>
      </w:r>
    </w:p>
    <w:p w14:paraId="72D5220B">
      <w:pPr>
        <w:pStyle w:val="16"/>
        <w:numPr>
          <w:ilvl w:val="0"/>
          <w:numId w:val="1"/>
        </w:numPr>
        <w:spacing w:after="60"/>
      </w:pPr>
      <w:r>
        <w:t>Scoping spam and accessibility improvements realistically within a static, backend-free architecture rather than over-promising security guarantees the project cannot deliver.</w:t>
      </w:r>
    </w:p>
    <w:p w14:paraId="0FA78B84">
      <w:pPr>
        <w:pStyle w:val="3"/>
        <w:spacing w:before="220" w:after="100"/>
      </w:pPr>
      <w:r>
        <w:t>15.2 Lessons Learned</w:t>
      </w:r>
    </w:p>
    <w:p w14:paraId="611D9882">
      <w:pPr>
        <w:pStyle w:val="16"/>
        <w:numPr>
          <w:ilvl w:val="0"/>
          <w:numId w:val="1"/>
        </w:numPr>
        <w:spacing w:after="60"/>
      </w:pPr>
      <w:r>
        <w:t>A CSS custom-property token layer pays for itself quickly once a second theme (or, here, a second design pass) needs to reuse the same components.</w:t>
      </w:r>
    </w:p>
    <w:p w14:paraId="12E21C53">
      <w:pPr>
        <w:pStyle w:val="16"/>
        <w:numPr>
          <w:ilvl w:val="0"/>
          <w:numId w:val="1"/>
        </w:numPr>
        <w:spacing w:after="60"/>
      </w:pPr>
      <w:r>
        <w:t>Feature-detecting browser APIs (IntersectionObserver, localStorage) and providing a graceful fallback is cheap insurance against silent failures in restricted environments.</w:t>
      </w:r>
    </w:p>
    <w:p w14:paraId="5AE1A3DE">
      <w:pPr>
        <w:pStyle w:val="16"/>
        <w:numPr>
          <w:ilvl w:val="0"/>
          <w:numId w:val="1"/>
        </w:numPr>
        <w:spacing w:after="60"/>
      </w:pPr>
      <w:r>
        <w:t>Decorative elements affect perceived project quality as much as functional ones — the mockup redesign in Task 2 changed no functionality but directly addressed a real review comment about professionalism.</w:t>
      </w:r>
    </w:p>
    <w:p w14:paraId="510F25CD">
      <w:pPr>
        <w:pStyle w:val="3"/>
        <w:spacing w:before="220" w:after="100"/>
      </w:pPr>
      <w:r>
        <w:t>15.3 Software Engineering Practices Reinforced</w:t>
      </w:r>
    </w:p>
    <w:p w14:paraId="15898D3D">
      <w:pPr>
        <w:pStyle w:val="16"/>
        <w:numPr>
          <w:ilvl w:val="0"/>
          <w:numId w:val="1"/>
        </w:numPr>
        <w:spacing w:after="60"/>
      </w:pPr>
      <w:r>
        <w:t>Incremental, additive change sets (Task 2 modifies and extends Task 1 without breaking existing ids, classes or behaviour).</w:t>
      </w:r>
    </w:p>
    <w:p w14:paraId="47FD696E">
      <w:pPr>
        <w:pStyle w:val="16"/>
        <w:numPr>
          <w:ilvl w:val="0"/>
          <w:numId w:val="1"/>
        </w:numPr>
        <w:spacing w:after="60"/>
      </w:pPr>
      <w:r>
        <w:t>Defensive coding around optional runtime features.</w:t>
      </w:r>
    </w:p>
    <w:p w14:paraId="74D4AEC7">
      <w:pPr>
        <w:pStyle w:val="16"/>
        <w:numPr>
          <w:ilvl w:val="0"/>
          <w:numId w:val="1"/>
        </w:numPr>
        <w:spacing w:after="60"/>
      </w:pPr>
      <w:r>
        <w:t>Documenting scope boundaries explicitly (no backend, client-only spam defense) rather than leaving them implicit.</w:t>
      </w:r>
    </w:p>
    <w:p w14:paraId="0B3752C1">
      <w:pPr>
        <w:pStyle w:val="2"/>
        <w:pageBreakBefore/>
        <w:spacing w:before="360" w:after="160"/>
      </w:pPr>
      <w:r>
        <w:t>16. Future Enhancements</w:t>
      </w:r>
    </w:p>
    <w:p w14:paraId="5994EBBB">
      <w:pPr>
        <w:spacing w:after="140"/>
        <w:jc w:val="left"/>
      </w:pPr>
      <w:r>
        <w:rPr>
          <w:i/>
          <w:iCs/>
          <w:color w:val="5B6472"/>
        </w:rPr>
        <w:t>The following are explicitly NOT implemented in either submitted task. They are realistic next steps if the project continued beyond this internship scope:</w:t>
      </w:r>
    </w:p>
    <w:p w14:paraId="2DB32ACD">
      <w:pPr>
        <w:pStyle w:val="16"/>
        <w:numPr>
          <w:ilvl w:val="0"/>
          <w:numId w:val="1"/>
        </w:numPr>
        <w:spacing w:after="60"/>
      </w:pPr>
      <w:r>
        <w:t>FUTURE ENHANCEMENT: Wire the contact form to a real backend or form-handling service (e.g. a serverless function or third-party form API) so submissions are actually delivered.</w:t>
      </w:r>
    </w:p>
    <w:p w14:paraId="70F4256A">
      <w:pPr>
        <w:pStyle w:val="16"/>
        <w:numPr>
          <w:ilvl w:val="0"/>
          <w:numId w:val="1"/>
        </w:numPr>
        <w:spacing w:after="60"/>
      </w:pPr>
      <w:r>
        <w:t>FUTURE ENHANCEMENT: Add server-side or edge-based spam protection (e.g. rate limiting, a managed CAPTCHA) to complement the existing client-side honeypot, which cannot stop a targeted attacker on its own.</w:t>
      </w:r>
    </w:p>
    <w:p w14:paraId="5B453FCC">
      <w:pPr>
        <w:pStyle w:val="16"/>
        <w:numPr>
          <w:ilvl w:val="0"/>
          <w:numId w:val="1"/>
        </w:numPr>
        <w:spacing w:after="60"/>
      </w:pPr>
      <w:r>
        <w:t>FUTURE ENHANCEMENT: Introduce automated testing (e.g. Playwright test scripts checked into the repository) so the manual QA checklist in the README becomes a repeatable, CI-runnable suite.</w:t>
      </w:r>
    </w:p>
    <w:p w14:paraId="5BC6943C">
      <w:pPr>
        <w:pStyle w:val="16"/>
        <w:numPr>
          <w:ilvl w:val="0"/>
          <w:numId w:val="1"/>
        </w:numPr>
        <w:spacing w:after="60"/>
      </w:pPr>
      <w:r>
        <w:t>FUTURE ENHANCEMENT: Replace the fictional case-study metrics with a real, sourced client result if the site is ever used commercially.</w:t>
      </w:r>
    </w:p>
    <w:p w14:paraId="0E1A6638">
      <w:pPr>
        <w:pStyle w:val="16"/>
        <w:numPr>
          <w:ilvl w:val="0"/>
          <w:numId w:val="1"/>
        </w:numPr>
        <w:spacing w:after="60"/>
      </w:pPr>
      <w:r>
        <w:t>FUTURE ENHANCEMENT: Add a build step (bundler + minifier) once the CSS/JS grows large enough that unminified delivery meaningfully affects load time — not yet necessary at the current file sizes.</w:t>
      </w:r>
    </w:p>
    <w:p w14:paraId="6EC3CEE4">
      <w:pPr>
        <w:pStyle w:val="16"/>
        <w:numPr>
          <w:ilvl w:val="0"/>
          <w:numId w:val="1"/>
        </w:numPr>
        <w:spacing w:after="60"/>
      </w:pPr>
      <w:r>
        <w:t>FUTURE ENHANCEMENT: Expand the JSON-LD structured data with real business hours, geo-coordinates, and social profile links once those exist.</w:t>
      </w:r>
    </w:p>
    <w:p w14:paraId="73498E91">
      <w:pPr>
        <w:pStyle w:val="2"/>
        <w:pageBreakBefore/>
        <w:spacing w:before="360" w:after="160"/>
      </w:pPr>
      <w:r>
        <w:t>17. Final Evaluation / Conclusion</w:t>
      </w:r>
    </w:p>
    <w:p w14:paraId="34333C8C">
      <w:pPr>
        <w:spacing w:after="140"/>
        <w:jc w:val="both"/>
      </w:pPr>
      <w:r>
        <w:t>Taken together, Task 1 and Task 2 demonstrate a complete, working front-end deliverable and the ability to iterate on it professionally without regressing existing functionality. Task 1 shows the core competencies required of the internship — semantic HTML, a maintainable CSS architecture, and framework-free JavaScript interactivity — applied to a realistic, content-complete business website. Task 2 shows a different, equally important competency: the discipline to take a working project and specifically raise it toward production standards (SEO, accessibility, spam handling, visual credibility) based on identified gaps, rather than treating "working" as "finished."</w:t>
      </w:r>
    </w:p>
    <w:p w14:paraId="1B25FACF">
      <w:pPr>
        <w:spacing w:after="140"/>
        <w:jc w:val="both"/>
      </w:pPr>
      <w:r>
        <w:t>The codebase is honest about its own boundaries — no backend is claimed, no security guarantee is overstated, and the project is clearly labelled as a training submission — which is itself evidence of professional judgment. On the strength of the evidence catalogued in this report, both tasks meet the stated grading criteria with genuine, code-backed justification rather than generic claims.</w:t>
      </w:r>
    </w:p>
    <w:p w14:paraId="77A58830">
      <w:pPr>
        <w:pStyle w:val="2"/>
        <w:pageBreakBefore/>
        <w:spacing w:before="360" w:after="160"/>
      </w:pPr>
      <w:r>
        <w:t>Pre-Submission Quality Review</w:t>
      </w:r>
    </w:p>
    <w:p w14:paraId="409D3FB1">
      <w:pPr>
        <w:pStyle w:val="3"/>
        <w:spacing w:before="220" w:after="100"/>
      </w:pPr>
      <w:r>
        <w:t>Strengths</w:t>
      </w:r>
    </w:p>
    <w:p w14:paraId="6A40AAA3">
      <w:pPr>
        <w:pStyle w:val="16"/>
        <w:numPr>
          <w:ilvl w:val="0"/>
          <w:numId w:val="1"/>
        </w:numPr>
        <w:spacing w:after="60"/>
      </w:pPr>
      <w:r>
        <w:t>Complete, dependency-free implementation that runs by simply opening index.html — nothing to install, nothing that can fail to build.</w:t>
      </w:r>
    </w:p>
    <w:p w14:paraId="6AB506E7">
      <w:pPr>
        <w:pStyle w:val="16"/>
        <w:numPr>
          <w:ilvl w:val="0"/>
          <w:numId w:val="1"/>
        </w:numPr>
        <w:spacing w:after="60"/>
      </w:pPr>
      <w:r>
        <w:t>Consistent design-token architecture makes the codebase easy to extend (proven by Task 2 reusing every existing token for its new mockups).</w:t>
      </w:r>
    </w:p>
    <w:p w14:paraId="2637EA11">
      <w:pPr>
        <w:pStyle w:val="16"/>
        <w:numPr>
          <w:ilvl w:val="0"/>
          <w:numId w:val="1"/>
        </w:numPr>
        <w:spacing w:after="60"/>
      </w:pPr>
      <w:r>
        <w:t>Documented scope boundaries (no backend) prevent the submission from over-claiming capability.</w:t>
      </w:r>
    </w:p>
    <w:p w14:paraId="2D4E3E05">
      <w:pPr>
        <w:pStyle w:val="16"/>
        <w:numPr>
          <w:ilvl w:val="0"/>
          <w:numId w:val="1"/>
        </w:numPr>
        <w:spacing w:after="60"/>
      </w:pPr>
      <w:r>
        <w:t>Accessibility groundwork (focus-visible, reduced-motion, aria-live, skip-link) goes beyond what is typically required at this level.</w:t>
      </w:r>
    </w:p>
    <w:p w14:paraId="714E1CE5">
      <w:pPr>
        <w:pStyle w:val="3"/>
        <w:spacing w:before="220" w:after="100"/>
      </w:pPr>
      <w:r>
        <w:t>Potential Issues</w:t>
      </w:r>
    </w:p>
    <w:p w14:paraId="0E0C2051">
      <w:pPr>
        <w:pStyle w:val="16"/>
        <w:numPr>
          <w:ilvl w:val="0"/>
          <w:numId w:val="1"/>
        </w:numPr>
        <w:spacing w:after="60"/>
      </w:pPr>
      <w:r>
        <w:t>The contact form does not send data anywhere — a reviewer testing it end-to-end will see a simulated success message with no real delivery. This is documented but could still read as "incomplete" to a grader who does not read the README.</w:t>
      </w:r>
    </w:p>
    <w:p w14:paraId="21AC4457">
      <w:pPr>
        <w:pStyle w:val="16"/>
        <w:numPr>
          <w:ilvl w:val="0"/>
          <w:numId w:val="1"/>
        </w:numPr>
        <w:spacing w:after="60"/>
      </w:pPr>
      <w:r>
        <w:t>The honeypot is the only spam defense; it is appropriate for a static demo site but would not be described as robust in a production context.</w:t>
      </w:r>
    </w:p>
    <w:p w14:paraId="2F1B55DB">
      <w:pPr>
        <w:pStyle w:val="16"/>
        <w:numPr>
          <w:ilvl w:val="0"/>
          <w:numId w:val="1"/>
        </w:numPr>
        <w:spacing w:after="60"/>
      </w:pPr>
      <w:r>
        <w:t>Case-study statistics (71%, 2.4×, 5 weeks) are clearly fictional placeholder content for a fictional client (Norvanta) but are not labelled as illustrative within the page itself — only in the README.</w:t>
      </w:r>
    </w:p>
    <w:p w14:paraId="0B81E940">
      <w:pPr>
        <w:pStyle w:val="16"/>
        <w:numPr>
          <w:ilvl w:val="0"/>
          <w:numId w:val="1"/>
        </w:numPr>
        <w:spacing w:after="60"/>
      </w:pPr>
      <w:r>
        <w:t>The DOM/CSS class contract between script.js and style.css (Section 5) is not documented in a single reference table, which could slow down a future contributor who is not the original author.</w:t>
      </w:r>
    </w:p>
    <w:p w14:paraId="31B8A638">
      <w:pPr>
        <w:pStyle w:val="3"/>
        <w:spacing w:before="220" w:after="100"/>
      </w:pPr>
      <w:r>
        <w:t>Recommended Fixes</w:t>
      </w:r>
    </w:p>
    <w:tbl>
      <w:tblPr>
        <w:tblStyle w:val="9"/>
        <w:tblW w:w="9360" w:type="dxa"/>
        <w:tblInd w:w="0" w:type="dxa"/>
        <w:tblBorders>
          <w:top w:val="single" w:color="D9DEE8" w:sz="4" w:space="0"/>
          <w:left w:val="single" w:color="D9DEE8" w:sz="4" w:space="0"/>
          <w:bottom w:val="single" w:color="D9DEE8" w:sz="4" w:space="0"/>
          <w:right w:val="single" w:color="D9DEE8" w:sz="4" w:space="0"/>
          <w:insideH w:val="single" w:color="D9DEE8" w:sz="4" w:space="0"/>
          <w:insideV w:val="single" w:color="D9DEE8" w:sz="4" w:space="0"/>
        </w:tblBorders>
        <w:tblLayout w:type="autofit"/>
        <w:tblCellMar>
          <w:top w:w="0" w:type="dxa"/>
          <w:left w:w="10" w:type="dxa"/>
          <w:bottom w:w="0" w:type="dxa"/>
          <w:right w:w="10" w:type="dxa"/>
        </w:tblCellMar>
      </w:tblPr>
      <w:tblGrid>
        <w:gridCol w:w="3200"/>
        <w:gridCol w:w="4560"/>
        <w:gridCol w:w="1600"/>
      </w:tblGrid>
      <w:tr w14:paraId="4D4067B2">
        <w:tblPrEx>
          <w:tblBorders>
            <w:top w:val="single" w:color="D9DEE8" w:sz="4" w:space="0"/>
            <w:left w:val="single" w:color="D9DEE8" w:sz="4" w:space="0"/>
            <w:bottom w:val="single" w:color="D9DEE8" w:sz="4" w:space="0"/>
            <w:right w:val="single" w:color="D9DEE8" w:sz="4" w:space="0"/>
            <w:insideH w:val="single" w:color="D9DEE8" w:sz="4" w:space="0"/>
            <w:insideV w:val="single" w:color="D9DEE8" w:sz="4" w:space="0"/>
          </w:tblBorders>
          <w:tblCellMar>
            <w:top w:w="0" w:type="dxa"/>
            <w:left w:w="10" w:type="dxa"/>
            <w:bottom w:w="0" w:type="dxa"/>
            <w:right w:w="10" w:type="dxa"/>
          </w:tblCellMar>
        </w:tblPrEx>
        <w:trPr>
          <w:tblHeader/>
        </w:trPr>
        <w:tc>
          <w:tcPr>
            <w:tcW w:w="3200" w:type="dxa"/>
            <w:shd w:val="clear" w:color="auto" w:fill="1F3A5F"/>
            <w:tcMar>
              <w:top w:w="80" w:type="dxa"/>
              <w:left w:w="120" w:type="dxa"/>
              <w:bottom w:w="80" w:type="dxa"/>
              <w:right w:w="120" w:type="dxa"/>
            </w:tcMar>
            <w:vAlign w:val="center"/>
          </w:tcPr>
          <w:p w14:paraId="6BA9E77D">
            <w:pPr>
              <w:jc w:val="left"/>
            </w:pPr>
            <w:r>
              <w:rPr>
                <w:b/>
                <w:bCs/>
                <w:color w:val="FFFFFF"/>
                <w:sz w:val="20"/>
                <w:szCs w:val="20"/>
              </w:rPr>
              <w:t>Issue</w:t>
            </w:r>
          </w:p>
        </w:tc>
        <w:tc>
          <w:tcPr>
            <w:tcW w:w="4560" w:type="dxa"/>
            <w:shd w:val="clear" w:color="auto" w:fill="1F3A5F"/>
            <w:tcMar>
              <w:top w:w="80" w:type="dxa"/>
              <w:left w:w="120" w:type="dxa"/>
              <w:bottom w:w="80" w:type="dxa"/>
              <w:right w:w="120" w:type="dxa"/>
            </w:tcMar>
            <w:vAlign w:val="center"/>
          </w:tcPr>
          <w:p w14:paraId="0362C311">
            <w:pPr>
              <w:jc w:val="left"/>
            </w:pPr>
            <w:r>
              <w:rPr>
                <w:b/>
                <w:bCs/>
                <w:color w:val="FFFFFF"/>
                <w:sz w:val="20"/>
                <w:szCs w:val="20"/>
              </w:rPr>
              <w:t>Recommended Fix</w:t>
            </w:r>
          </w:p>
        </w:tc>
        <w:tc>
          <w:tcPr>
            <w:tcW w:w="1600" w:type="dxa"/>
            <w:shd w:val="clear" w:color="auto" w:fill="1F3A5F"/>
            <w:tcMar>
              <w:top w:w="80" w:type="dxa"/>
              <w:left w:w="120" w:type="dxa"/>
              <w:bottom w:w="80" w:type="dxa"/>
              <w:right w:w="120" w:type="dxa"/>
            </w:tcMar>
            <w:vAlign w:val="center"/>
          </w:tcPr>
          <w:p w14:paraId="7A8FBB6A">
            <w:pPr>
              <w:jc w:val="left"/>
            </w:pPr>
            <w:r>
              <w:rPr>
                <w:b/>
                <w:bCs/>
                <w:color w:val="FFFFFF"/>
                <w:sz w:val="20"/>
                <w:szCs w:val="20"/>
              </w:rPr>
              <w:t>Priority</w:t>
            </w:r>
          </w:p>
        </w:tc>
      </w:tr>
      <w:tr w14:paraId="79B2910A">
        <w:tblPrEx>
          <w:tblBorders>
            <w:top w:val="single" w:color="D9DEE8" w:sz="4" w:space="0"/>
            <w:left w:val="single" w:color="D9DEE8" w:sz="4" w:space="0"/>
            <w:bottom w:val="single" w:color="D9DEE8" w:sz="4" w:space="0"/>
            <w:right w:val="single" w:color="D9DEE8" w:sz="4" w:space="0"/>
            <w:insideH w:val="single" w:color="D9DEE8" w:sz="4" w:space="0"/>
            <w:insideV w:val="single" w:color="D9DEE8" w:sz="4" w:space="0"/>
          </w:tblBorders>
          <w:tblCellMar>
            <w:top w:w="0" w:type="dxa"/>
            <w:left w:w="10" w:type="dxa"/>
            <w:bottom w:w="0" w:type="dxa"/>
            <w:right w:w="10" w:type="dxa"/>
          </w:tblCellMar>
        </w:tblPrEx>
        <w:tc>
          <w:tcPr>
            <w:tcW w:w="3200" w:type="dxa"/>
            <w:tcMar>
              <w:top w:w="80" w:type="dxa"/>
              <w:left w:w="120" w:type="dxa"/>
              <w:bottom w:w="80" w:type="dxa"/>
              <w:right w:w="120" w:type="dxa"/>
            </w:tcMar>
            <w:vAlign w:val="center"/>
          </w:tcPr>
          <w:p w14:paraId="773DC845">
            <w:pPr>
              <w:jc w:val="left"/>
            </w:pPr>
            <w:r>
              <w:rPr>
                <w:b w:val="0"/>
                <w:bCs w:val="0"/>
                <w:color w:val="111111"/>
                <w:sz w:val="20"/>
                <w:szCs w:val="20"/>
              </w:rPr>
              <w:t>Contact form has no real delivery mechanism</w:t>
            </w:r>
          </w:p>
        </w:tc>
        <w:tc>
          <w:tcPr>
            <w:tcW w:w="4560" w:type="dxa"/>
            <w:tcMar>
              <w:top w:w="80" w:type="dxa"/>
              <w:left w:w="120" w:type="dxa"/>
              <w:bottom w:w="80" w:type="dxa"/>
              <w:right w:w="120" w:type="dxa"/>
            </w:tcMar>
            <w:vAlign w:val="center"/>
          </w:tcPr>
          <w:p w14:paraId="0749462F">
            <w:pPr>
              <w:jc w:val="left"/>
            </w:pPr>
            <w:r>
              <w:rPr>
                <w:b w:val="0"/>
                <w:bCs w:val="0"/>
                <w:color w:val="111111"/>
                <w:sz w:val="20"/>
                <w:szCs w:val="20"/>
              </w:rPr>
              <w:t>Add a one-line note near the form (or in an on-page comment) clarifying it is a front-end demo, or connect a lightweight form-handling service before live/commercial use.</w:t>
            </w:r>
          </w:p>
        </w:tc>
        <w:tc>
          <w:tcPr>
            <w:tcW w:w="1600" w:type="dxa"/>
            <w:tcMar>
              <w:top w:w="80" w:type="dxa"/>
              <w:left w:w="120" w:type="dxa"/>
              <w:bottom w:w="80" w:type="dxa"/>
              <w:right w:w="120" w:type="dxa"/>
            </w:tcMar>
            <w:vAlign w:val="center"/>
          </w:tcPr>
          <w:p w14:paraId="5B500FD7">
            <w:pPr>
              <w:jc w:val="left"/>
            </w:pPr>
            <w:r>
              <w:rPr>
                <w:b w:val="0"/>
                <w:bCs w:val="0"/>
                <w:color w:val="111111"/>
                <w:sz w:val="20"/>
                <w:szCs w:val="20"/>
              </w:rPr>
              <w:t>Medium</w:t>
            </w:r>
          </w:p>
        </w:tc>
      </w:tr>
      <w:tr w14:paraId="4E86F938">
        <w:tblPrEx>
          <w:tblBorders>
            <w:top w:val="single" w:color="D9DEE8" w:sz="4" w:space="0"/>
            <w:left w:val="single" w:color="D9DEE8" w:sz="4" w:space="0"/>
            <w:bottom w:val="single" w:color="D9DEE8" w:sz="4" w:space="0"/>
            <w:right w:val="single" w:color="D9DEE8" w:sz="4" w:space="0"/>
            <w:insideH w:val="single" w:color="D9DEE8" w:sz="4" w:space="0"/>
            <w:insideV w:val="single" w:color="D9DEE8" w:sz="4" w:space="0"/>
          </w:tblBorders>
          <w:tblCellMar>
            <w:top w:w="0" w:type="dxa"/>
            <w:left w:w="10" w:type="dxa"/>
            <w:bottom w:w="0" w:type="dxa"/>
            <w:right w:w="10" w:type="dxa"/>
          </w:tblCellMar>
        </w:tblPrEx>
        <w:tc>
          <w:tcPr>
            <w:tcW w:w="3200" w:type="dxa"/>
            <w:shd w:val="clear" w:color="auto" w:fill="F6F8FB"/>
            <w:tcMar>
              <w:top w:w="80" w:type="dxa"/>
              <w:left w:w="120" w:type="dxa"/>
              <w:bottom w:w="80" w:type="dxa"/>
              <w:right w:w="120" w:type="dxa"/>
            </w:tcMar>
            <w:vAlign w:val="center"/>
          </w:tcPr>
          <w:p w14:paraId="5F327088">
            <w:pPr>
              <w:jc w:val="left"/>
            </w:pPr>
            <w:r>
              <w:rPr>
                <w:b w:val="0"/>
                <w:bCs w:val="0"/>
                <w:color w:val="111111"/>
                <w:sz w:val="20"/>
                <w:szCs w:val="20"/>
              </w:rPr>
              <w:t>Honeypot is the sole spam defense</w:t>
            </w:r>
          </w:p>
        </w:tc>
        <w:tc>
          <w:tcPr>
            <w:tcW w:w="4560" w:type="dxa"/>
            <w:shd w:val="clear" w:color="auto" w:fill="F6F8FB"/>
            <w:tcMar>
              <w:top w:w="80" w:type="dxa"/>
              <w:left w:w="120" w:type="dxa"/>
              <w:bottom w:w="80" w:type="dxa"/>
              <w:right w:w="120" w:type="dxa"/>
            </w:tcMar>
            <w:vAlign w:val="center"/>
          </w:tcPr>
          <w:p w14:paraId="69397591">
            <w:pPr>
              <w:jc w:val="left"/>
            </w:pPr>
            <w:r>
              <w:rPr>
                <w:b w:val="0"/>
                <w:bCs w:val="0"/>
                <w:color w:val="111111"/>
                <w:sz w:val="20"/>
                <w:szCs w:val="20"/>
              </w:rPr>
              <w:t>Acceptable for this submission; flag as a Future Enhancement (already included in Section 16) rather than a required fix before submission.</w:t>
            </w:r>
          </w:p>
        </w:tc>
        <w:tc>
          <w:tcPr>
            <w:tcW w:w="1600" w:type="dxa"/>
            <w:shd w:val="clear" w:color="auto" w:fill="F6F8FB"/>
            <w:tcMar>
              <w:top w:w="80" w:type="dxa"/>
              <w:left w:w="120" w:type="dxa"/>
              <w:bottom w:w="80" w:type="dxa"/>
              <w:right w:w="120" w:type="dxa"/>
            </w:tcMar>
            <w:vAlign w:val="center"/>
          </w:tcPr>
          <w:p w14:paraId="4C05934C">
            <w:pPr>
              <w:jc w:val="left"/>
            </w:pPr>
            <w:r>
              <w:rPr>
                <w:b w:val="0"/>
                <w:bCs w:val="0"/>
                <w:color w:val="111111"/>
                <w:sz w:val="20"/>
                <w:szCs w:val="20"/>
              </w:rPr>
              <w:t>Low</w:t>
            </w:r>
          </w:p>
        </w:tc>
      </w:tr>
      <w:tr w14:paraId="227A5FBD">
        <w:tblPrEx>
          <w:tblBorders>
            <w:top w:val="single" w:color="D9DEE8" w:sz="4" w:space="0"/>
            <w:left w:val="single" w:color="D9DEE8" w:sz="4" w:space="0"/>
            <w:bottom w:val="single" w:color="D9DEE8" w:sz="4" w:space="0"/>
            <w:right w:val="single" w:color="D9DEE8" w:sz="4" w:space="0"/>
            <w:insideH w:val="single" w:color="D9DEE8" w:sz="4" w:space="0"/>
            <w:insideV w:val="single" w:color="D9DEE8" w:sz="4" w:space="0"/>
          </w:tblBorders>
          <w:tblCellMar>
            <w:top w:w="0" w:type="dxa"/>
            <w:left w:w="10" w:type="dxa"/>
            <w:bottom w:w="0" w:type="dxa"/>
            <w:right w:w="10" w:type="dxa"/>
          </w:tblCellMar>
        </w:tblPrEx>
        <w:tc>
          <w:tcPr>
            <w:tcW w:w="3200" w:type="dxa"/>
            <w:tcMar>
              <w:top w:w="80" w:type="dxa"/>
              <w:left w:w="120" w:type="dxa"/>
              <w:bottom w:w="80" w:type="dxa"/>
              <w:right w:w="120" w:type="dxa"/>
            </w:tcMar>
            <w:vAlign w:val="center"/>
          </w:tcPr>
          <w:p w14:paraId="2A11533B">
            <w:pPr>
              <w:jc w:val="left"/>
            </w:pPr>
            <w:r>
              <w:rPr>
                <w:b w:val="0"/>
                <w:bCs w:val="0"/>
                <w:color w:val="111111"/>
                <w:sz w:val="20"/>
                <w:szCs w:val="20"/>
              </w:rPr>
              <w:t>Fictional case-study metrics not labelled in-page</w:t>
            </w:r>
          </w:p>
        </w:tc>
        <w:tc>
          <w:tcPr>
            <w:tcW w:w="4560" w:type="dxa"/>
            <w:tcMar>
              <w:top w:w="80" w:type="dxa"/>
              <w:left w:w="120" w:type="dxa"/>
              <w:bottom w:w="80" w:type="dxa"/>
              <w:right w:w="120" w:type="dxa"/>
            </w:tcMar>
            <w:vAlign w:val="center"/>
          </w:tcPr>
          <w:p w14:paraId="6B136E5D">
            <w:pPr>
              <w:jc w:val="left"/>
            </w:pPr>
            <w:r>
              <w:rPr>
                <w:b w:val="0"/>
                <w:bCs w:val="0"/>
                <w:color w:val="111111"/>
                <w:sz w:val="20"/>
                <w:szCs w:val="20"/>
              </w:rPr>
              <w:t>Consider a small "illustrative example" caption near the case study if the site is ever shown outside an academic context.</w:t>
            </w:r>
          </w:p>
        </w:tc>
        <w:tc>
          <w:tcPr>
            <w:tcW w:w="1600" w:type="dxa"/>
            <w:tcMar>
              <w:top w:w="80" w:type="dxa"/>
              <w:left w:w="120" w:type="dxa"/>
              <w:bottom w:w="80" w:type="dxa"/>
              <w:right w:w="120" w:type="dxa"/>
            </w:tcMar>
            <w:vAlign w:val="center"/>
          </w:tcPr>
          <w:p w14:paraId="447286D4">
            <w:pPr>
              <w:jc w:val="left"/>
            </w:pPr>
            <w:r>
              <w:rPr>
                <w:b w:val="0"/>
                <w:bCs w:val="0"/>
                <w:color w:val="111111"/>
                <w:sz w:val="20"/>
                <w:szCs w:val="20"/>
              </w:rPr>
              <w:t>Low</w:t>
            </w:r>
          </w:p>
        </w:tc>
      </w:tr>
      <w:tr w14:paraId="7D929456">
        <w:tblPrEx>
          <w:tblBorders>
            <w:top w:val="single" w:color="D9DEE8" w:sz="4" w:space="0"/>
            <w:left w:val="single" w:color="D9DEE8" w:sz="4" w:space="0"/>
            <w:bottom w:val="single" w:color="D9DEE8" w:sz="4" w:space="0"/>
            <w:right w:val="single" w:color="D9DEE8" w:sz="4" w:space="0"/>
            <w:insideH w:val="single" w:color="D9DEE8" w:sz="4" w:space="0"/>
            <w:insideV w:val="single" w:color="D9DEE8" w:sz="4" w:space="0"/>
          </w:tblBorders>
          <w:tblCellMar>
            <w:top w:w="0" w:type="dxa"/>
            <w:left w:w="10" w:type="dxa"/>
            <w:bottom w:w="0" w:type="dxa"/>
            <w:right w:w="10" w:type="dxa"/>
          </w:tblCellMar>
        </w:tblPrEx>
        <w:tc>
          <w:tcPr>
            <w:tcW w:w="3200" w:type="dxa"/>
            <w:shd w:val="clear" w:color="auto" w:fill="F6F8FB"/>
            <w:tcMar>
              <w:top w:w="80" w:type="dxa"/>
              <w:left w:w="120" w:type="dxa"/>
              <w:bottom w:w="80" w:type="dxa"/>
              <w:right w:w="120" w:type="dxa"/>
            </w:tcMar>
            <w:vAlign w:val="center"/>
          </w:tcPr>
          <w:p w14:paraId="6498B70C">
            <w:pPr>
              <w:jc w:val="left"/>
            </w:pPr>
            <w:r>
              <w:rPr>
                <w:b w:val="0"/>
                <w:bCs w:val="0"/>
                <w:color w:val="111111"/>
                <w:sz w:val="20"/>
                <w:szCs w:val="20"/>
              </w:rPr>
              <w:t>No single reference for the JS↔CSS class contract</w:t>
            </w:r>
          </w:p>
        </w:tc>
        <w:tc>
          <w:tcPr>
            <w:tcW w:w="4560" w:type="dxa"/>
            <w:shd w:val="clear" w:color="auto" w:fill="F6F8FB"/>
            <w:tcMar>
              <w:top w:w="80" w:type="dxa"/>
              <w:left w:w="120" w:type="dxa"/>
              <w:bottom w:w="80" w:type="dxa"/>
              <w:right w:w="120" w:type="dxa"/>
            </w:tcMar>
            <w:vAlign w:val="center"/>
          </w:tcPr>
          <w:p w14:paraId="0A407296">
            <w:pPr>
              <w:jc w:val="left"/>
            </w:pPr>
            <w:r>
              <w:rPr>
                <w:b w:val="0"/>
                <w:bCs w:val="0"/>
                <w:color w:val="111111"/>
                <w:sz w:val="20"/>
                <w:szCs w:val="20"/>
              </w:rPr>
              <w:t>Add a short "State classes" table to README.md listing each class script.js toggles and what it does in CSS, to speed up future maintenance.</w:t>
            </w:r>
          </w:p>
        </w:tc>
        <w:tc>
          <w:tcPr>
            <w:tcW w:w="1600" w:type="dxa"/>
            <w:shd w:val="clear" w:color="auto" w:fill="F6F8FB"/>
            <w:tcMar>
              <w:top w:w="80" w:type="dxa"/>
              <w:left w:w="120" w:type="dxa"/>
              <w:bottom w:w="80" w:type="dxa"/>
              <w:right w:w="120" w:type="dxa"/>
            </w:tcMar>
            <w:vAlign w:val="center"/>
          </w:tcPr>
          <w:p w14:paraId="31C78890">
            <w:pPr>
              <w:jc w:val="left"/>
            </w:pPr>
            <w:r>
              <w:rPr>
                <w:b w:val="0"/>
                <w:bCs w:val="0"/>
                <w:color w:val="111111"/>
                <w:sz w:val="20"/>
                <w:szCs w:val="20"/>
              </w:rPr>
              <w:t>Medium</w:t>
            </w:r>
          </w:p>
        </w:tc>
      </w:tr>
    </w:tbl>
    <w:p w14:paraId="35386F7F">
      <w:pPr>
        <w:spacing w:before="60" w:after="200"/>
      </w:pPr>
      <w:r>
        <w:rPr>
          <w:i/>
          <w:iCs/>
          <w:color w:val="5B6472"/>
          <w:sz w:val="18"/>
          <w:szCs w:val="18"/>
        </w:rPr>
        <w:t>No High-priority issues were identified — the project is submission-ready as-is; the items above are quality-of-life improvements, not blockers.</w:t>
      </w:r>
    </w:p>
    <w:p w14:paraId="7F5CDF3B">
      <w:pPr>
        <w:pStyle w:val="2"/>
        <w:pageBreakBefore/>
        <w:spacing w:before="360" w:after="160"/>
      </w:pPr>
      <w:r>
        <w:t>18. Appendix</w:t>
      </w:r>
    </w:p>
    <w:p w14:paraId="6B620634">
      <w:pPr>
        <w:pStyle w:val="3"/>
        <w:spacing w:before="220" w:after="100"/>
      </w:pPr>
      <w:r>
        <w:t>A. Project Structure (Task 2, final)</w:t>
      </w:r>
    </w:p>
    <w:p w14:paraId="43E661B7">
      <w:pPr>
        <w:shd w:val="clear" w:fill="F6F8FB"/>
        <w:spacing w:before="120" w:after="0"/>
      </w:pPr>
      <w:r>
        <w:rPr>
          <w:rFonts w:ascii="Courier New" w:hAnsi="Courier New" w:eastAsia="Courier New" w:cs="Courier New"/>
          <w:sz w:val="18"/>
          <w:szCs w:val="18"/>
        </w:rPr>
        <w:t>virexo-innovations/</w:t>
      </w:r>
    </w:p>
    <w:p w14:paraId="1387E5E1">
      <w:pPr>
        <w:shd w:val="clear" w:fill="F6F8FB"/>
        <w:spacing w:before="0" w:after="0"/>
      </w:pPr>
      <w:r>
        <w:rPr>
          <w:rFonts w:ascii="Courier New" w:hAnsi="Courier New" w:eastAsia="Courier New" w:cs="Courier New"/>
          <w:sz w:val="18"/>
          <w:szCs w:val="18"/>
        </w:rPr>
        <w:t>├── index.html</w:t>
      </w:r>
    </w:p>
    <w:p w14:paraId="48A16702">
      <w:pPr>
        <w:shd w:val="clear" w:fill="F6F8FB"/>
        <w:spacing w:before="0" w:after="0"/>
      </w:pPr>
      <w:r>
        <w:rPr>
          <w:rFonts w:ascii="Courier New" w:hAnsi="Courier New" w:eastAsia="Courier New" w:cs="Courier New"/>
          <w:sz w:val="18"/>
          <w:szCs w:val="18"/>
        </w:rPr>
        <w:t>├── css/style.css</w:t>
      </w:r>
    </w:p>
    <w:p w14:paraId="1FEAB123">
      <w:pPr>
        <w:shd w:val="clear" w:fill="F6F8FB"/>
        <w:spacing w:before="0" w:after="0"/>
      </w:pPr>
      <w:r>
        <w:rPr>
          <w:rFonts w:ascii="Courier New" w:hAnsi="Courier New" w:eastAsia="Courier New" w:cs="Courier New"/>
          <w:sz w:val="18"/>
          <w:szCs w:val="18"/>
        </w:rPr>
        <w:t>├── js/script.js</w:t>
      </w:r>
    </w:p>
    <w:p w14:paraId="7B648057">
      <w:pPr>
        <w:shd w:val="clear" w:fill="F6F8FB"/>
        <w:spacing w:before="0" w:after="0"/>
      </w:pPr>
      <w:r>
        <w:rPr>
          <w:rFonts w:ascii="Courier New" w:hAnsi="Courier New" w:eastAsia="Courier New" w:cs="Courier New"/>
          <w:sz w:val="18"/>
          <w:szCs w:val="18"/>
        </w:rPr>
        <w:t>├── assets/images/favicon.svg</w:t>
      </w:r>
    </w:p>
    <w:p w14:paraId="52DAC2C8">
      <w:pPr>
        <w:shd w:val="clear" w:fill="F6F8FB"/>
        <w:spacing w:before="0" w:after="0"/>
      </w:pPr>
      <w:r>
        <w:rPr>
          <w:rFonts w:ascii="Courier New" w:hAnsi="Courier New" w:eastAsia="Courier New" w:cs="Courier New"/>
          <w:sz w:val="18"/>
          <w:szCs w:val="18"/>
        </w:rPr>
        <w:t>├── robots.txt</w:t>
      </w:r>
    </w:p>
    <w:p w14:paraId="57E53C8E">
      <w:pPr>
        <w:shd w:val="clear" w:fill="F6F8FB"/>
        <w:spacing w:before="0" w:after="0"/>
      </w:pPr>
      <w:r>
        <w:rPr>
          <w:rFonts w:ascii="Courier New" w:hAnsi="Courier New" w:eastAsia="Courier New" w:cs="Courier New"/>
          <w:sz w:val="18"/>
          <w:szCs w:val="18"/>
        </w:rPr>
        <w:t>├── sitemap.xml</w:t>
      </w:r>
    </w:p>
    <w:p w14:paraId="4D9EC876">
      <w:pPr>
        <w:shd w:val="clear" w:fill="F6F8FB"/>
        <w:spacing w:before="0" w:after="200"/>
      </w:pPr>
      <w:r>
        <w:rPr>
          <w:rFonts w:ascii="Courier New" w:hAnsi="Courier New" w:eastAsia="Courier New" w:cs="Courier New"/>
          <w:sz w:val="18"/>
          <w:szCs w:val="18"/>
        </w:rPr>
        <w:t>└── README.md</w:t>
      </w:r>
    </w:p>
    <w:p w14:paraId="356A1447">
      <w:pPr>
        <w:pStyle w:val="3"/>
        <w:spacing w:before="220" w:after="100"/>
      </w:pPr>
      <w:r>
        <w:t>B. Line Count Summary</w:t>
      </w:r>
    </w:p>
    <w:tbl>
      <w:tblPr>
        <w:tblStyle w:val="9"/>
        <w:tblW w:w="9360" w:type="dxa"/>
        <w:tblInd w:w="0" w:type="dxa"/>
        <w:tblBorders>
          <w:top w:val="single" w:color="D9DEE8" w:sz="4" w:space="0"/>
          <w:left w:val="single" w:color="D9DEE8" w:sz="4" w:space="0"/>
          <w:bottom w:val="single" w:color="D9DEE8" w:sz="4" w:space="0"/>
          <w:right w:val="single" w:color="D9DEE8" w:sz="4" w:space="0"/>
          <w:insideH w:val="single" w:color="D9DEE8" w:sz="4" w:space="0"/>
          <w:insideV w:val="single" w:color="D9DEE8" w:sz="4" w:space="0"/>
        </w:tblBorders>
        <w:tblLayout w:type="autofit"/>
        <w:tblCellMar>
          <w:top w:w="0" w:type="dxa"/>
          <w:left w:w="10" w:type="dxa"/>
          <w:bottom w:w="0" w:type="dxa"/>
          <w:right w:w="10" w:type="dxa"/>
        </w:tblCellMar>
      </w:tblPr>
      <w:tblGrid>
        <w:gridCol w:w="2900"/>
        <w:gridCol w:w="2200"/>
        <w:gridCol w:w="2200"/>
        <w:gridCol w:w="2060"/>
      </w:tblGrid>
      <w:tr w14:paraId="5F7772AA">
        <w:tblPrEx>
          <w:tblBorders>
            <w:top w:val="single" w:color="D9DEE8" w:sz="4" w:space="0"/>
            <w:left w:val="single" w:color="D9DEE8" w:sz="4" w:space="0"/>
            <w:bottom w:val="single" w:color="D9DEE8" w:sz="4" w:space="0"/>
            <w:right w:val="single" w:color="D9DEE8" w:sz="4" w:space="0"/>
            <w:insideH w:val="single" w:color="D9DEE8" w:sz="4" w:space="0"/>
            <w:insideV w:val="single" w:color="D9DEE8" w:sz="4" w:space="0"/>
          </w:tblBorders>
          <w:tblCellMar>
            <w:top w:w="0" w:type="dxa"/>
            <w:left w:w="10" w:type="dxa"/>
            <w:bottom w:w="0" w:type="dxa"/>
            <w:right w:w="10" w:type="dxa"/>
          </w:tblCellMar>
        </w:tblPrEx>
        <w:trPr>
          <w:tblHeader/>
        </w:trPr>
        <w:tc>
          <w:tcPr>
            <w:tcW w:w="2900" w:type="dxa"/>
            <w:shd w:val="clear" w:color="auto" w:fill="1F3A5F"/>
            <w:tcMar>
              <w:top w:w="80" w:type="dxa"/>
              <w:left w:w="120" w:type="dxa"/>
              <w:bottom w:w="80" w:type="dxa"/>
              <w:right w:w="120" w:type="dxa"/>
            </w:tcMar>
            <w:vAlign w:val="center"/>
          </w:tcPr>
          <w:p w14:paraId="64B3D270">
            <w:pPr>
              <w:jc w:val="left"/>
            </w:pPr>
            <w:r>
              <w:rPr>
                <w:b/>
                <w:bCs/>
                <w:color w:val="FFFFFF"/>
                <w:sz w:val="20"/>
                <w:szCs w:val="20"/>
              </w:rPr>
              <w:t>File</w:t>
            </w:r>
          </w:p>
        </w:tc>
        <w:tc>
          <w:tcPr>
            <w:tcW w:w="2200" w:type="dxa"/>
            <w:shd w:val="clear" w:color="auto" w:fill="1F3A5F"/>
            <w:tcMar>
              <w:top w:w="80" w:type="dxa"/>
              <w:left w:w="120" w:type="dxa"/>
              <w:bottom w:w="80" w:type="dxa"/>
              <w:right w:w="120" w:type="dxa"/>
            </w:tcMar>
            <w:vAlign w:val="center"/>
          </w:tcPr>
          <w:p w14:paraId="61119476">
            <w:pPr>
              <w:jc w:val="left"/>
            </w:pPr>
            <w:r>
              <w:rPr>
                <w:b/>
                <w:bCs/>
                <w:color w:val="FFFFFF"/>
                <w:sz w:val="20"/>
                <w:szCs w:val="20"/>
              </w:rPr>
              <w:t>Task 1 (lines)</w:t>
            </w:r>
          </w:p>
        </w:tc>
        <w:tc>
          <w:tcPr>
            <w:tcW w:w="2200" w:type="dxa"/>
            <w:shd w:val="clear" w:color="auto" w:fill="1F3A5F"/>
            <w:tcMar>
              <w:top w:w="80" w:type="dxa"/>
              <w:left w:w="120" w:type="dxa"/>
              <w:bottom w:w="80" w:type="dxa"/>
              <w:right w:w="120" w:type="dxa"/>
            </w:tcMar>
            <w:vAlign w:val="center"/>
          </w:tcPr>
          <w:p w14:paraId="0199C626">
            <w:pPr>
              <w:jc w:val="left"/>
            </w:pPr>
            <w:r>
              <w:rPr>
                <w:b/>
                <w:bCs/>
                <w:color w:val="FFFFFF"/>
                <w:sz w:val="20"/>
                <w:szCs w:val="20"/>
              </w:rPr>
              <w:t>Task 2 (lines)</w:t>
            </w:r>
          </w:p>
        </w:tc>
        <w:tc>
          <w:tcPr>
            <w:tcW w:w="2060" w:type="dxa"/>
            <w:shd w:val="clear" w:color="auto" w:fill="1F3A5F"/>
            <w:tcMar>
              <w:top w:w="80" w:type="dxa"/>
              <w:left w:w="120" w:type="dxa"/>
              <w:bottom w:w="80" w:type="dxa"/>
              <w:right w:w="120" w:type="dxa"/>
            </w:tcMar>
            <w:vAlign w:val="center"/>
          </w:tcPr>
          <w:p w14:paraId="52F8B6EC">
            <w:pPr>
              <w:jc w:val="left"/>
            </w:pPr>
            <w:r>
              <w:rPr>
                <w:b/>
                <w:bCs/>
                <w:color w:val="FFFFFF"/>
                <w:sz w:val="20"/>
                <w:szCs w:val="20"/>
              </w:rPr>
              <w:t>Change</w:t>
            </w:r>
          </w:p>
        </w:tc>
      </w:tr>
      <w:tr w14:paraId="2E717C52">
        <w:tblPrEx>
          <w:tblBorders>
            <w:top w:val="single" w:color="D9DEE8" w:sz="4" w:space="0"/>
            <w:left w:val="single" w:color="D9DEE8" w:sz="4" w:space="0"/>
            <w:bottom w:val="single" w:color="D9DEE8" w:sz="4" w:space="0"/>
            <w:right w:val="single" w:color="D9DEE8" w:sz="4" w:space="0"/>
            <w:insideH w:val="single" w:color="D9DEE8" w:sz="4" w:space="0"/>
            <w:insideV w:val="single" w:color="D9DEE8" w:sz="4" w:space="0"/>
          </w:tblBorders>
          <w:tblCellMar>
            <w:top w:w="0" w:type="dxa"/>
            <w:left w:w="10" w:type="dxa"/>
            <w:bottom w:w="0" w:type="dxa"/>
            <w:right w:w="10" w:type="dxa"/>
          </w:tblCellMar>
        </w:tblPrEx>
        <w:tc>
          <w:tcPr>
            <w:tcW w:w="2900" w:type="dxa"/>
            <w:tcMar>
              <w:top w:w="80" w:type="dxa"/>
              <w:left w:w="120" w:type="dxa"/>
              <w:bottom w:w="80" w:type="dxa"/>
              <w:right w:w="120" w:type="dxa"/>
            </w:tcMar>
            <w:vAlign w:val="center"/>
          </w:tcPr>
          <w:p w14:paraId="5E965FE0">
            <w:pPr>
              <w:jc w:val="left"/>
            </w:pPr>
            <w:r>
              <w:rPr>
                <w:b w:val="0"/>
                <w:bCs w:val="0"/>
                <w:color w:val="111111"/>
                <w:sz w:val="20"/>
                <w:szCs w:val="20"/>
              </w:rPr>
              <w:t>index.html</w:t>
            </w:r>
          </w:p>
        </w:tc>
        <w:tc>
          <w:tcPr>
            <w:tcW w:w="2200" w:type="dxa"/>
            <w:tcMar>
              <w:top w:w="80" w:type="dxa"/>
              <w:left w:w="120" w:type="dxa"/>
              <w:bottom w:w="80" w:type="dxa"/>
              <w:right w:w="120" w:type="dxa"/>
            </w:tcMar>
            <w:vAlign w:val="center"/>
          </w:tcPr>
          <w:p w14:paraId="41BD89FD">
            <w:pPr>
              <w:jc w:val="left"/>
            </w:pPr>
            <w:r>
              <w:rPr>
                <w:b w:val="0"/>
                <w:bCs w:val="0"/>
                <w:color w:val="111111"/>
                <w:sz w:val="20"/>
                <w:szCs w:val="20"/>
              </w:rPr>
              <w:t>651</w:t>
            </w:r>
          </w:p>
        </w:tc>
        <w:tc>
          <w:tcPr>
            <w:tcW w:w="2200" w:type="dxa"/>
            <w:tcMar>
              <w:top w:w="80" w:type="dxa"/>
              <w:left w:w="120" w:type="dxa"/>
              <w:bottom w:w="80" w:type="dxa"/>
              <w:right w:w="120" w:type="dxa"/>
            </w:tcMar>
            <w:vAlign w:val="center"/>
          </w:tcPr>
          <w:p w14:paraId="5F711E3A">
            <w:pPr>
              <w:jc w:val="left"/>
            </w:pPr>
            <w:r>
              <w:rPr>
                <w:b w:val="0"/>
                <w:bCs w:val="0"/>
                <w:color w:val="111111"/>
                <w:sz w:val="20"/>
                <w:szCs w:val="20"/>
              </w:rPr>
              <w:t>766</w:t>
            </w:r>
          </w:p>
        </w:tc>
        <w:tc>
          <w:tcPr>
            <w:tcW w:w="2060" w:type="dxa"/>
            <w:tcMar>
              <w:top w:w="80" w:type="dxa"/>
              <w:left w:w="120" w:type="dxa"/>
              <w:bottom w:w="80" w:type="dxa"/>
              <w:right w:w="120" w:type="dxa"/>
            </w:tcMar>
            <w:vAlign w:val="center"/>
          </w:tcPr>
          <w:p w14:paraId="3930DC3B">
            <w:pPr>
              <w:jc w:val="left"/>
            </w:pPr>
            <w:r>
              <w:rPr>
                <w:b w:val="0"/>
                <w:bCs w:val="0"/>
                <w:color w:val="111111"/>
                <w:sz w:val="20"/>
                <w:szCs w:val="20"/>
              </w:rPr>
              <w:t>+115</w:t>
            </w:r>
          </w:p>
        </w:tc>
      </w:tr>
      <w:tr w14:paraId="07914DF9">
        <w:tblPrEx>
          <w:tblBorders>
            <w:top w:val="single" w:color="D9DEE8" w:sz="4" w:space="0"/>
            <w:left w:val="single" w:color="D9DEE8" w:sz="4" w:space="0"/>
            <w:bottom w:val="single" w:color="D9DEE8" w:sz="4" w:space="0"/>
            <w:right w:val="single" w:color="D9DEE8" w:sz="4" w:space="0"/>
            <w:insideH w:val="single" w:color="D9DEE8" w:sz="4" w:space="0"/>
            <w:insideV w:val="single" w:color="D9DEE8" w:sz="4" w:space="0"/>
          </w:tblBorders>
          <w:tblCellMar>
            <w:top w:w="0" w:type="dxa"/>
            <w:left w:w="10" w:type="dxa"/>
            <w:bottom w:w="0" w:type="dxa"/>
            <w:right w:w="10" w:type="dxa"/>
          </w:tblCellMar>
        </w:tblPrEx>
        <w:tc>
          <w:tcPr>
            <w:tcW w:w="2900" w:type="dxa"/>
            <w:shd w:val="clear" w:color="auto" w:fill="F6F8FB"/>
            <w:tcMar>
              <w:top w:w="80" w:type="dxa"/>
              <w:left w:w="120" w:type="dxa"/>
              <w:bottom w:w="80" w:type="dxa"/>
              <w:right w:w="120" w:type="dxa"/>
            </w:tcMar>
            <w:vAlign w:val="center"/>
          </w:tcPr>
          <w:p w14:paraId="29AF35F3">
            <w:pPr>
              <w:jc w:val="left"/>
            </w:pPr>
            <w:r>
              <w:rPr>
                <w:b w:val="0"/>
                <w:bCs w:val="0"/>
                <w:color w:val="111111"/>
                <w:sz w:val="20"/>
                <w:szCs w:val="20"/>
              </w:rPr>
              <w:t>css/style.css</w:t>
            </w:r>
          </w:p>
        </w:tc>
        <w:tc>
          <w:tcPr>
            <w:tcW w:w="2200" w:type="dxa"/>
            <w:shd w:val="clear" w:color="auto" w:fill="F6F8FB"/>
            <w:tcMar>
              <w:top w:w="80" w:type="dxa"/>
              <w:left w:w="120" w:type="dxa"/>
              <w:bottom w:w="80" w:type="dxa"/>
              <w:right w:w="120" w:type="dxa"/>
            </w:tcMar>
            <w:vAlign w:val="center"/>
          </w:tcPr>
          <w:p w14:paraId="50D7CCB8">
            <w:pPr>
              <w:jc w:val="left"/>
            </w:pPr>
            <w:r>
              <w:rPr>
                <w:b w:val="0"/>
                <w:bCs w:val="0"/>
                <w:color w:val="111111"/>
                <w:sz w:val="20"/>
                <w:szCs w:val="20"/>
              </w:rPr>
              <w:t>1,062</w:t>
            </w:r>
          </w:p>
        </w:tc>
        <w:tc>
          <w:tcPr>
            <w:tcW w:w="2200" w:type="dxa"/>
            <w:shd w:val="clear" w:color="auto" w:fill="F6F8FB"/>
            <w:tcMar>
              <w:top w:w="80" w:type="dxa"/>
              <w:left w:w="120" w:type="dxa"/>
              <w:bottom w:w="80" w:type="dxa"/>
              <w:right w:w="120" w:type="dxa"/>
            </w:tcMar>
            <w:vAlign w:val="center"/>
          </w:tcPr>
          <w:p w14:paraId="4679A1D5">
            <w:pPr>
              <w:jc w:val="left"/>
            </w:pPr>
            <w:r>
              <w:rPr>
                <w:b w:val="0"/>
                <w:bCs w:val="0"/>
                <w:color w:val="111111"/>
                <w:sz w:val="20"/>
                <w:szCs w:val="20"/>
              </w:rPr>
              <w:t>1,300</w:t>
            </w:r>
          </w:p>
        </w:tc>
        <w:tc>
          <w:tcPr>
            <w:tcW w:w="2060" w:type="dxa"/>
            <w:shd w:val="clear" w:color="auto" w:fill="F6F8FB"/>
            <w:tcMar>
              <w:top w:w="80" w:type="dxa"/>
              <w:left w:w="120" w:type="dxa"/>
              <w:bottom w:w="80" w:type="dxa"/>
              <w:right w:w="120" w:type="dxa"/>
            </w:tcMar>
            <w:vAlign w:val="center"/>
          </w:tcPr>
          <w:p w14:paraId="4E15353B">
            <w:pPr>
              <w:jc w:val="left"/>
            </w:pPr>
            <w:r>
              <w:rPr>
                <w:b w:val="0"/>
                <w:bCs w:val="0"/>
                <w:color w:val="111111"/>
                <w:sz w:val="20"/>
                <w:szCs w:val="20"/>
              </w:rPr>
              <w:t>+238</w:t>
            </w:r>
          </w:p>
        </w:tc>
      </w:tr>
      <w:tr w14:paraId="557548E6">
        <w:tblPrEx>
          <w:tblBorders>
            <w:top w:val="single" w:color="D9DEE8" w:sz="4" w:space="0"/>
            <w:left w:val="single" w:color="D9DEE8" w:sz="4" w:space="0"/>
            <w:bottom w:val="single" w:color="D9DEE8" w:sz="4" w:space="0"/>
            <w:right w:val="single" w:color="D9DEE8" w:sz="4" w:space="0"/>
            <w:insideH w:val="single" w:color="D9DEE8" w:sz="4" w:space="0"/>
            <w:insideV w:val="single" w:color="D9DEE8" w:sz="4" w:space="0"/>
          </w:tblBorders>
          <w:tblCellMar>
            <w:top w:w="0" w:type="dxa"/>
            <w:left w:w="10" w:type="dxa"/>
            <w:bottom w:w="0" w:type="dxa"/>
            <w:right w:w="10" w:type="dxa"/>
          </w:tblCellMar>
        </w:tblPrEx>
        <w:tc>
          <w:tcPr>
            <w:tcW w:w="2900" w:type="dxa"/>
            <w:tcMar>
              <w:top w:w="80" w:type="dxa"/>
              <w:left w:w="120" w:type="dxa"/>
              <w:bottom w:w="80" w:type="dxa"/>
              <w:right w:w="120" w:type="dxa"/>
            </w:tcMar>
            <w:vAlign w:val="center"/>
          </w:tcPr>
          <w:p w14:paraId="7417AB77">
            <w:pPr>
              <w:jc w:val="left"/>
            </w:pPr>
            <w:r>
              <w:rPr>
                <w:b w:val="0"/>
                <w:bCs w:val="0"/>
                <w:color w:val="111111"/>
                <w:sz w:val="20"/>
                <w:szCs w:val="20"/>
              </w:rPr>
              <w:t>js/script.js</w:t>
            </w:r>
          </w:p>
        </w:tc>
        <w:tc>
          <w:tcPr>
            <w:tcW w:w="2200" w:type="dxa"/>
            <w:tcMar>
              <w:top w:w="80" w:type="dxa"/>
              <w:left w:w="120" w:type="dxa"/>
              <w:bottom w:w="80" w:type="dxa"/>
              <w:right w:w="120" w:type="dxa"/>
            </w:tcMar>
            <w:vAlign w:val="center"/>
          </w:tcPr>
          <w:p w14:paraId="7763CC27">
            <w:pPr>
              <w:jc w:val="left"/>
            </w:pPr>
            <w:r>
              <w:rPr>
                <w:b w:val="0"/>
                <w:bCs w:val="0"/>
                <w:color w:val="111111"/>
                <w:sz w:val="20"/>
                <w:szCs w:val="20"/>
              </w:rPr>
              <w:t>251</w:t>
            </w:r>
          </w:p>
        </w:tc>
        <w:tc>
          <w:tcPr>
            <w:tcW w:w="2200" w:type="dxa"/>
            <w:tcMar>
              <w:top w:w="80" w:type="dxa"/>
              <w:left w:w="120" w:type="dxa"/>
              <w:bottom w:w="80" w:type="dxa"/>
              <w:right w:w="120" w:type="dxa"/>
            </w:tcMar>
            <w:vAlign w:val="center"/>
          </w:tcPr>
          <w:p w14:paraId="48995268">
            <w:pPr>
              <w:jc w:val="left"/>
            </w:pPr>
            <w:r>
              <w:rPr>
                <w:b w:val="0"/>
                <w:bCs w:val="0"/>
                <w:color w:val="111111"/>
                <w:sz w:val="20"/>
                <w:szCs w:val="20"/>
              </w:rPr>
              <w:t>274</w:t>
            </w:r>
          </w:p>
        </w:tc>
        <w:tc>
          <w:tcPr>
            <w:tcW w:w="2060" w:type="dxa"/>
            <w:tcMar>
              <w:top w:w="80" w:type="dxa"/>
              <w:left w:w="120" w:type="dxa"/>
              <w:bottom w:w="80" w:type="dxa"/>
              <w:right w:w="120" w:type="dxa"/>
            </w:tcMar>
            <w:vAlign w:val="center"/>
          </w:tcPr>
          <w:p w14:paraId="7F74ABD3">
            <w:pPr>
              <w:jc w:val="left"/>
            </w:pPr>
            <w:r>
              <w:rPr>
                <w:b w:val="0"/>
                <w:bCs w:val="0"/>
                <w:color w:val="111111"/>
                <w:sz w:val="20"/>
                <w:szCs w:val="20"/>
              </w:rPr>
              <w:t>+23</w:t>
            </w:r>
          </w:p>
        </w:tc>
      </w:tr>
      <w:tr w14:paraId="70568D85">
        <w:tblPrEx>
          <w:tblBorders>
            <w:top w:val="single" w:color="D9DEE8" w:sz="4" w:space="0"/>
            <w:left w:val="single" w:color="D9DEE8" w:sz="4" w:space="0"/>
            <w:bottom w:val="single" w:color="D9DEE8" w:sz="4" w:space="0"/>
            <w:right w:val="single" w:color="D9DEE8" w:sz="4" w:space="0"/>
            <w:insideH w:val="single" w:color="D9DEE8" w:sz="4" w:space="0"/>
            <w:insideV w:val="single" w:color="D9DEE8" w:sz="4" w:space="0"/>
          </w:tblBorders>
          <w:tblCellMar>
            <w:top w:w="0" w:type="dxa"/>
            <w:left w:w="10" w:type="dxa"/>
            <w:bottom w:w="0" w:type="dxa"/>
            <w:right w:w="10" w:type="dxa"/>
          </w:tblCellMar>
        </w:tblPrEx>
        <w:tc>
          <w:tcPr>
            <w:tcW w:w="2900" w:type="dxa"/>
            <w:shd w:val="clear" w:color="auto" w:fill="F6F8FB"/>
            <w:tcMar>
              <w:top w:w="80" w:type="dxa"/>
              <w:left w:w="120" w:type="dxa"/>
              <w:bottom w:w="80" w:type="dxa"/>
              <w:right w:w="120" w:type="dxa"/>
            </w:tcMar>
            <w:vAlign w:val="center"/>
          </w:tcPr>
          <w:p w14:paraId="62A5B932">
            <w:pPr>
              <w:jc w:val="left"/>
            </w:pPr>
            <w:r>
              <w:rPr>
                <w:b w:val="0"/>
                <w:bCs w:val="0"/>
                <w:color w:val="111111"/>
                <w:sz w:val="20"/>
                <w:szCs w:val="20"/>
              </w:rPr>
              <w:t>Total</w:t>
            </w:r>
          </w:p>
        </w:tc>
        <w:tc>
          <w:tcPr>
            <w:tcW w:w="2200" w:type="dxa"/>
            <w:shd w:val="clear" w:color="auto" w:fill="F6F8FB"/>
            <w:tcMar>
              <w:top w:w="80" w:type="dxa"/>
              <w:left w:w="120" w:type="dxa"/>
              <w:bottom w:w="80" w:type="dxa"/>
              <w:right w:w="120" w:type="dxa"/>
            </w:tcMar>
            <w:vAlign w:val="center"/>
          </w:tcPr>
          <w:p w14:paraId="03F25FFF">
            <w:pPr>
              <w:jc w:val="left"/>
            </w:pPr>
            <w:r>
              <w:rPr>
                <w:b w:val="0"/>
                <w:bCs w:val="0"/>
                <w:color w:val="111111"/>
                <w:sz w:val="20"/>
                <w:szCs w:val="20"/>
              </w:rPr>
              <w:t>1,964</w:t>
            </w:r>
          </w:p>
        </w:tc>
        <w:tc>
          <w:tcPr>
            <w:tcW w:w="2200" w:type="dxa"/>
            <w:shd w:val="clear" w:color="auto" w:fill="F6F8FB"/>
            <w:tcMar>
              <w:top w:w="80" w:type="dxa"/>
              <w:left w:w="120" w:type="dxa"/>
              <w:bottom w:w="80" w:type="dxa"/>
              <w:right w:w="120" w:type="dxa"/>
            </w:tcMar>
            <w:vAlign w:val="center"/>
          </w:tcPr>
          <w:p w14:paraId="2F1D6B1E">
            <w:pPr>
              <w:jc w:val="left"/>
            </w:pPr>
            <w:r>
              <w:rPr>
                <w:b w:val="0"/>
                <w:bCs w:val="0"/>
                <w:color w:val="111111"/>
                <w:sz w:val="20"/>
                <w:szCs w:val="20"/>
              </w:rPr>
              <w:t>2,340</w:t>
            </w:r>
          </w:p>
        </w:tc>
        <w:tc>
          <w:tcPr>
            <w:tcW w:w="2060" w:type="dxa"/>
            <w:shd w:val="clear" w:color="auto" w:fill="F6F8FB"/>
            <w:tcMar>
              <w:top w:w="80" w:type="dxa"/>
              <w:left w:w="120" w:type="dxa"/>
              <w:bottom w:w="80" w:type="dxa"/>
              <w:right w:w="120" w:type="dxa"/>
            </w:tcMar>
            <w:vAlign w:val="center"/>
          </w:tcPr>
          <w:p w14:paraId="50DC5983">
            <w:pPr>
              <w:jc w:val="left"/>
            </w:pPr>
            <w:r>
              <w:rPr>
                <w:b w:val="0"/>
                <w:bCs w:val="0"/>
                <w:color w:val="111111"/>
                <w:sz w:val="20"/>
                <w:szCs w:val="20"/>
              </w:rPr>
              <w:t>+376 (+19%)</w:t>
            </w:r>
          </w:p>
        </w:tc>
      </w:tr>
    </w:tbl>
    <w:p w14:paraId="0857170F">
      <w:pPr>
        <w:pStyle w:val="3"/>
        <w:spacing w:before="220" w:after="100"/>
      </w:pPr>
      <w:r>
        <w:t>C. Key Implementation References</w:t>
      </w:r>
    </w:p>
    <w:p w14:paraId="15D0E94F">
      <w:pPr>
        <w:pStyle w:val="16"/>
        <w:numPr>
          <w:ilvl w:val="0"/>
          <w:numId w:val="1"/>
        </w:numPr>
        <w:spacing w:after="60"/>
      </w:pPr>
      <w:r>
        <w:t>Theme persistence &amp; flash prevention: inline &lt;script&gt; in index.html &lt;head&gt;, and setTheme()/currentTheme() in js/script.js.</w:t>
      </w:r>
    </w:p>
    <w:p w14:paraId="29791DC1">
      <w:pPr>
        <w:pStyle w:val="16"/>
        <w:numPr>
          <w:ilvl w:val="0"/>
          <w:numId w:val="1"/>
        </w:numPr>
        <w:spacing w:after="60"/>
      </w:pPr>
      <w:r>
        <w:t>Header contrast swap: IntersectionObserver instance darkObserver in js/script.js, paired with .site-header.on-dark rules in style.css.</w:t>
      </w:r>
    </w:p>
    <w:p w14:paraId="65CB78A5">
      <w:pPr>
        <w:pStyle w:val="16"/>
        <w:numPr>
          <w:ilvl w:val="0"/>
          <w:numId w:val="1"/>
        </w:numPr>
        <w:spacing w:after="60"/>
      </w:pPr>
      <w:r>
        <w:t>Contact form validation &amp; honeypot: form submit handler in js/script.js (showError, isValidEmail, honeypot early-return branch).</w:t>
      </w:r>
    </w:p>
    <w:p w14:paraId="4CB4DFDA">
      <w:pPr>
        <w:pStyle w:val="16"/>
        <w:numPr>
          <w:ilvl w:val="0"/>
          <w:numId w:val="1"/>
        </w:numPr>
        <w:spacing w:after="60"/>
      </w:pPr>
      <w:r>
        <w:t>Design-system mockup: .ds-swatches / .ds-component-card / .ds-buttons-row markup in the About section of index.html, styled in style.css.</w:t>
      </w:r>
    </w:p>
    <w:p w14:paraId="49153D24">
      <w:pPr>
        <w:pStyle w:val="16"/>
        <w:numPr>
          <w:ilvl w:val="0"/>
          <w:numId w:val="1"/>
        </w:numPr>
        <w:spacing w:after="60"/>
      </w:pPr>
      <w:r>
        <w:t>Analytics-dashboard mockup: .case-stat-card and .case-linechart (inline SVG polyline/polygon) in the Case Study section of index.html.</w:t>
      </w:r>
    </w:p>
    <w:p w14:paraId="6638294E">
      <w:pPr>
        <w:pStyle w:val="3"/>
        <w:spacing w:before="220" w:after="100"/>
      </w:pPr>
      <w:r>
        <w:t>D. Testing Notes</w:t>
      </w:r>
    </w:p>
    <w:p w14:paraId="6801891A">
      <w:pPr>
        <w:spacing w:after="140"/>
        <w:jc w:val="both"/>
      </w:pPr>
      <w:r>
        <w:t>Automated visual verification for this report was performed with Playwright (headless Chromium) at 1400×1000 (desktop) and 390×900 (mobile) viewports, toggling html[data-theme] between "light" and "dark" directly, to confirm the Task 2 mockup redesign renders correctly across all four combinations without manual QA claims beyond what was actually observed.</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5643AA"/>
    <w:multiLevelType w:val="multilevel"/>
    <w:tmpl w:val="8C5643AA"/>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012166B3"/>
    <w:rsid w:val="25B9589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keepNext/>
      <w:spacing w:before="300" w:after="160"/>
    </w:pPr>
    <w:rPr>
      <w:rFonts w:ascii="Calibri" w:hAnsi="Calibri" w:eastAsia="Calibri" w:cs="Calibri"/>
      <w:b/>
      <w:bCs/>
      <w:color w:val="1F3A5F"/>
      <w:sz w:val="30"/>
      <w:szCs w:val="30"/>
    </w:rPr>
  </w:style>
  <w:style w:type="paragraph" w:styleId="3">
    <w:name w:val="heading 2"/>
    <w:next w:val="1"/>
    <w:qFormat/>
    <w:uiPriority w:val="0"/>
    <w:pPr>
      <w:keepNext/>
      <w:spacing w:before="220" w:after="100"/>
    </w:pPr>
    <w:rPr>
      <w:rFonts w:ascii="Calibri" w:hAnsi="Calibri" w:eastAsia="Calibri" w:cs="Calibri"/>
      <w:b/>
      <w:bCs/>
      <w:color w:val="12233B"/>
      <w:sz w:val="25"/>
      <w:szCs w:val="25"/>
    </w:rPr>
  </w:style>
  <w:style w:type="paragraph" w:styleId="4">
    <w:name w:val="heading 3"/>
    <w:next w:val="1"/>
    <w:qFormat/>
    <w:uiPriority w:val="0"/>
    <w:pPr>
      <w:keepNext/>
      <w:spacing w:before="160" w:after="80"/>
    </w:pPr>
    <w:rPr>
      <w:rFonts w:ascii="Calibri" w:hAnsi="Calibri" w:eastAsia="Calibri" w:cs="Calibri"/>
      <w:b/>
      <w:bCs/>
      <w:color w:val="3457D5"/>
      <w:sz w:val="22"/>
      <w:szCs w:val="22"/>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26</Pages>
  <Words>5810</Words>
  <Characters>35048</Characters>
  <TotalTime>11</TotalTime>
  <ScaleCrop>false</ScaleCrop>
  <LinksUpToDate>false</LinksUpToDate>
  <CharactersWithSpaces>40586</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2026-08-24T11:52:00Z</dcterms:created>
  <dc:creator>Un-named</dc:creator>
  <cp:lastModifiedBy>eman shabbir</cp:lastModifiedBy>
  <dcterms:modified xsi:type="dcterms:W3CDTF">2026-08-24T12:15:12Z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eyJoZGlkIjoiNWNkNGU5MDBiMDc5MmY4M2NkZGNlZTIwZmNhMTQyYWMiLCJ1c2VySWQiOiIxOTQxOTY5NTE1Njk3In0=</vt:lpwstr>
  </property>
  <property fmtid="{D5CDD505-2E9C-101B-9397-08002B2CF9AE}" pid="3" name="KSOProductBuildVer">
    <vt:lpwstr>1033-12.1.0.28032</vt:lpwstr>
  </property>
  <property fmtid="{D5CDD505-2E9C-101B-9397-08002B2CF9AE}" pid="4" name="ICV">
    <vt:lpwstr>A839F6E7A5FF4C91AFEFDC1640933C76_12</vt:lpwstr>
  </property>
</Properties>
</file>