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tiff" ContentType="image/tif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
<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w:body>
    <w:tbl>
      <w:tblPr>
        <w:tblLayout w:type="fixed"/>
      </w:tblPr>
      <w:tblGrid>
        <w:gridCol w:w="20"/>
        <w:gridCol w:w="10300"/>
        <w:gridCol w:w="1"/>
      </w:tblGrid>
      <w:tr>
        <w:trPr>
          <w:trHeight w:hRule="exact" w:val="6340"/>
        </w:trPr>
        <w:tc>
          <w:tcPr>
     </w:tcPr>
          <w:p>
            <w:pPr>
              <w:pStyle w:val="EMPTY_CELL_STYLE"/>
            </w:pPr>
            <w:bookmarkStart w:id="0" w:name="JR_PAGE_ANCHOR_0_1"/>
            <w:bookmarkEnd w:id="0"/>
          </w:p>
        </w:tc>
        <w:tc>
          <w:tcPr>
     </w:tcPr>
          <w:p>
            <w:pPr>
              <w:pStyle w:val="EMPTY_CELL_STYLE"/>
            </w:pPr>
          </w:p>
        </w:tc>
        <w:tc>
          <w:tcPr>
     </w:tcPr>
          <w:p>
            <w:pPr>
              <w:pStyle w:val="EMPTY_CELL_STYLE"/>
            </w:pPr>
          </w:p>
        </w:tc>
      </w:tr>
      <w:tr>
        <w:trPr>
          <w:trHeight w:hRule="exact" w:val="600"/>
        </w:trPr>
        <w:tc>
          <w:tcPr>
     </w:tcPr>
          <w:p>
            <w:pPr>
              <w:pStyle w:val="EMPTY_CELL_STYLE"/>
            </w:pPr>
          </w:p>
        </w:tc>
        <w:tc>
          <w:tcPr>
            <w:tcMar>
              <w:top w:w="0" w:type="dxa"/>
              <w:left w:w="0" w:type="dxa"/>
              <w:bottom w:w="0" w:type="dxa"/>
              <w:right w:w="0" w:type="dxa"/>
            </w:tcMar>
            <w:vAlign w:val="top"/>
          </w:tcPr>
          <w:p>
            <w:pPr>
              <w:pStyle w:val="Title"/>
              <w:ind/>
              <w:jc w:val="left"/>
            </w:pPr>
            <w:r>
              <w:rPr>
       </w:rPr>
              <w:t xml:space="preserve">grade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r>
      <w:tr>
        <w:trPr>
          <w:trHeight w:hRule="exact" w:val="400"/>
        </w:trPr>
        <w:tc>
          <w:tcPr>
     </w:tcPr>
          <w:p>
            <w:pPr>
              <w:pStyle w:val="EMPTY_CELL_STYLE"/>
            </w:pPr>
          </w:p>
        </w:tc>
        <w:tc>
          <w:tcPr>
            <w:tcMar>
              <w:top w:w="0" w:type="dxa"/>
              <w:left w:w="0" w:type="dxa"/>
              <w:bottom w:w="0" w:type="dxa"/>
              <w:right w:w="0" w:type="dxa"/>
            </w:tcMar>
            <w:vAlign w:val="top"/>
          </w:tcPr>
          <w:p>
            <w:pPr>
              <w:pStyle w:val="Title Date"/>
              <w:ind/>
            </w:pPr>
            <w:r>
              <w:rPr>
       </w:rPr>
              <w:t xml:space="preserve">15 Feb 2026 22:38:51</w:t>
            </w:r>
          </w:p>
        </w:tc>
        <w:tc>
          <w:tcPr>
     </w:tcPr>
          <w:p>
            <w:pPr>
              <w:pStyle w:val="EMPTY_CELL_STYLE"/>
            </w:pPr>
          </w:p>
        </w:tc>
      </w:tr>
      <w:tr>
        <w:trPr>
          <w:trHeight w:hRule="exact" w:val="9460"/>
        </w:trPr>
        <w:tc>
          <w:tcPr>
     </w:tcPr>
          <w:p>
            <w:pPr>
              <w:pStyle w:val="EMPTY_CELL_STYLE"/>
            </w:pPr>
          </w:p>
        </w:tc>
        <w:tc>
          <w:tcPr>
     </w:tcPr>
          <w:p>
            <w:pPr>
              <w:pStyle w:val="EMPTY_CELL_STYLE"/>
            </w:pPr>
          </w:p>
        </w:tc>
        <w:tc>
          <w:tcPr>
     </w:tcPr>
          <w:p>
            <w:pPr>
              <w:pStyle w:val="EMPTY_CELL_STYLE"/>
            </w:pPr>
          </w:p>
        </w:tc>
      </w:tr>
    </w:tbl>
    <w:tbl>
      <w:tblPr>
        <w:tblLayout w:type="fixed"/>
      </w:tblPr>
      <w:tblGrid>
        <w:gridCol w:w="1"/>
        <w:gridCol w:w="8080"/>
        <w:gridCol w:w="1620"/>
        <w:gridCol w:w="600"/>
        <w:gridCol w:w="1"/>
      </w:tblGrid>
      <w:tr>
        <w:trPr>
          <w:trHeight w:hRule="exact" w:val="1000"/>
        </w:trPr>
        <w:tc>
          <w:tcPr>
            <w:gridSpan w:val="5"/>
            <w:tcMar>
              <w:top w:w="0" w:type="dxa"/>
              <w:left w:w="0" w:type="dxa"/>
              <w:bottom w:w="0" w:type="dxa"/>
              <w:right w:w="0" w:type="dxa"/>
            </w:tcMar>
            <w:vAlign w:val="top"/>
          </w:tcPr>
          <w:p>
            <w:pPr>
              <w:pageBreakBefore/>
              <w:jc w:val="left"/>
              <w:spacing w:lineRule="auto" w:line="240" w:after="0" w:before="0"/>
            </w:pPr>
            <w:bookmarkStart w:id="1" w:name="JR_PAGE_ANCHOR_0_2"/>
            <w:bookmarkEnd w:id="1"/>
            <w:r>
              <w:rPr/>
              <w:drawing>
                <wp:inline distT="0" distB="0" distL="0" distR="0">
                  <wp:extent cx="7556500" cy="635000"/>
                  <wp:effectExtent l="0" t="0" r="0" b="0"/>
                  <wp:docPr id="710199598" name="Picture">
</wp:docPr>
                  <a:graphic>
                    <a:graphicData uri="http://schemas.openxmlformats.org/drawingml/2006/picture">
                      <pic:pic>
                        <pic:nvPicPr>
                          <pic:cNvPr id="710199598"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3"/>
            <w:tcMar>
              <w:top w:w="0" w:type="dxa"/>
              <w:left w:w="0" w:type="dxa"/>
              <w:bottom w:w="0" w:type="dxa"/>
              <w:right w:w="0" w:type="dxa"/>
            </w:tcMar>
            <w:vAlign w:val="top"/>
          </w:tcPr>
          <w:p>
            <w:pPr>
              <w:pStyle w:val="Title 1"/>
              <w:ind/>
            </w:pPr>
            <w:r>
              <w:rPr>
       </w:rPr>
              <w:t xml:space="preserve">Purpose</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00"/>
        </w:trPr>
        <w:tc>
          <w:tcPr>
     </w:tcPr>
          <w:p>
            <w:pPr>
              <w:pStyle w:val="EMPTY_CELL_STYLE"/>
            </w:pPr>
          </w:p>
        </w:tc>
        <w:tc>
          <w:tcPr>
            <w:gridSpan w:val="3"/>
            <w:tcMar>
              <w:top w:w="0" w:type="dxa"/>
              <w:left w:w="0" w:type="dxa"/>
              <w:bottom w:w="0" w:type="dxa"/>
              <w:right w:w="0" w:type="dxa"/>
            </w:tcMar>
            <w:vAlign w:val="top"/>
          </w:tcPr>
          <w:p>
            <w:pPr>
              <w:pStyle w:val="Normal"/>
              <w:ind/>
            </w:pPr>
          </w:p>
        </w:tc>
        <w:tc>
          <w:tcPr>
     </w:tcPr>
          <w:p>
            <w:pPr>
              <w:pStyle w:val="EMPTY_CELL_STYLE"/>
            </w:pPr>
          </w:p>
        </w:tc>
      </w:tr>
      <w:tr>
        <w:trPr>
          <w:trHeight w:hRule="exact" w:val="137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2</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2" w:name="JR_PAGE_ANCHOR_0_3"/>
            <w:bookmarkEnd w:id="2"/>
            <w:r>
              <w:rPr/>
              <w:drawing>
                <wp:inline distT="0" distB="0" distL="0" distR="0">
                  <wp:extent cx="7556500" cy="635000"/>
                  <wp:effectExtent l="0" t="0" r="0" b="0"/>
                  <wp:docPr id="1196222136" name="Picture">
</wp:docPr>
                  <a:graphic>
                    <a:graphicData uri="http://schemas.openxmlformats.org/drawingml/2006/picture">
                      <pic:pic>
                        <pic:nvPicPr>
                          <pic:cNvPr id="1196222136"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5"/>
            <w:tcMar>
              <w:top w:w="0" w:type="dxa"/>
              <w:left w:w="0" w:type="dxa"/>
              <w:bottom w:w="0" w:type="dxa"/>
              <w:right w:w="0" w:type="dxa"/>
            </w:tcMar>
            <w:vAlign w:val="top"/>
          </w:tcPr>
          <w:p>
            <w:pPr>
              <w:pStyle w:val="Title 1"/>
              <w:ind/>
            </w:pPr>
            <w:r>
              <w:rPr>
       </w:rPr>
              <w:t xml:space="preserve">Views</w:t>
            </w:r>
          </w:p>
        </w:tc>
        <w:tc>
          <w:tcPr>
     </w:tcPr>
          <w:p>
            <w:pPr>
              <w:pStyle w:val="EMPTY_CELL_STYLE"/>
            </w:pPr>
          </w:p>
        </w:tc>
      </w:tr>
      <w:tr>
        <w:trPr>
          <w:trHeight w:hRule="exact" w:val="3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5"/>
            <w:tcMar>
              <w:top w:w="0" w:type="dxa"/>
              <w:left w:w="0" w:type="dxa"/>
              <w:bottom w:w="0" w:type="dxa"/>
              <w:right w:w="0" w:type="dxa"/>
            </w:tcMar>
            <w:vAlign w:val="bottom"/>
          </w:tcPr>
          <w:p>
            <w:pPr>
              <w:pStyle w:val="Title 2"/>
              <w:ind/>
              <w:jc w:val="left"/>
            </w:pPr>
            <w:r>
              <w:rPr>
       </w:rPr>
              <w:t xml:space="preserve">ContextMap</w:t>
            </w:r>
          </w:p>
        </w:tc>
        <w:tc>
          <w:tcPr>
     </w:tcPr>
          <w:p>
            <w:pPr>
              <w:pStyle w:val="EMPTY_CELL_STYLE"/>
            </w:pPr>
          </w:p>
        </w:tc>
      </w:tr>
      <w:tr>
        <w:trPr>
          <w:trHeight w:hRule="exact" w:val="300"/>
        </w:trPr>
        <w:tc>
          <w:tcPr>
     </w:tcPr>
          <w:p>
            <w:pPr>
              <w:pStyle w:val="EMPTY_CELL_STYLE"/>
            </w:pPr>
          </w:p>
        </w:tc>
        <w:tc>
          <w:tcPr>
            <w:gridSpan w:val="5"/>
            <w:tcMar>
              <w:top w:w="0" w:type="dxa"/>
              <w:left w:w="0" w:type="dxa"/>
              <w:bottom w:w="0" w:type="dxa"/>
              <w:right w:w="0" w:type="dxa"/>
            </w:tcMar>
            <w:vAlign w:val="top"/>
          </w:tcPr>
          <w:p>
            <w:pPr>
              <w:pStyle w:val="Italic"/>
              <w:ind/>
            </w:pPr>
            <w:r>
              <w:rPr>
       </w:rPr>
              <w:t xml:space="preserve">No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460"/>
        </w:trPr>
        <w:tc>
          <w:tcPr>
     </w:tcPr>
          <w:p>
            <w:pPr>
              <w:pStyle w:val="EMPTY_CELL_STYLE"/>
            </w:pPr>
          </w:p>
        </w:tc>
        <w:tc>
          <w:tcPr>
            <w:gridSpan w:val="5"/>
            <w:tcMar>
              <w:top w:w="0" w:type="dxa"/>
              <w:left w:w="0" w:type="dxa"/>
              <w:bottom w:w="0" w:type="dxa"/>
              <w:right w:w="0" w:type="dxa"/>
            </w:tcMar>
            <w:vAlign w:val="top"/>
          </w:tcPr>
          <w:p>
            <w:pPr>
              <w:jc w:val="left"/>
              <w:spacing w:lineRule="auto" w:line="240" w:after="0" w:before="0"/>
            </w:pPr>
            <w:r>
              <w:rPr/>
              <w:drawing>
                <wp:inline distT="0" distB="0" distL="0" distR="0">
                  <wp:extent cx="6527800" cy="4102100"/>
                  <wp:effectExtent l="0" t="0" r="0" b="0"/>
                  <wp:docPr id="1032575105" name="Picture">
</wp:docPr>
                  <a:graphic>
                    <a:graphicData uri="http://schemas.openxmlformats.org/drawingml/2006/picture">
                      <pic:pic>
                        <pic:nvPicPr>
                          <pic:cNvPr id="1032575105" name="Picture"/>
                          <pic:cNvPicPr/>
                        </pic:nvPicPr>
                        <pic:blipFill>
                          <a:blip r:embed="img_0_2_4.png"/>
                          <a:srcRect/>
                          <a:stretch>
                            <a:fillRect/>
                          </a:stretch>
                        </pic:blipFill>
                        <pic:spPr>
                          <a:xfrm>
                            <a:off x="0" y="0"/>
                            <a:ext cx="6527800" cy="4102100"/>
                          </a:xfrm>
                          <a:prstGeom prst="rect"/>
                        </pic:spPr>
                      </pic:pic>
                    </a:graphicData>
                  </a:graphic>
                </wp:inline>
              </w:drawing>
            </w: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Identity BC</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Project Management BC</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Telegram BC</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Voting BC</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c>
          <w:tcPr>
     </w:tcPr>
          <w:p>
            <w:pPr>
              <w:pStyle w:val="EMPTY_CELL_STYLE"/>
            </w:pPr>
          </w:p>
        </w:tc>
      </w:tr>
      <w:tr>
        <w:trPr>
          <w:trHeight w:hRule="exact" w:val="39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3</w:t>
            </w:r>
          </w:p>
        </w:tc>
        <w:tc>
          <w:tcPr>
            <w:gridSpan w:val="2"/>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3" w:name="JR_PAGE_ANCHOR_0_4"/>
            <w:bookmarkEnd w:id="3"/>
            <w:r>
              <w:rPr/>
              <w:drawing>
                <wp:inline distT="0" distB="0" distL="0" distR="0">
                  <wp:extent cx="7556500" cy="635000"/>
                  <wp:effectExtent l="0" t="0" r="0" b="0"/>
                  <wp:docPr id="1285933977" name="Picture">
</wp:docPr>
                  <a:graphic>
                    <a:graphicData uri="http://schemas.openxmlformats.org/drawingml/2006/picture">
                      <pic:pic>
                        <pic:nvPicPr>
                          <pic:cNvPr id="128593397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5"/>
            <w:tcMar>
              <w:top w:w="0" w:type="dxa"/>
              <w:left w:w="0" w:type="dxa"/>
              <w:bottom w:w="0" w:type="dxa"/>
              <w:right w:w="0" w:type="dxa"/>
            </w:tcMar>
            <w:vAlign w:val="bottom"/>
          </w:tcPr>
          <w:p>
            <w:pPr>
              <w:pStyle w:val="Title 2"/>
              <w:ind/>
              <w:jc w:val="left"/>
            </w:pPr>
            <w:r>
              <w:rPr>
       </w:rPr>
              <w:t xml:space="preserve">DomainModel</w:t>
            </w:r>
          </w:p>
        </w:tc>
        <w:tc>
          <w:tcPr>
     </w:tcPr>
          <w:p>
            <w:pPr>
              <w:pStyle w:val="EMPTY_CELL_STYLE"/>
            </w:pPr>
          </w:p>
        </w:tc>
      </w:tr>
      <w:tr>
        <w:trPr>
          <w:trHeight w:hRule="exact" w:val="300"/>
        </w:trPr>
        <w:tc>
          <w:tcPr>
     </w:tcPr>
          <w:p>
            <w:pPr>
              <w:pStyle w:val="EMPTY_CELL_STYLE"/>
            </w:pPr>
          </w:p>
        </w:tc>
        <w:tc>
          <w:tcPr>
            <w:gridSpan w:val="5"/>
            <w:tcMar>
              <w:top w:w="0" w:type="dxa"/>
              <w:left w:w="0" w:type="dxa"/>
              <w:bottom w:w="0" w:type="dxa"/>
              <w:right w:w="0" w:type="dxa"/>
            </w:tcMar>
            <w:vAlign w:val="top"/>
          </w:tcPr>
          <w:p>
            <w:pPr>
              <w:pStyle w:val="Italic"/>
              <w:ind/>
            </w:pPr>
            <w:r>
              <w:rPr>
       </w:rPr>
              <w:t xml:space="preserve">No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300"/>
        </w:trPr>
        <w:tc>
          <w:tcPr>
     </w:tcPr>
          <w:p>
            <w:pPr>
              <w:pStyle w:val="EMPTY_CELL_STYLE"/>
            </w:pPr>
          </w:p>
        </w:tc>
        <w:tc>
          <w:tcPr>
            <w:gridSpan w:val="5"/>
            <w:tcMar>
              <w:top w:w="0" w:type="dxa"/>
              <w:left w:w="0" w:type="dxa"/>
              <w:bottom w:w="0" w:type="dxa"/>
              <w:right w:w="0" w:type="dxa"/>
            </w:tcMar>
            <w:vAlign w:val="top"/>
          </w:tcPr>
          <w:p>
            <w:pPr>
              <w:jc w:val="left"/>
              <w:spacing w:lineRule="auto" w:line="240" w:after="0" w:before="0"/>
            </w:pPr>
            <w:r>
              <w:rPr/>
              <w:drawing>
                <wp:inline distT="0" distB="0" distL="0" distR="0">
                  <wp:extent cx="6527800" cy="5905500"/>
                  <wp:effectExtent l="0" t="0" r="0" b="0"/>
                  <wp:docPr id="1718103695" name="Picture">
</wp:docPr>
                  <a:graphic>
                    <a:graphicData uri="http://schemas.openxmlformats.org/drawingml/2006/picture">
                      <pic:pic>
                        <pic:nvPicPr>
                          <pic:cNvPr id="1718103695" name="Picture"/>
                          <pic:cNvPicPr/>
                        </pic:nvPicPr>
                        <pic:blipFill>
                          <a:blip r:embed="img_0_3_3.png"/>
                          <a:srcRect/>
                          <a:stretch>
                            <a:fillRect/>
                          </a:stretch>
                        </pic:blipFill>
                        <pic:spPr>
                          <a:xfrm>
                            <a:off x="0" y="0"/>
                            <a:ext cx="6527800" cy="5905500"/>
                          </a:xfrm>
                          <a:prstGeom prst="rect"/>
                        </pic:spPr>
                      </pic:pic>
                    </a:graphicData>
                  </a:graphic>
                </wp:inline>
              </w:drawing>
            </w: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Competence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Tenant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6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4</w:t>
            </w:r>
          </w:p>
        </w:tc>
        <w:tc>
          <w:tcPr>
            <w:gridSpan w:val="2"/>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8080"/>
        <w:gridCol w:w="1620"/>
        <w:gridCol w:w="600"/>
        <w:gridCol w:w="1"/>
      </w:tblGrid>
      <w:tr>
        <w:trPr>
          <w:trHeight w:hRule="exact" w:val="1000"/>
        </w:trPr>
        <w:tc>
          <w:tcPr>
            <w:gridSpan w:val="5"/>
            <w:tcMar>
              <w:top w:w="0" w:type="dxa"/>
              <w:left w:w="0" w:type="dxa"/>
              <w:bottom w:w="0" w:type="dxa"/>
              <w:right w:w="0" w:type="dxa"/>
            </w:tcMar>
            <w:vAlign w:val="top"/>
          </w:tcPr>
          <w:p>
            <w:pPr>
              <w:pageBreakBefore/>
              <w:jc w:val="left"/>
              <w:spacing w:lineRule="auto" w:line="240" w:after="0" w:before="0"/>
            </w:pPr>
            <w:bookmarkStart w:id="4" w:name="JR_PAGE_ANCHOR_0_5"/>
            <w:bookmarkEnd w:id="4"/>
            <w:r>
              <w:rPr/>
              <w:drawing>
                <wp:inline distT="0" distB="0" distL="0" distR="0">
                  <wp:extent cx="7556500" cy="635000"/>
                  <wp:effectExtent l="0" t="0" r="0" b="0"/>
                  <wp:docPr id="302869695" name="Picture">
</wp:docPr>
                  <a:graphic>
                    <a:graphicData uri="http://schemas.openxmlformats.org/drawingml/2006/picture">
                      <pic:pic>
                        <pic:nvPicPr>
                          <pic:cNvPr id="30286969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148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5</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5" w:name="JR_PAGE_ANCHOR_0_6"/>
            <w:bookmarkEnd w:id="5"/>
            <w:r>
              <w:rPr/>
              <w:drawing>
                <wp:inline distT="0" distB="0" distL="0" distR="0">
                  <wp:extent cx="7556500" cy="635000"/>
                  <wp:effectExtent l="0" t="0" r="0" b="0"/>
                  <wp:docPr id="1693260012" name="Picture">
</wp:docPr>
                  <a:graphic>
                    <a:graphicData uri="http://schemas.openxmlformats.org/drawingml/2006/picture">
                      <pic:pic>
                        <pic:nvPicPr>
                          <pic:cNvPr id="1693260012"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5"/>
            <w:tcMar>
              <w:top w:w="0" w:type="dxa"/>
              <w:left w:w="0" w:type="dxa"/>
              <w:bottom w:w="0" w:type="dxa"/>
              <w:right w:w="0" w:type="dxa"/>
            </w:tcMar>
            <w:vAlign w:val="bottom"/>
          </w:tcPr>
          <w:p>
            <w:pPr>
              <w:pStyle w:val="Title 2"/>
              <w:ind/>
              <w:jc w:val="left"/>
            </w:pPr>
            <w:r>
              <w:rPr>
       </w:rPr>
              <w:t xml:space="preserve">DomainModel</w:t>
            </w:r>
          </w:p>
        </w:tc>
        <w:tc>
          <w:tcPr>
     </w:tcPr>
          <w:p>
            <w:pPr>
              <w:pStyle w:val="EMPTY_CELL_STYLE"/>
            </w:pPr>
          </w:p>
        </w:tc>
      </w:tr>
      <w:tr>
        <w:trPr>
          <w:trHeight w:hRule="exact" w:val="300"/>
        </w:trPr>
        <w:tc>
          <w:tcPr>
     </w:tcPr>
          <w:p>
            <w:pPr>
              <w:pStyle w:val="EMPTY_CELL_STYLE"/>
            </w:pPr>
          </w:p>
        </w:tc>
        <w:tc>
          <w:tcPr>
            <w:gridSpan w:val="5"/>
            <w:tcMar>
              <w:top w:w="0" w:type="dxa"/>
              <w:left w:w="0" w:type="dxa"/>
              <w:bottom w:w="0" w:type="dxa"/>
              <w:right w:w="0" w:type="dxa"/>
            </w:tcMar>
            <w:vAlign w:val="top"/>
          </w:tcPr>
          <w:p>
            <w:pPr>
              <w:pStyle w:val="Italic"/>
              <w:ind/>
            </w:pPr>
            <w:r>
              <w:rPr>
       </w:rPr>
              <w:t xml:space="preserve">No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820"/>
        </w:trPr>
        <w:tc>
          <w:tcPr>
     </w:tcPr>
          <w:p>
            <w:pPr>
              <w:pStyle w:val="EMPTY_CELL_STYLE"/>
            </w:pPr>
          </w:p>
        </w:tc>
        <w:tc>
          <w:tcPr>
            <w:gridSpan w:val="5"/>
            <w:tcMar>
              <w:top w:w="0" w:type="dxa"/>
              <w:left w:w="0" w:type="dxa"/>
              <w:bottom w:w="0" w:type="dxa"/>
              <w:right w:w="0" w:type="dxa"/>
            </w:tcMar>
            <w:vAlign w:val="top"/>
          </w:tcPr>
          <w:p>
            <w:pPr>
              <w:jc w:val="left"/>
              <w:spacing w:lineRule="auto" w:line="240" w:after="0" w:before="0"/>
            </w:pPr>
            <w:r>
              <w:rPr/>
              <w:drawing>
                <wp:inline distT="0" distB="0" distL="0" distR="0">
                  <wp:extent cx="6527800" cy="5600700"/>
                  <wp:effectExtent l="0" t="0" r="0" b="0"/>
                  <wp:docPr id="1162128198" name="Picture">
</wp:docPr>
                  <a:graphic>
                    <a:graphicData uri="http://schemas.openxmlformats.org/drawingml/2006/picture">
                      <pic:pic>
                        <pic:nvPicPr>
                          <pic:cNvPr id="1162128198" name="Picture"/>
                          <pic:cNvPicPr/>
                        </pic:nvPicPr>
                        <pic:blipFill>
                          <a:blip r:embed="img_0_5_3.png"/>
                          <a:srcRect/>
                          <a:stretch>
                            <a:fillRect/>
                          </a:stretch>
                        </pic:blipFill>
                        <pic:spPr>
                          <a:xfrm>
                            <a:off x="0" y="0"/>
                            <a:ext cx="6527800" cy="5600700"/>
                          </a:xfrm>
                          <a:prstGeom prst="rect"/>
                        </pic:spPr>
                      </pic:pic>
                    </a:graphicData>
                  </a:graphic>
                </wp:inline>
              </w:drawing>
            </w: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Identity BC</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Role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Tenant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User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0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6</w:t>
            </w:r>
          </w:p>
        </w:tc>
        <w:tc>
          <w:tcPr>
            <w:gridSpan w:val="2"/>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6" w:name="JR_PAGE_ANCHOR_0_7"/>
            <w:bookmarkEnd w:id="6"/>
            <w:r>
              <w:rPr/>
              <w:drawing>
                <wp:inline distT="0" distB="0" distL="0" distR="0">
                  <wp:extent cx="7556500" cy="635000"/>
                  <wp:effectExtent l="0" t="0" r="0" b="0"/>
                  <wp:docPr id="1699794502" name="Picture">
</wp:docPr>
                  <a:graphic>
                    <a:graphicData uri="http://schemas.openxmlformats.org/drawingml/2006/picture">
                      <pic:pic>
                        <pic:nvPicPr>
                          <pic:cNvPr id="1699794502"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5"/>
            <w:tcMar>
              <w:top w:w="0" w:type="dxa"/>
              <w:left w:w="0" w:type="dxa"/>
              <w:bottom w:w="0" w:type="dxa"/>
              <w:right w:w="0" w:type="dxa"/>
            </w:tcMar>
            <w:vAlign w:val="bottom"/>
          </w:tcPr>
          <w:p>
            <w:pPr>
              <w:pStyle w:val="Title 2"/>
              <w:ind/>
              <w:jc w:val="left"/>
            </w:pPr>
            <w:r>
              <w:rPr>
       </w:rPr>
              <w:t xml:space="preserve">EventStorming</w:t>
            </w:r>
          </w:p>
        </w:tc>
        <w:tc>
          <w:tcPr>
     </w:tcPr>
          <w:p>
            <w:pPr>
              <w:pStyle w:val="EMPTY_CELL_STYLE"/>
            </w:pPr>
          </w:p>
        </w:tc>
      </w:tr>
      <w:tr>
        <w:trPr>
          <w:trHeight w:hRule="exact" w:val="300"/>
        </w:trPr>
        <w:tc>
          <w:tcPr>
     </w:tcPr>
          <w:p>
            <w:pPr>
              <w:pStyle w:val="EMPTY_CELL_STYLE"/>
            </w:pPr>
          </w:p>
        </w:tc>
        <w:tc>
          <w:tcPr>
            <w:gridSpan w:val="5"/>
            <w:tcMar>
              <w:top w:w="0" w:type="dxa"/>
              <w:left w:w="0" w:type="dxa"/>
              <w:bottom w:w="0" w:type="dxa"/>
              <w:right w:w="0" w:type="dxa"/>
            </w:tcMar>
            <w:vAlign w:val="top"/>
          </w:tcPr>
          <w:p>
            <w:pPr>
              <w:pStyle w:val="Italic"/>
              <w:ind/>
            </w:pPr>
            <w:r>
              <w:rPr>
       </w:rPr>
              <w:t xml:space="preserve">No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160"/>
        </w:trPr>
        <w:tc>
          <w:tcPr>
     </w:tcPr>
          <w:p>
            <w:pPr>
              <w:pStyle w:val="EMPTY_CELL_STYLE"/>
            </w:pPr>
          </w:p>
        </w:tc>
        <w:tc>
          <w:tcPr>
            <w:gridSpan w:val="5"/>
            <w:tcMar>
              <w:top w:w="0" w:type="dxa"/>
              <w:left w:w="0" w:type="dxa"/>
              <w:bottom w:w="0" w:type="dxa"/>
              <w:right w:w="0" w:type="dxa"/>
            </w:tcMar>
            <w:vAlign w:val="top"/>
          </w:tcPr>
          <w:p>
            <w:pPr>
              <w:jc w:val="left"/>
              <w:spacing w:lineRule="auto" w:line="240" w:after="0" w:before="0"/>
            </w:pPr>
            <w:r>
              <w:rPr/>
              <w:drawing>
                <wp:inline distT="0" distB="0" distL="0" distR="0">
                  <wp:extent cx="6527800" cy="5181600"/>
                  <wp:effectExtent l="0" t="0" r="0" b="0"/>
                  <wp:docPr id="1442749487" name="Picture">
</wp:docPr>
                  <a:graphic>
                    <a:graphicData uri="http://schemas.openxmlformats.org/drawingml/2006/picture">
                      <pic:pic>
                        <pic:nvPicPr>
                          <pic:cNvPr id="1442749487" name="Picture"/>
                          <pic:cNvPicPr/>
                        </pic:nvPicPr>
                        <pic:blipFill>
                          <a:blip r:embed="img_0_6_3.png"/>
                          <a:srcRect/>
                          <a:stretch>
                            <a:fillRect/>
                          </a:stretch>
                        </pic:blipFill>
                        <pic:spPr>
                          <a:xfrm>
                            <a:off x="0" y="0"/>
                            <a:ext cx="6527800" cy="5181600"/>
                          </a:xfrm>
                          <a:prstGeom prst="rect"/>
                        </pic:spPr>
                      </pic:pic>
                    </a:graphicData>
                  </a:graphic>
                </wp:inline>
              </w:drawing>
            </w: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AcceptArtifact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AnyMember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Actor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ArtifactHasAlreadyBeenEndorsedForTheMember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ArtifactIsAccepted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ArtifactIsProposed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AvailableEndorsementsExceeded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Committee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Actor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Competence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CompleteEndorsement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Constraint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Constraint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1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7</w:t>
            </w:r>
          </w:p>
        </w:tc>
        <w:tc>
          <w:tcPr>
            <w:gridSpan w:val="2"/>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7" w:name="JR_PAGE_ANCHOR_0_8"/>
            <w:bookmarkEnd w:id="7"/>
            <w:r>
              <w:rPr/>
              <w:drawing>
                <wp:inline distT="0" distB="0" distL="0" distR="0">
                  <wp:extent cx="7556500" cy="635000"/>
                  <wp:effectExtent l="0" t="0" r="0" b="0"/>
                  <wp:docPr id="626562869" name="Picture">
</wp:docPr>
                  <a:graphic>
                    <a:graphicData uri="http://schemas.openxmlformats.org/drawingml/2006/picture">
                      <pic:pic>
                        <pic:nvPicPr>
                          <pic:cNvPr id="62656286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EndorseArtifact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EndorsementCompleted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EndorsementReceived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EndorsementReleased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EndorsementReserved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Role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GradeAssigned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HigherGradeCan'tBeEndorsed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 A</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Actor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 B</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Actor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Moderator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Role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PendingArtifacts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Representation</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ProposeArtifact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Publisher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Role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RecentArtifacts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Representation</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ReleaseEndorsement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ReserveEndorsement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Role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SyncGrade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Агрегат</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Актор</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Role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Доменное событие</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Допускается одна рекомендация рекомендующего за один конкретный артефакт рекомендуемого.</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Запрос</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Function (Query)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Интеграционное событие</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Technology Event</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Каждый участник может отдать 20 рекомендаций (признаний) в год в пользу других участников.</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Команда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 (Command)</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Модель Чтения</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Representation</w:t>
            </w:r>
          </w:p>
        </w:tc>
        <w:tc>
          <w:tcPr>
     </w:tcPr>
          <w:p>
            <w:pPr>
              <w:pStyle w:val="EMPTY_CELL_STYLE"/>
            </w:pPr>
          </w:p>
        </w:tc>
        <w:tc>
          <w:tcPr>
     </w:tcPr>
          <w:p>
            <w:pPr>
              <w:pStyle w:val="EMPTY_CELL_STYLE"/>
            </w:pPr>
          </w:p>
        </w:tc>
      </w:tr>
      <w:tr>
        <w:trPr>
          <w:trHeight w:hRule="exact" w:val="12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Одна рекомендация от участника претендуемого (или более высокого) квалификационного класса равноценна двум рекомендациям от участников текущего квалификационного класса.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Основанием для каждой рекомендации должен служить факт конкретного вклада участника в достижение целей Организации.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2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8</w:t>
            </w:r>
          </w:p>
        </w:tc>
        <w:tc>
          <w:tcPr>
            <w:gridSpan w:val="2"/>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8" w:name="JR_PAGE_ANCHOR_0_9"/>
            <w:bookmarkEnd w:id="8"/>
            <w:r>
              <w:rPr/>
              <w:drawing>
                <wp:inline distT="0" distB="0" distL="0" distR="0">
                  <wp:extent cx="7556500" cy="635000"/>
                  <wp:effectExtent l="0" t="0" r="0" b="0"/>
                  <wp:docPr id="484258212" name="Picture">
</wp:docPr>
                  <a:graphic>
                    <a:graphicData uri="http://schemas.openxmlformats.org/drawingml/2006/picture">
                      <pic:pic>
                        <pic:nvPicPr>
                          <pic:cNvPr id="484258212"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Политика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 (Policy)</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предлагаемые артефакты могут проходить процедуру одобрения Комитетом Организации по его усмотрению.</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Рекомендации от участников более низкого квалификационного класса не допускаются.</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12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рекомендуемая трудоемкость одного артефакта на каждого его исполнителя должна составлять от 20 до 80 часов; маленькие артефакты рекомендуется группировать, большие - декомпозировать;</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Сообщение Команды</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 (Command)</w:t>
            </w:r>
          </w:p>
        </w:tc>
        <w:tc>
          <w:tcPr>
     </w:tcPr>
          <w:p>
            <w:pPr>
              <w:pStyle w:val="EMPTY_CELL_STYLE"/>
            </w:pPr>
          </w:p>
        </w:tc>
        <w:tc>
          <w:tcPr>
     </w:tcPr>
          <w:p>
            <w:pPr>
              <w:pStyle w:val="EMPTY_CELL_STYLE"/>
            </w:pPr>
          </w:p>
        </w:tc>
      </w:tr>
      <w:tr>
        <w:trPr>
          <w:trHeight w:hRule="exact" w:val="19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Требуемые количества рекомендаций по квалификационным классам: эксперт - 20 рекомендаций Экспертов; кандидат в эксперты - 10 рекомендаций Кандидатов в эксперты; 1 класс - 7 рекомендаций 1-го класса; 2 класс - 5 рекомендаций 2-го класса; 3 класс - 3 рекомендации 3-го класса; без класса - по умолчанию.</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9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9</w:t>
            </w:r>
          </w:p>
        </w:tc>
        <w:tc>
          <w:tcPr>
            <w:gridSpan w:val="2"/>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9" w:name="JR_PAGE_ANCHOR_0_10"/>
            <w:bookmarkEnd w:id="9"/>
            <w:r>
              <w:rPr/>
              <w:drawing>
                <wp:inline distT="0" distB="0" distL="0" distR="0">
                  <wp:extent cx="7556500" cy="635000"/>
                  <wp:effectExtent l="0" t="0" r="0" b="0"/>
                  <wp:docPr id="1627840438" name="Picture">
</wp:docPr>
                  <a:graphic>
                    <a:graphicData uri="http://schemas.openxmlformats.org/drawingml/2006/picture">
                      <pic:pic>
                        <pic:nvPicPr>
                          <pic:cNvPr id="1627840438"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5"/>
            <w:tcMar>
              <w:top w:w="0" w:type="dxa"/>
              <w:left w:w="0" w:type="dxa"/>
              <w:bottom w:w="0" w:type="dxa"/>
              <w:right w:w="0" w:type="dxa"/>
            </w:tcMar>
            <w:vAlign w:val="bottom"/>
          </w:tcPr>
          <w:p>
            <w:pPr>
              <w:pStyle w:val="Title 2"/>
              <w:ind/>
              <w:jc w:val="left"/>
            </w:pPr>
            <w:r>
              <w:rPr>
       </w:rPr>
              <w:t xml:space="preserve">HexagonalArchitecture</w:t>
            </w:r>
          </w:p>
        </w:tc>
        <w:tc>
          <w:tcPr>
     </w:tcPr>
          <w:p>
            <w:pPr>
              <w:pStyle w:val="EMPTY_CELL_STYLE"/>
            </w:pPr>
          </w:p>
        </w:tc>
      </w:tr>
      <w:tr>
        <w:trPr>
          <w:trHeight w:hRule="exact" w:val="300"/>
        </w:trPr>
        <w:tc>
          <w:tcPr>
     </w:tcPr>
          <w:p>
            <w:pPr>
              <w:pStyle w:val="EMPTY_CELL_STYLE"/>
            </w:pPr>
          </w:p>
        </w:tc>
        <w:tc>
          <w:tcPr>
            <w:gridSpan w:val="5"/>
            <w:tcMar>
              <w:top w:w="0" w:type="dxa"/>
              <w:left w:w="0" w:type="dxa"/>
              <w:bottom w:w="0" w:type="dxa"/>
              <w:right w:w="0" w:type="dxa"/>
            </w:tcMar>
            <w:vAlign w:val="top"/>
          </w:tcPr>
          <w:p>
            <w:pPr>
              <w:pStyle w:val="Italic"/>
              <w:ind/>
            </w:pPr>
            <w:r>
              <w:rPr>
       </w:rPr>
              <w:t xml:space="preserve">No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620"/>
        </w:trPr>
        <w:tc>
          <w:tcPr>
     </w:tcPr>
          <w:p>
            <w:pPr>
              <w:pStyle w:val="EMPTY_CELL_STYLE"/>
            </w:pPr>
          </w:p>
        </w:tc>
        <w:tc>
          <w:tcPr>
            <w:gridSpan w:val="5"/>
            <w:tcMar>
              <w:top w:w="0" w:type="dxa"/>
              <w:left w:w="0" w:type="dxa"/>
              <w:bottom w:w="0" w:type="dxa"/>
              <w:right w:w="0" w:type="dxa"/>
            </w:tcMar>
            <w:vAlign w:val="top"/>
          </w:tcPr>
          <w:p>
            <w:pPr>
              <w:jc w:val="left"/>
              <w:spacing w:lineRule="auto" w:line="240" w:after="0" w:before="0"/>
            </w:pPr>
            <w:r>
              <w:rPr/>
              <w:drawing>
                <wp:inline distT="0" distB="0" distL="0" distR="0">
                  <wp:extent cx="6527800" cy="4203700"/>
                  <wp:effectExtent l="0" t="0" r="0" b="0"/>
                  <wp:docPr id="1877984746" name="Picture">
</wp:docPr>
                  <a:graphic>
                    <a:graphicData uri="http://schemas.openxmlformats.org/drawingml/2006/picture">
                      <pic:pic>
                        <pic:nvPicPr>
                          <pic:cNvPr id="1877984746" name="Picture"/>
                          <pic:cNvPicPr/>
                        </pic:nvPicPr>
                        <pic:blipFill>
                          <a:blip r:embed="img_0_9_3.png"/>
                          <a:srcRect/>
                          <a:stretch>
                            <a:fillRect/>
                          </a:stretch>
                        </pic:blipFill>
                        <pic:spPr>
                          <a:xfrm>
                            <a:off x="0" y="0"/>
                            <a:ext cx="6527800" cy="4203700"/>
                          </a:xfrm>
                          <a:prstGeom prst="rect"/>
                        </pic:spPr>
                      </pic:pic>
                    </a:graphicData>
                  </a:graphic>
                </wp:inline>
              </w:drawing>
            </w: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Data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Another Aggregate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Data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Another Service/System</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Component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Layer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Dead Letter Channel</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Path</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Message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 (Command)</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Queue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Path</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Reply Channel</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Path</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Topic</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Path</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Bytes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 (Command)</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Command (Hexagonal Port, Interface)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Interface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CommandHandler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Process</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Domain Layer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DomainEvent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Event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Expension Point Pipeline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Interaction</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Front Door Queue using message bus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Interaction</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Gateway (with Transactional Outbox)</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Function</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GOF Pattern Mediator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Interaction</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gRPC Hexagonal Adapter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Process</w:t>
            </w:r>
          </w:p>
        </w:tc>
        <w:tc>
          <w:tcPr>
     </w:tcPr>
          <w:p>
            <w:pPr>
              <w:pStyle w:val="EMPTY_CELL_STYLE"/>
            </w:pPr>
          </w:p>
        </w:tc>
        <w:tc>
          <w:tcPr>
     </w:tcPr>
          <w:p>
            <w:pPr>
              <w:pStyle w:val="EMPTY_CELL_STYLE"/>
            </w:pPr>
          </w:p>
        </w:tc>
      </w:tr>
      <w:tr>
        <w:trPr>
          <w:trHeight w:hRule="exact" w:val="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10</w:t>
            </w:r>
          </w:p>
        </w:tc>
        <w:tc>
          <w:tcPr>
            <w:gridSpan w:val="2"/>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0" w:name="JR_PAGE_ANCHOR_0_11"/>
            <w:bookmarkEnd w:id="10"/>
            <w:r>
              <w:rPr/>
              <w:drawing>
                <wp:inline distT="0" distB="0" distL="0" distR="0">
                  <wp:extent cx="7556500" cy="635000"/>
                  <wp:effectExtent l="0" t="0" r="0" b="0"/>
                  <wp:docPr id="2082499348" name="Picture">
</wp:docPr>
                  <a:graphic>
                    <a:graphicData uri="http://schemas.openxmlformats.org/drawingml/2006/picture">
                      <pic:pic>
                        <pic:nvPicPr>
                          <pic:cNvPr id="2082499348"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HTTP-Request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 (Command)</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HTTP-Request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 (Command)</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HTTP-Response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 (Command)</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Component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Integration Event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JSON-Object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 (Command)</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JSON-RPC Hexagonal Adapter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Process</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Kafka Subscriber Hexagonal Adapter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Process</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Logging Pipeline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Interaction</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Mediator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Interaction</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Policy</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Process</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Projection (Policy)</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Function</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Query (Hexagonal Port, Interface)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Interface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QueryHandler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Service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ReadModel</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Data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ReadModel Database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Node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RepositoryImplementation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Service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RepositoryInterface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Interface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REST-API Hexagonal Adapter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Process</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REST-API Hexagonal Adapter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Process</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REST-Endpoint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Interface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Send Integration Event (Policy)</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Function</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Team</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Actor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User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Actor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Validation Pipeline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Interaction</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WebHook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Interface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WriteModel DataBase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Node</w:t>
            </w:r>
          </w:p>
        </w:tc>
        <w:tc>
          <w:tcPr>
     </w:tcPr>
          <w:p>
            <w:pPr>
              <w:pStyle w:val="EMPTY_CELL_STYLE"/>
            </w:pPr>
          </w:p>
        </w:tc>
        <w:tc>
          <w:tcPr>
     </w:tcPr>
          <w:p>
            <w:pPr>
              <w:pStyle w:val="EMPTY_CELL_STYLE"/>
            </w:pPr>
          </w:p>
        </w:tc>
      </w:tr>
      <w:tr>
        <w:trPr>
          <w:trHeight w:hRule="exact" w:val="56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11</w:t>
            </w:r>
          </w:p>
        </w:tc>
        <w:tc>
          <w:tcPr>
            <w:gridSpan w:val="2"/>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1" w:name="JR_PAGE_ANCHOR_0_12"/>
            <w:bookmarkEnd w:id="11"/>
            <w:r>
              <w:rPr/>
              <w:drawing>
                <wp:inline distT="0" distB="0" distL="0" distR="0">
                  <wp:extent cx="7556500" cy="635000"/>
                  <wp:effectExtent l="0" t="0" r="0" b="0"/>
                  <wp:docPr id="1251232505" name="Picture">
</wp:docPr>
                  <a:graphic>
                    <a:graphicData uri="http://schemas.openxmlformats.org/drawingml/2006/picture">
                      <pic:pic>
                        <pic:nvPicPr>
                          <pic:cNvPr id="125123250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5"/>
            <w:tcMar>
              <w:top w:w="0" w:type="dxa"/>
              <w:left w:w="0" w:type="dxa"/>
              <w:bottom w:w="0" w:type="dxa"/>
              <w:right w:w="0" w:type="dxa"/>
            </w:tcMar>
            <w:vAlign w:val="bottom"/>
          </w:tcPr>
          <w:p>
            <w:pPr>
              <w:pStyle w:val="Title 2"/>
              <w:ind/>
              <w:jc w:val="left"/>
            </w:pPr>
            <w:r>
              <w:rPr>
       </w:rPr>
              <w:t xml:space="preserve">Requirements</w:t>
            </w:r>
          </w:p>
        </w:tc>
        <w:tc>
          <w:tcPr>
     </w:tcPr>
          <w:p>
            <w:pPr>
              <w:pStyle w:val="EMPTY_CELL_STYLE"/>
            </w:pPr>
          </w:p>
        </w:tc>
      </w:tr>
      <w:tr>
        <w:trPr>
          <w:trHeight w:hRule="exact" w:val="300"/>
        </w:trPr>
        <w:tc>
          <w:tcPr>
     </w:tcPr>
          <w:p>
            <w:pPr>
              <w:pStyle w:val="EMPTY_CELL_STYLE"/>
            </w:pPr>
          </w:p>
        </w:tc>
        <w:tc>
          <w:tcPr>
            <w:gridSpan w:val="5"/>
            <w:tcMar>
              <w:top w:w="0" w:type="dxa"/>
              <w:left w:w="0" w:type="dxa"/>
              <w:bottom w:w="0" w:type="dxa"/>
              <w:right w:w="0" w:type="dxa"/>
            </w:tcMar>
            <w:vAlign w:val="top"/>
          </w:tcPr>
          <w:p>
            <w:pPr>
              <w:pStyle w:val="Italic"/>
              <w:ind/>
            </w:pPr>
            <w:r>
              <w:rPr>
       </w:rPr>
              <w:t xml:space="preserve">No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4000"/>
        </w:trPr>
        <w:tc>
          <w:tcPr>
     </w:tcPr>
          <w:p>
            <w:pPr>
              <w:pStyle w:val="EMPTY_CELL_STYLE"/>
            </w:pPr>
          </w:p>
        </w:tc>
        <w:tc>
          <w:tcPr>
            <w:gridSpan w:val="5"/>
            <w:tcMar>
              <w:top w:w="0" w:type="dxa"/>
              <w:left w:w="0" w:type="dxa"/>
              <w:bottom w:w="0" w:type="dxa"/>
              <w:right w:w="0" w:type="dxa"/>
            </w:tcMar>
            <w:vAlign w:val="top"/>
          </w:tcPr>
          <w:p>
            <w:pPr>
              <w:jc w:val="left"/>
              <w:spacing w:lineRule="auto" w:line="240" w:after="0" w:before="0"/>
            </w:pPr>
            <w:r>
              <w:rPr/>
              <w:drawing>
                <wp:inline distT="0" distB="0" distL="0" distR="0">
                  <wp:extent cx="6527800" cy="2540000"/>
                  <wp:effectExtent l="0" t="0" r="0" b="0"/>
                  <wp:docPr id="642086628" name="Picture">
</wp:docPr>
                  <a:graphic>
                    <a:graphicData uri="http://schemas.openxmlformats.org/drawingml/2006/picture">
                      <pic:pic>
                        <pic:nvPicPr>
                          <pic:cNvPr id="642086628" name="Picture"/>
                          <pic:cNvPicPr/>
                        </pic:nvPicPr>
                        <pic:blipFill>
                          <a:blip r:embed="img_0_11_3.png"/>
                          <a:srcRect/>
                          <a:stretch>
                            <a:fillRect/>
                          </a:stretch>
                        </pic:blipFill>
                        <pic:spPr>
                          <a:xfrm>
                            <a:off x="0" y="0"/>
                            <a:ext cx="6527800" cy="2540000"/>
                          </a:xfrm>
                          <a:prstGeom prst="rect"/>
                        </pic:spPr>
                      </pic:pic>
                    </a:graphicData>
                  </a:graphic>
                </wp:inline>
              </w:drawing>
            </w: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"So, design ≈ cost ≈ change ≈ big change ≈ coupling. Transitively, software design ≈ managing coupling." -- Kent Beck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96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@banofbot может быть использован для атаки против ценных участников сообщества и необратимого уничтожения их информации в паблике.</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12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Адресовать запросы в первую очередь к участникам, обладающим наивысшим уровнем экспертности, выраженной конкретным опытом, ценность которого подтверждена другими членами организации.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Артефакты должны классифицироваться по компетенциям</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166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 процессе конструирования кода, 91% времени (в лучшем случае) занимает именно чтение кода и борьба со сложностью (каждым разработчиком постоянно), и только 9% времени (1:10) занимает ввод символов с клавиатуры (одним разработчиком единократно)</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 экспертные сообщества нередко обращаются за услугами консалтинга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Ввести внутреннюю систему ценностей в виде квалификационной классности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c>
          <w:tcPr>
     </w:tcPr>
          <w:p>
            <w:pPr>
              <w:pStyle w:val="EMPTY_CELL_STYLE"/>
            </w:pPr>
          </w:p>
        </w:tc>
      </w:tr>
      <w:tr>
        <w:trPr>
          <w:trHeight w:hRule="exact" w:val="24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вклад и квалификация члена Организации оцениваются одновременно и неразрывно, как и неразрывны теория с практикой; вклад не обязан быть кем-то оцененным, если он не отражает квалификацию исполнителя в виде конкретной ценности для достижения уставных целей Организации, а без практического вклада оценить отдельно квалификацию система тоже не позволяет; рекомендация означает признание </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12</w:t>
            </w:r>
          </w:p>
        </w:tc>
        <w:tc>
          <w:tcPr>
            <w:gridSpan w:val="2"/>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2" w:name="JR_PAGE_ANCHOR_0_13"/>
            <w:bookmarkEnd w:id="12"/>
            <w:r>
              <w:rPr/>
              <w:drawing>
                <wp:inline distT="0" distB="0" distL="0" distR="0">
                  <wp:extent cx="7556500" cy="635000"/>
                  <wp:effectExtent l="0" t="0" r="0" b="0"/>
                  <wp:docPr id="1813922009" name="Picture">
</wp:docPr>
                  <a:graphic>
                    <a:graphicData uri="http://schemas.openxmlformats.org/drawingml/2006/picture">
                      <pic:pic>
                        <pic:nvPicPr>
                          <pic:cNvPr id="181392200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96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экспертности члена Организации, выраженной на примере конкретного практического опыта, другими членами Организации.</w:t>
            </w: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Восстановить процентное содержание качественной информации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Высокая стоимость внемения изменения в реализацию</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Голос участника опроса должен учитываться с учетом весового коэффициента его квалификационного класса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c>
          <w:tcPr>
     </w:tcPr>
          <w:p>
            <w:pPr>
              <w:pStyle w:val="EMPTY_CELL_STYLE"/>
            </w:pPr>
          </w:p>
        </w:tc>
      </w:tr>
      <w:tr>
        <w:trPr>
          <w:trHeight w:hRule="exact" w:val="96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Грамотные специалисты не всегда спешат ввязываться во флейм с малограмотными оппонентами. Зачастую это приводит к их демотивации и самоустранению из пабликов.</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Демотивация</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Дисбаланс в пользу краткосрочных бизнес-интересов в ущерб долгосрочным техническим интересам (Spaghetti code)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Допускается одна рекомендация рекомендующего за один конкретный артефакт рекомендуемого.</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Дросселировать информацию от участников с невысоким уровнем квалификации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Зависимое положение исполнителя от оценки/рекомендации заказчика.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Заказчик не осведомлен об объективной квалификации исполнителя.</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Заказчики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Закоммерциализированные сертификаты зачастую не отражают реальный уровень квалификации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Захламленность информационного пространства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Защитить социальное положение грамотных специалистов как источников качественной информации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Защитить ценную информацию и ценных участников от атак.</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Исключить влияние эффекта Даннинга-Крюгера на качество информационного пространства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Исполнители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Каждый участник может отдать 20 рекомендаций (признаний) в год в пользу других участников.</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Квалификационный голод малых компаний</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19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Квалифицированные кадры не видят репутационной и карьерной привлекательности в вакансиях малых компаний на постоянной форме занятости (по причине повышенных финансовых рисков, невысокой карьерной целесообразности и недостаточной конкурентноспособности </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13</w:t>
            </w:r>
          </w:p>
        </w:tc>
        <w:tc>
          <w:tcPr>
            <w:gridSpan w:val="2"/>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3" w:name="JR_PAGE_ANCHOR_0_14"/>
            <w:bookmarkEnd w:id="13"/>
            <w:r>
              <w:rPr/>
              <w:drawing>
                <wp:inline distT="0" distB="0" distL="0" distR="0">
                  <wp:extent cx="7556500" cy="635000"/>
                  <wp:effectExtent l="0" t="0" r="0" b="0"/>
                  <wp:docPr id="1571615117" name="Picture">
</wp:docPr>
                  <a:graphic>
                    <a:graphicData uri="http://schemas.openxmlformats.org/drawingml/2006/picture">
                      <pic:pic>
                        <pic:nvPicPr>
                          <pic:cNvPr id="157161511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зарплат)</w:t>
            </w: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4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Квалифицировать должно лицо, обладающее способностями объективной квалификации, т.е. квалифицировать должен специалист с известным/подтвержденным уровнем квалификации не ниже уровня квалифицируемого, а не заказчик.</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Количество голосов, требуемых для блокирования участника, должно учитывать уровень его квалификации.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96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Компенсировать зависимость исполнителя от оценки заказчика (на краткосрочном горизонте) введением зависимости от перспектив (на долгосрочном горизонте).</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12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Конкуренция сертификационных организаций склоняет их к достижению рыночной гегемонии путем формирования приоритета на количество выпущенных сертификатов в ущерб качеству.</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Консалтинг</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12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Конфликт интересов сертификационных организаций, финансирование которых находится в зависимости от количества претендентов и проданных курсов подготовки.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14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Любой эталон является планкой (барьером), очерчивающей горизонт развития. Взятие планки останавливает развитие, а не стимулирует. Это неприемлемо для таких наукоемких и постоянно эволюционирующих отраслей, как ИТ.</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Максимизировать объективность квалифицирования</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96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Многие системы тестирования слабо защищены технически от обмана (например, допускают вмешательство в работу JavaScript кода web-страницы).</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Мотивировать участников к повышению качества публикуемой ими информации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12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Наделить высококвалифицированных специалистов мерами административного воздействия, например, предоставить право установления временного запрета на публикацию сообщений в тг-канале.</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c>
          <w:tcPr>
     </w:tcPr>
          <w:p>
            <w:pPr>
              <w:pStyle w:val="EMPTY_CELL_STYLE"/>
            </w:pPr>
          </w:p>
        </w:tc>
      </w:tr>
      <w:tr>
        <w:trPr>
          <w:trHeight w:hRule="exact" w:val="14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Наличие эталона подразумевает монополию на компетентность, что вызывает вопрос доверия к ней. Нередко экзаменуемый демонстрирует большую компетентностью, нежели экзаменатор, что ограничивает развитие остальных уровнем экзаменатора.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Неизменяемый лог рекомендаций</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Неясные интерфейсы и именования требуют затрат времени на изучение реализации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Низкая эффективность грейдов на основе матриц компетентности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Низкое качество ПО</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14</w:t>
            </w:r>
          </w:p>
        </w:tc>
        <w:tc>
          <w:tcPr>
            <w:gridSpan w:val="2"/>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4" w:name="JR_PAGE_ANCHOR_0_15"/>
            <w:bookmarkEnd w:id="14"/>
            <w:r>
              <w:rPr/>
              <w:drawing>
                <wp:inline distT="0" distB="0" distL="0" distR="0">
                  <wp:extent cx="7556500" cy="635000"/>
                  <wp:effectExtent l="0" t="0" r="0" b="0"/>
                  <wp:docPr id="1072267396" name="Picture">
</wp:docPr>
                  <a:graphic>
                    <a:graphicData uri="http://schemas.openxmlformats.org/drawingml/2006/picture">
                      <pic:pic>
                        <pic:nvPicPr>
                          <pic:cNvPr id="1072267396"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Новичкам не всегда понятно кого слушать, т.к. у них не сформированы критерии оценки.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19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квалификационную классификацию на основе хорошо зарекомендовавшего себя на практике алгоритма спортивной разрядности, где уровень мастерства спортсмена определяется относительно известного (т.е. доказанного) уровня мастерства других спортсменов.Т.е., по сути, методом сравнительного анализа.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c>
          <w:tcPr>
     </w:tcPr>
          <w:p>
            <w:pPr>
              <w:pStyle w:val="EMPTY_CELL_STYLE"/>
            </w:pPr>
          </w:p>
        </w:tc>
      </w:tr>
      <w:tr>
        <w:trPr>
          <w:trHeight w:hRule="exact" w:val="12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максимальную полноту передачи (на основе принципа соразмерности) экспертности своих участников в представлениях экспертно-рекомендательных органов Организации.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представление о компетенциях (областях знаний) исполнителя</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представление об уровне квалификации участников</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прозрачность происхождения уровня квалификации и её аудируемость</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c>
          <w:tcPr>
     </w:tcPr>
          <w:p>
            <w:pPr>
              <w:pStyle w:val="EMPTY_CELL_STYLE"/>
            </w:pPr>
          </w:p>
        </w:tc>
      </w:tr>
      <w:tr>
        <w:trPr>
          <w:trHeight w:hRule="exact" w:val="12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Одна рекомендация от участника претендуемого (или более высокого) квалификационного класса равноценна двум рекомендациям от участников текущего квалификационного класса.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Основанием для каждой рекомендации должен служить факт конкретного вклада участника в достижение целей Организации.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Отвлечение ресурсов времени специалистов на нерелевантные аспекты знаний в ущерб релевантным.</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96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Падение velocity. В основу метафоры "технический долг" положено правило "сложного процента", возрастающего в геометрической прогрессии.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Перерасход средств по стоимости разработки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Понижение уровня реиспользования кода, рост дубликатов</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Поставщики услуг outsourcing marketplaces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Потребители услуг outsourcing marketplaces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предлагаемые артефакты могут проходить процедуру одобрения Комитетом Организации по его усмотрению.</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12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представление нанимателю данных об уровне экспертности члена Организации (по его желанию), выраженного конкретным опытом, ценность которого подтверждена другими членами Организации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Работодатели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Разные участники организации обладают различным уровнем экспертности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8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Рассматриваемый единовременно уровень сложности (Coupling) должен быть меньше ограничения краткосрочной памяти человека </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15</w:t>
            </w:r>
          </w:p>
        </w:tc>
        <w:tc>
          <w:tcPr>
            <w:gridSpan w:val="2"/>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5" w:name="JR_PAGE_ANCHOR_0_16"/>
            <w:bookmarkEnd w:id="15"/>
            <w:r>
              <w:rPr/>
              <w:drawing>
                <wp:inline distT="0" distB="0" distL="0" distR="0">
                  <wp:extent cx="7556500" cy="635000"/>
                  <wp:effectExtent l="0" t="0" r="0" b="0"/>
                  <wp:docPr id="1873010424" name="Picture">
</wp:docPr>
                  <a:graphic>
                    <a:graphicData uri="http://schemas.openxmlformats.org/drawingml/2006/picture">
                      <pic:pic>
                        <pic:nvPicPr>
                          <pic:cNvPr id="1873010424"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(З-н магического числа 7 ± 2).</w:t>
            </w: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Результат тестирования нередко можно купить или поделать.</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Рейтинги не дают представления о компетенциях исполнителя</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Рекомендации от участников более низкого квалификационного класса не допускаются.</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12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рекомендуемая трудоемкость одного артефакта на каждого его исполнителя должна составлять от 20 до 80 часов; маленькие артефакты рекомендуется группировать, большие - декомпозировать;</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Рост когнитивной нагрузки на практикующего специалиста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166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Самообразование и обретение опыта требуют затрат времени, поэтому грамотные специалисты стеснены в свободным времени, что зачастую приводит к гегемонии бескомпетентности в информационном пространстве экспертных сообществ - от этого страдает большинство технических пабликов.</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14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Система рейтингов подрядных бирж отражает не уровень квалификации, а уровень лояльности исполнителя, ибо если бы заказчик был способен оценить компетентность, то он не обращался бы за этой компетентностью на биржу.</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Системы тестирования зачастую обросли шпаргалками, которые специалист может выучить за один-два вечера.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Сложность выбора квалифицированного исполнителя</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Сотрудники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Спам в пабликах</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Специалисты отрасти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Стесненностью ресурсов времени практикующих специалистов на освоение информации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Стимулировать развитие участников</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Стоимость дорогих изменений образуется стоимостью каскадных изменений, которые образуются High Coupling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Тестирование не отражает ни широты, на глубины знаний, ни способности специалиста применять эти знания на практике.</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Тестирование основано на сопоставлении с образцом (эталоном) компетентности.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96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Традиционные методы голосования не позволяют в полной мере отразить отразить экспертность в рекомендациях добровольных совещательных органов</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10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Требуемые количества рекомендаций по квалификационным классам: эксперт - 20 рекомендаций Экспертов; кандидат в эксперты - 10 рекомендаций Кандидатов в </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16</w:t>
            </w:r>
          </w:p>
        </w:tc>
        <w:tc>
          <w:tcPr>
            <w:gridSpan w:val="2"/>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6" w:name="JR_PAGE_ANCHOR_0_17"/>
            <w:bookmarkEnd w:id="16"/>
            <w:r>
              <w:rPr/>
              <w:drawing>
                <wp:inline distT="0" distB="0" distL="0" distR="0">
                  <wp:extent cx="7556500" cy="635000"/>
                  <wp:effectExtent l="0" t="0" r="0" b="0"/>
                  <wp:docPr id="1188120765" name="Picture">
</wp:docPr>
                  <a:graphic>
                    <a:graphicData uri="http://schemas.openxmlformats.org/drawingml/2006/picture">
                      <pic:pic>
                        <pic:nvPicPr>
                          <pic:cNvPr id="118812076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96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эксперты; 1 класс - 7 рекомендаций 1-го класса; 2 класс - 5 рекомендаций 2-го класса; 3 класс - 3 рекомендации 3-го класса; без класса - по умолчанию.</w:t>
            </w: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2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Удовлетворение квалификационного голода малых компаний на основе нерегулярной частичной форме занятости высококвалифицированных специалистов (консалтинг).</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Укрепить репутацию экспертного сообщества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Уровень зарплаты специалиста зачастую не коррелирует с реальным уровнем квалификации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Ухудшение внутреннего качества программы</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Участники сообщества могут банить спамеров, используя, например, @banofbot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Участники экспертных сообществ</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c>
          <w:tcPr>
     </w:tcPr>
          <w:p>
            <w:pPr>
              <w:pStyle w:val="EMPTY_CELL_STYLE"/>
            </w:pPr>
          </w:p>
        </w:tc>
      </w:tr>
      <w:tr>
        <w:trPr>
          <w:trHeight w:hRule="exact" w:val="19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 "There's a definite Dunning-Kruger effect for authors. The people who hold a ton of knowledge hesitate because they find their insights "obvious" or "nothing special". Then you have people who write a lot but do little real work that they could base their writing on..." -- Gregor Hohpe https://twitter.com/ghohpe/status/1332200805852606470?s=20</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78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17</w:t>
            </w:r>
          </w:p>
        </w:tc>
        <w:tc>
          <w:tcPr>
            <w:gridSpan w:val="2"/>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7" w:name="JR_PAGE_ANCHOR_0_18"/>
            <w:bookmarkEnd w:id="17"/>
            <w:r>
              <w:rPr/>
              <w:drawing>
                <wp:inline distT="0" distB="0" distL="0" distR="0">
                  <wp:extent cx="7556500" cy="635000"/>
                  <wp:effectExtent l="0" t="0" r="0" b="0"/>
                  <wp:docPr id="1578964260" name="Picture">
</wp:docPr>
                  <a:graphic>
                    <a:graphicData uri="http://schemas.openxmlformats.org/drawingml/2006/picture">
                      <pic:pic>
                        <pic:nvPicPr>
                          <pic:cNvPr id="1578964260"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4"/>
            <w:tcMar>
              <w:top w:w="0" w:type="dxa"/>
              <w:left w:w="0" w:type="dxa"/>
              <w:bottom w:w="0" w:type="dxa"/>
              <w:right w:w="0" w:type="dxa"/>
            </w:tcMar>
            <w:vAlign w:val="top"/>
          </w:tcPr>
          <w:p>
            <w:pPr>
              <w:pStyle w:val="Title 1"/>
              <w:ind/>
            </w:pPr>
            <w:r>
              <w:rPr>
       </w:rPr>
              <w:t xml:space="preserve">Business Layer</w:t>
            </w:r>
          </w:p>
        </w:tc>
        <w:tc>
          <w:tcPr>
     </w:tcPr>
          <w:p>
            <w:pPr>
              <w:pStyle w:val="EMPTY_CELL_STYLE"/>
            </w:pPr>
          </w:p>
        </w:tc>
      </w:tr>
      <w:tr>
        <w:trPr>
          <w:trHeight w:hRule="exact" w:val="2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AcceptArtifact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AnyMember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Actor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Artifact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ArtifactHasAlreadyBeenEndorsedForTheMember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ArtifactIsAccepted</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ArtifactIsProposed</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AvailableEndorsementsExceeded</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Committee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Actor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Competence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CompleteEndorsement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EndorseArtifact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Endorsement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EndorsementCompleted</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r>
      <w:tr>
        <w:trPr>
          <w:trHeight w:hRule="exact" w:val="1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18</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8" w:name="JR_PAGE_ANCHOR_0_19"/>
            <w:bookmarkEnd w:id="18"/>
            <w:r>
              <w:rPr/>
              <w:drawing>
                <wp:inline distT="0" distB="0" distL="0" distR="0">
                  <wp:extent cx="7556500" cy="635000"/>
                  <wp:effectExtent l="0" t="0" r="0" b="0"/>
                  <wp:docPr id="76032922" name="Picture">
</wp:docPr>
                  <a:graphic>
                    <a:graphicData uri="http://schemas.openxmlformats.org/drawingml/2006/picture">
                      <pic:pic>
                        <pic:nvPicPr>
                          <pic:cNvPr id="76032922"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EndorsementReceived</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EndorsementReleased</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EndorsementReserved</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Endorser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Endorser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Role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GradeAssigned</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Group</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HigherGradeCan'tBeEndorsed</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Member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Member A</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Actor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Member B</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Actor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Moderator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Role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PendingArtifacts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Representation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ProposeArtifact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r>
      <w:tr>
        <w:trPr>
          <w:trHeight w:hRule="exact" w:val="6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19</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9" w:name="JR_PAGE_ANCHOR_0_20"/>
            <w:bookmarkEnd w:id="19"/>
            <w:r>
              <w:rPr/>
              <w:drawing>
                <wp:inline distT="0" distB="0" distL="0" distR="0">
                  <wp:extent cx="7556500" cy="635000"/>
                  <wp:effectExtent l="0" t="0" r="0" b="0"/>
                  <wp:docPr id="1978869783" name="Picture">
</wp:docPr>
                  <a:graphic>
                    <a:graphicData uri="http://schemas.openxmlformats.org/drawingml/2006/picture">
                      <pic:pic>
                        <pic:nvPicPr>
                          <pic:cNvPr id="197886978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Publisher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Role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RecentArtifacts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Representation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ReleaseEndorsement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ReserveEndorsement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Role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Specialist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Specialist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Role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SyncGrade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Team</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Actor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Tenant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User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Actor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User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Агрегат</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Актор</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Role</w:t>
            </w:r>
          </w:p>
        </w:tc>
        <w:tc>
          <w:tcPr>
     </w:tcPr>
          <w:p>
            <w:pPr>
              <w:pStyle w:val="EMPTY_CELL_STYLE"/>
            </w:pPr>
          </w:p>
        </w:tc>
      </w:tr>
      <w:tr>
        <w:trPr>
          <w:trHeight w:hRule="exact" w:val="9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20</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20" w:name="JR_PAGE_ANCHOR_0_21"/>
            <w:bookmarkEnd w:id="20"/>
            <w:r>
              <w:rPr/>
              <w:drawing>
                <wp:inline distT="0" distB="0" distL="0" distR="0">
                  <wp:extent cx="7556500" cy="635000"/>
                  <wp:effectExtent l="0" t="0" r="0" b="0"/>
                  <wp:docPr id="219130824" name="Picture">
</wp:docPr>
                  <a:graphic>
                    <a:graphicData uri="http://schemas.openxmlformats.org/drawingml/2006/picture">
                      <pic:pic>
                        <pic:nvPicPr>
                          <pic:cNvPr id="219130824"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Доменное событие</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Запрос</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Function (Query)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Команда</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 (Command)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Модель Чтения</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Representation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Политика</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 (Policy)</w:t>
            </w:r>
          </w:p>
        </w:tc>
        <w:tc>
          <w:tcPr>
     </w:tcPr>
          <w:p>
            <w:pPr>
              <w:pStyle w:val="EMPTY_CELL_STYLE"/>
            </w:pPr>
          </w:p>
        </w:tc>
      </w:tr>
      <w:tr>
        <w:trPr>
          <w:trHeight w:hRule="exact" w:val="99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21</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21" w:name="JR_PAGE_ANCHOR_0_22"/>
            <w:bookmarkEnd w:id="21"/>
            <w:r>
              <w:rPr/>
              <w:drawing>
                <wp:inline distT="0" distB="0" distL="0" distR="0">
                  <wp:extent cx="7556500" cy="635000"/>
                  <wp:effectExtent l="0" t="0" r="0" b="0"/>
                  <wp:docPr id="575197504" name="Picture">
</wp:docPr>
                  <a:graphic>
                    <a:graphicData uri="http://schemas.openxmlformats.org/drawingml/2006/picture">
                      <pic:pic>
                        <pic:nvPicPr>
                          <pic:cNvPr id="575197504"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4"/>
            <w:tcMar>
              <w:top w:w="0" w:type="dxa"/>
              <w:left w:w="0" w:type="dxa"/>
              <w:bottom w:w="0" w:type="dxa"/>
              <w:right w:w="0" w:type="dxa"/>
            </w:tcMar>
            <w:vAlign w:val="top"/>
          </w:tcPr>
          <w:p>
            <w:pPr>
              <w:pStyle w:val="Title 1"/>
              <w:ind/>
            </w:pPr>
            <w:r>
              <w:rPr>
       </w:rPr>
              <w:t xml:space="preserve">Application Layer</w:t>
            </w:r>
          </w:p>
        </w:tc>
        <w:tc>
          <w:tcPr>
     </w:tcPr>
          <w:p>
            <w:pPr>
              <w:pStyle w:val="EMPTY_CELL_STYLE"/>
            </w:pPr>
          </w:p>
        </w:tc>
      </w:tr>
      <w:tr>
        <w:trPr>
          <w:trHeight w:hRule="exact" w:val="2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Data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Another Aggregate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Data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Another Service/System</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Component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Command (Hexagonal Port, Interface)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Interface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CommandHandler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Process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DomainEvent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Expension Point Pipeline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Interaction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Front Door Queue using message bus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Interaction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Gateway (with Transactional Outbox)</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Function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GOF Pattern Mediator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Interaction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gRPC Hexagonal Adapter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Process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Infrastructure Layer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Component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JSON-RPC Hexagonal Adapter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Process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Kafka Subscriber Hexagonal Adapter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Process</w:t>
            </w:r>
          </w:p>
        </w:tc>
        <w:tc>
          <w:tcPr>
     </w:tcPr>
          <w:p>
            <w:pPr>
              <w:pStyle w:val="EMPTY_CELL_STYLE"/>
            </w:pPr>
          </w:p>
        </w:tc>
      </w:tr>
      <w:tr>
        <w:trPr>
          <w:trHeight w:hRule="exact" w:val="1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22</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22" w:name="JR_PAGE_ANCHOR_0_23"/>
            <w:bookmarkEnd w:id="22"/>
            <w:r>
              <w:rPr/>
              <w:drawing>
                <wp:inline distT="0" distB="0" distL="0" distR="0">
                  <wp:extent cx="7556500" cy="635000"/>
                  <wp:effectExtent l="0" t="0" r="0" b="0"/>
                  <wp:docPr id="456228477" name="Picture">
</wp:docPr>
                  <a:graphic>
                    <a:graphicData uri="http://schemas.openxmlformats.org/drawingml/2006/picture">
                      <pic:pic>
                        <pic:nvPicPr>
                          <pic:cNvPr id="45622847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Logging Pipeline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Interaction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Mediator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Interaction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Policy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Process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Projection (Policy)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Function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Query (Hexagonal Port, Interface)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Interface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QueryHandler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Service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ReadModel</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Data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RepositoryImplementation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Service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RepositoryInterface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Interface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REST-API Hexagonal Adapter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Process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REST-API Hexagonal Adapter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Process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REST-Endpoint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Interface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Send Integration Event (Policy)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Function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Validation Pipeline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Interaction</w:t>
            </w:r>
          </w:p>
        </w:tc>
        <w:tc>
          <w:tcPr>
     </w:tcPr>
          <w:p>
            <w:pPr>
              <w:pStyle w:val="EMPTY_CELL_STYLE"/>
            </w:pPr>
          </w:p>
        </w:tc>
      </w:tr>
      <w:tr>
        <w:trPr>
          <w:trHeight w:hRule="exact" w:val="6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23</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23" w:name="JR_PAGE_ANCHOR_0_24"/>
            <w:bookmarkEnd w:id="23"/>
            <w:r>
              <w:rPr/>
              <w:drawing>
                <wp:inline distT="0" distB="0" distL="0" distR="0">
                  <wp:extent cx="7556500" cy="635000"/>
                  <wp:effectExtent l="0" t="0" r="0" b="0"/>
                  <wp:docPr id="965674262" name="Picture">
</wp:docPr>
                  <a:graphic>
                    <a:graphicData uri="http://schemas.openxmlformats.org/drawingml/2006/picture">
                      <pic:pic>
                        <pic:nvPicPr>
                          <pic:cNvPr id="965674262"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WebHook</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Interface</w:t>
            </w:r>
          </w:p>
        </w:tc>
        <w:tc>
          <w:tcPr>
     </w:tcPr>
          <w:p>
            <w:pPr>
              <w:pStyle w:val="EMPTY_CELL_STYLE"/>
            </w:pPr>
          </w:p>
        </w:tc>
      </w:tr>
      <w:tr>
        <w:trPr>
          <w:trHeight w:hRule="exact" w:val="139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24</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24" w:name="JR_PAGE_ANCHOR_0_25"/>
            <w:bookmarkEnd w:id="24"/>
            <w:r>
              <w:rPr/>
              <w:drawing>
                <wp:inline distT="0" distB="0" distL="0" distR="0">
                  <wp:extent cx="7556500" cy="635000"/>
                  <wp:effectExtent l="0" t="0" r="0" b="0"/>
                  <wp:docPr id="1170475172" name="Picture">
</wp:docPr>
                  <a:graphic>
                    <a:graphicData uri="http://schemas.openxmlformats.org/drawingml/2006/picture">
                      <pic:pic>
                        <pic:nvPicPr>
                          <pic:cNvPr id="1170475172"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4"/>
            <w:tcMar>
              <w:top w:w="0" w:type="dxa"/>
              <w:left w:w="0" w:type="dxa"/>
              <w:bottom w:w="0" w:type="dxa"/>
              <w:right w:w="0" w:type="dxa"/>
            </w:tcMar>
            <w:vAlign w:val="top"/>
          </w:tcPr>
          <w:p>
            <w:pPr>
              <w:pStyle w:val="Title 1"/>
              <w:ind/>
            </w:pPr>
            <w:r>
              <w:rPr>
       </w:rPr>
              <w:t xml:space="preserve">Technology &amp; Physical Layer</w:t>
            </w:r>
          </w:p>
        </w:tc>
        <w:tc>
          <w:tcPr>
     </w:tcPr>
          <w:p>
            <w:pPr>
              <w:pStyle w:val="EMPTY_CELL_STYLE"/>
            </w:pPr>
          </w:p>
        </w:tc>
      </w:tr>
      <w:tr>
        <w:trPr>
          <w:trHeight w:hRule="exact" w:val="2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Bus Dead Letter Channel</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Path</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Bus Message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 (Command)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Bus Queue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Path</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Bus Reply Channel</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Path</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Bus Topic</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Path</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Bytes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 (Command)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HTTP-Request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 (Command)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HTTP-Request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 (Command)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HTTP-Response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 (Command)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Integration Event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JSON-Object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 (Command)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ReadModel Database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Node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WriteModel DataBase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Node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Интеграционное событие</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Technology Event</w:t>
            </w:r>
          </w:p>
        </w:tc>
        <w:tc>
          <w:tcPr>
     </w:tcPr>
          <w:p>
            <w:pPr>
              <w:pStyle w:val="EMPTY_CELL_STYLE"/>
            </w:pPr>
          </w:p>
        </w:tc>
      </w:tr>
      <w:tr>
        <w:trPr>
          <w:trHeight w:hRule="exact" w:val="1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25</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25" w:name="JR_PAGE_ANCHOR_0_26"/>
            <w:bookmarkEnd w:id="25"/>
            <w:r>
              <w:rPr/>
              <w:drawing>
                <wp:inline distT="0" distB="0" distL="0" distR="0">
                  <wp:extent cx="7556500" cy="635000"/>
                  <wp:effectExtent l="0" t="0" r="0" b="0"/>
                  <wp:docPr id="1978560393" name="Picture">
</wp:docPr>
                  <a:graphic>
                    <a:graphicData uri="http://schemas.openxmlformats.org/drawingml/2006/picture">
                      <pic:pic>
                        <pic:nvPicPr>
                          <pic:cNvPr id="197856039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Сообщение Команды</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 (Command)</w:t>
            </w:r>
          </w:p>
        </w:tc>
        <w:tc>
          <w:tcPr>
     </w:tcPr>
          <w:p>
            <w:pPr>
              <w:pStyle w:val="EMPTY_CELL_STYLE"/>
            </w:pPr>
          </w:p>
        </w:tc>
      </w:tr>
      <w:tr>
        <w:trPr>
          <w:trHeight w:hRule="exact" w:val="136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26</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26" w:name="JR_PAGE_ANCHOR_0_27"/>
            <w:bookmarkEnd w:id="26"/>
            <w:r>
              <w:rPr/>
              <w:drawing>
                <wp:inline distT="0" distB="0" distL="0" distR="0">
                  <wp:extent cx="7556500" cy="635000"/>
                  <wp:effectExtent l="0" t="0" r="0" b="0"/>
                  <wp:docPr id="1108589630" name="Picture">
</wp:docPr>
                  <a:graphic>
                    <a:graphicData uri="http://schemas.openxmlformats.org/drawingml/2006/picture">
                      <pic:pic>
                        <pic:nvPicPr>
                          <pic:cNvPr id="1108589630"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4"/>
            <w:tcMar>
              <w:top w:w="0" w:type="dxa"/>
              <w:left w:w="0" w:type="dxa"/>
              <w:bottom w:w="0" w:type="dxa"/>
              <w:right w:w="0" w:type="dxa"/>
            </w:tcMar>
            <w:vAlign w:val="top"/>
          </w:tcPr>
          <w:p>
            <w:pPr>
              <w:pStyle w:val="Title 1"/>
              <w:ind/>
            </w:pPr>
            <w:r>
              <w:rPr>
       </w:rPr>
              <w:t xml:space="preserve">Motivation</w:t>
            </w:r>
          </w:p>
        </w:tc>
        <w:tc>
          <w:tcPr>
     </w:tcPr>
          <w:p>
            <w:pPr>
              <w:pStyle w:val="EMPTY_CELL_STYLE"/>
            </w:pPr>
          </w:p>
        </w:tc>
      </w:tr>
      <w:tr>
        <w:trPr>
          <w:trHeight w:hRule="exact" w:val="2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"So, design ≈ cost ≈ change ≈ big change ≈ coupling. Transitively, software design ≈ managing coupling." -- Kent Beck</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@banofbot может быть использован для атаки против ценных участников сообщества и необратимого уничтожения их информации в паблике.</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Assessment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Constraint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Constraint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Driver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Goal</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Requirement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Stakeholder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Адресовать запросы в первую очередь к участникам, обладающим наивысшим уровнем экспертности, выраженной конкретным опытом, ценность которого подтверждена другими членами организации.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Артефакты должны классифицироваться по компетенциям</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2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В процессе конструирования кода, 91% времени (в лучшем случае) занимает именно чтение кода и борьба со сложностью (каждым разработчиком постоянно), и только 9% времени (1:10) занимает ввод символов с клавиатуры (одним разработчиком единократно)</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В экспертные сообщества нередко обращаются за услугами консалтинга</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27</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27" w:name="JR_PAGE_ANCHOR_0_28"/>
            <w:bookmarkEnd w:id="27"/>
            <w:r>
              <w:rPr/>
              <w:drawing>
                <wp:inline distT="0" distB="0" distL="0" distR="0">
                  <wp:extent cx="7556500" cy="635000"/>
                  <wp:effectExtent l="0" t="0" r="0" b="0"/>
                  <wp:docPr id="892091760" name="Picture">
</wp:docPr>
                  <a:graphic>
                    <a:graphicData uri="http://schemas.openxmlformats.org/drawingml/2006/picture">
                      <pic:pic>
                        <pic:nvPicPr>
                          <pic:cNvPr id="892091760"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Ввести внутреннюю систему ценностей в виде квалификационной классности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4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вклад и квалификация члена Организации оцениваются одновременно и неразрывно, как и неразрывны теория с практикой; вклад не обязан быть кем-то оцененным, если он не отражает квалификацию исполнителя в виде конкретной ценности для достижения уставных целей Организации, а без практического вклада оценить отдельно квалификацию система тоже не позволяет; рекомендация означает признание экспертности члена Организации, выраженной на примере конкретного практического опыта, другими членами Организации.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Восстановить процентное содержание качественной информации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Высокая стоимость внемения изменения в реализацию</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Голос участника опроса должен учитываться с учетом весового коэффициента его квалификационного класса</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Грамотные специалисты не всегда спешат ввязываться во флейм с малограмотными оппонентами. Зачастую это приводит к их демотивации и самоустранению из пабликов.</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Демотивация</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Дисбаланс в пользу краткосрочных бизнес-интересов в ущерб долгосрочным техническим интересам (Spaghetti code)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https://dckms.github.io/system-architecture/emacsway/it/sdlc/models/agile/analysis/concerns/balancing-business-technical-concerns.html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Допускается одна рекомендация рекомендующего за один конкретный артефакт рекомендуемого.</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8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28</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28" w:name="JR_PAGE_ANCHOR_0_29"/>
            <w:bookmarkEnd w:id="28"/>
            <w:r>
              <w:rPr/>
              <w:drawing>
                <wp:inline distT="0" distB="0" distL="0" distR="0">
                  <wp:extent cx="7556500" cy="635000"/>
                  <wp:effectExtent l="0" t="0" r="0" b="0"/>
                  <wp:docPr id="1567135053" name="Picture">
</wp:docPr>
                  <a:graphic>
                    <a:graphicData uri="http://schemas.openxmlformats.org/drawingml/2006/picture">
                      <pic:pic>
                        <pic:nvPicPr>
                          <pic:cNvPr id="156713505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Дросселировать информацию от участников с невысоким уровнем квалификации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Зависимое положение исполнителя от оценки/рекомендации заказчика.</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Заказчик не осведомлен об объективной квалификации исполнителя.</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Заказчики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Закоммерциализированные сертификаты зачастую не отражают реальный уровень квалификации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Захламленность информационного пространства</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Защитить социальное положение грамотных специалистов как источников качественной информации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Защитить ценную информацию и ценных участников от атак.</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Исключить влияние эффекта Даннинга-Крюгера на качество информационного пространства</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Исполнители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Каждый участник может отдать 20 рекомендаций (признаний) в год в пользу других участников.</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Квалификационный голод малых компаний</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24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Квалифицированные кадры не видят репутационной и карьерной привлекательности в вакансиях малых компаний на постоянной форме занятости (по причине повышенных финансовых рисков, невысокой карьерной целесообразности и недостаточной конкурентноспособности </w:t>
            </w: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29</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29" w:name="JR_PAGE_ANCHOR_0_30"/>
            <w:bookmarkEnd w:id="29"/>
            <w:r>
              <w:rPr/>
              <w:drawing>
                <wp:inline distT="0" distB="0" distL="0" distR="0">
                  <wp:extent cx="7556500" cy="635000"/>
                  <wp:effectExtent l="0" t="0" r="0" b="0"/>
                  <wp:docPr id="1282393063" name="Picture">
</wp:docPr>
                  <a:graphic>
                    <a:graphicData uri="http://schemas.openxmlformats.org/drawingml/2006/picture">
                      <pic:pic>
                        <pic:nvPicPr>
                          <pic:cNvPr id="128239306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зарплат)</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2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Квалифицировать должно лицо, обладающее способностями объективной квалификации, т.е. квалифицировать должен специалист с известным/подтвержденным уровнем квалификации не ниже уровня квалифицируемого, а не заказчик.</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Количество голосов, требуемых для блокирования участника, должно учитывать уровень его квалификации.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Компенсировать зависимость исполнителя от оценки заказчика (на краткосрочном горизонте) введением зависимости от перспектив (на долгосрочном горизонте).</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Конкуренция сертификационных организаций склоняет их к достижению рыночной гегемонии путем формирования приоритета на количество выпущенных сертификатов в ущерб качеству.</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Консалтинг</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Конфликт интересов сертификационных организаций, финансирование которых находится в зависимости от количества претендентов и проданных курсов подготовки.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2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Любой эталон является планкой (барьером), очерчивающей горизонт развития. Взятие планки останавливает развитие, а не стимулирует. Это неприемлемо для таких наукоемких и постоянно эволюционирующих отраслей, как ИТ.</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Максимизировать объективность квалифицирования</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Многие системы тестирования слабо защищены технически от обмана (например, допускают вмешательство в работу JavaScript кода web-страницы).</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6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30</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30" w:name="JR_PAGE_ANCHOR_0_31"/>
            <w:bookmarkEnd w:id="30"/>
            <w:r>
              <w:rPr/>
              <w:drawing>
                <wp:inline distT="0" distB="0" distL="0" distR="0">
                  <wp:extent cx="7556500" cy="635000"/>
                  <wp:effectExtent l="0" t="0" r="0" b="0"/>
                  <wp:docPr id="719518227" name="Picture">
</wp:docPr>
                  <a:graphic>
                    <a:graphicData uri="http://schemas.openxmlformats.org/drawingml/2006/picture">
                      <pic:pic>
                        <pic:nvPicPr>
                          <pic:cNvPr id="71951822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Мотивировать участников к повышению качества публикуемой ими информации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2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Наделить высококвалифицированных специалистов мерами административного воздействия, например, предоставить право установления временного запрета на публикацию сообщений в тг-канале.</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2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Наличие эталона подразумевает монополию на компетентность, что вызывает вопрос доверия к ней. Нередко экзаменуемый демонстрирует большую компетентностью, нежели экзаменатор, что ограничивает развитие остальных уровнем экзаменатора.</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Неизменяемый лог рекомендаций</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Неясные интерфейсы и именования требуют затрат времени на изучение реализации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Низкая эффективность грейдов на основе матриц компетентности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Низкое качество ПО</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Новичкам не всегда понятно кого слушать, т.к. у них не сформированы критерии оценки.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5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Обеспечить квалификационную классификацию на основе хорошо зарекомендовавшего себя на практике алгоритма спортивной разрядности, где уровень мастерства спортсмена определяется относительно известного (т.е. доказанного) уровня мастерства других спортсменов.Т.е., по сути, методом сравнительного анализа.</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Обеспечить максимальную полноту передачи (на основе принципа соразмерности) экспертности своих участников в представлениях экспертно-рекомендательных органов Организации.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6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31</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31" w:name="JR_PAGE_ANCHOR_0_32"/>
            <w:bookmarkEnd w:id="31"/>
            <w:r>
              <w:rPr/>
              <w:drawing>
                <wp:inline distT="0" distB="0" distL="0" distR="0">
                  <wp:extent cx="7556500" cy="635000"/>
                  <wp:effectExtent l="0" t="0" r="0" b="0"/>
                  <wp:docPr id="576736382" name="Picture">
</wp:docPr>
                  <a:graphic>
                    <a:graphicData uri="http://schemas.openxmlformats.org/drawingml/2006/picture">
                      <pic:pic>
                        <pic:nvPicPr>
                          <pic:cNvPr id="576736382"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Обеспечить представление о компетенциях (областях знаний) исполнителя</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Обеспечить представление об уровне квалификации участников</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Обеспечить прозрачность происхождения уровня квалификации и её аудируемость</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Одна рекомендация от участника претендуемого (или более высокого) квалификационного класса равноценна двум рекомендациям от участников текущего квалификационного класса.</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Основанием для каждой рекомендации должен служить факт конкретного вклада участника в достижение целей Организации.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Отвлечение ресурсов времени специалистов на нерелевантные аспекты знаний в ущерб релевантным.</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Падение velocity. В основу метафоры "технический долг" положено правило "сложного процента", возрастающего в геометрической прогрессии.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Перерасход средств по стоимости разработки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Понижение уровня реиспользования кода, рост дубликатов</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Поставщики услуг outsourcing marketplaces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Потребители услуг outsourcing marketplaces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предлагаемые артефакты могут проходить процедуру одобрения Комитетом Организации по его усмотрению.</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4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32</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32" w:name="JR_PAGE_ANCHOR_0_33"/>
            <w:bookmarkEnd w:id="32"/>
            <w:r>
              <w:rPr/>
              <w:drawing>
                <wp:inline distT="0" distB="0" distL="0" distR="0">
                  <wp:extent cx="7556500" cy="635000"/>
                  <wp:effectExtent l="0" t="0" r="0" b="0"/>
                  <wp:docPr id="705801739" name="Picture">
</wp:docPr>
                  <a:graphic>
                    <a:graphicData uri="http://schemas.openxmlformats.org/drawingml/2006/picture">
                      <pic:pic>
                        <pic:nvPicPr>
                          <pic:cNvPr id="70580173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представление нанимателю данных об уровне экспертности члена Организации (по его желанию), выраженного конкретным опытом, ценность которого подтверждена другими членами Организации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Работодатели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Разные участники организации обладают различным уровнем экспертности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Рассматриваемый единовременно уровень сложности (Coupling) должен быть меньше ограничения краткосрочной памяти человека (З-н магического числа 7 ± 2).</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Результат тестирования нередко можно купить или поделать.</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Рейтинги не дают представления о компетенциях исполнителя</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Рекомендации от участников более низкого квалификационного класса не допускаются.</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рекомендуемая трудоемкость одного артефакта на каждого его исполнителя должна составлять от 20 до 80 часов; маленькие артефакты рекомендуется группировать, большие - декомпозировать;</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Рост когнитивной нагрузки на практикующего специалиста</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5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Самообразование и обретение опыта требуют затрат времени, поэтому грамотные специалисты стеснены в свободным времени, что зачастую приводит к гегемонии бескомпетентности в информационном пространстве экспертных сообществ - от этого страдает большинство технических пабликов.</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6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Система рейтингов подрядных бирж отражает не уровень квалификации, а уровень лояльности исполнителя, ибо если бы заказчик был способен оценить компетентность, то он не обращался бы за этой </w:t>
            </w: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33</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33" w:name="JR_PAGE_ANCHOR_0_34"/>
            <w:bookmarkEnd w:id="33"/>
            <w:r>
              <w:rPr/>
              <w:drawing>
                <wp:inline distT="0" distB="0" distL="0" distR="0">
                  <wp:extent cx="7556500" cy="635000"/>
                  <wp:effectExtent l="0" t="0" r="0" b="0"/>
                  <wp:docPr id="1714507758" name="Picture">
</wp:docPr>
                  <a:graphic>
                    <a:graphicData uri="http://schemas.openxmlformats.org/drawingml/2006/picture">
                      <pic:pic>
                        <pic:nvPicPr>
                          <pic:cNvPr id="1714507758"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компетентностью на биржу.</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Системы тестирования зачастую обросли шпаргалками, которые специалист может выучить за один-два вечера.</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Сложность выбора квалифицированного исполнителя</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Сотрудники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Спам в пабликах</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Специалисты отрасти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Стесненностью ресурсов времени практикующих специалистов на освоение информации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Стимулировать развитие участников</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Стоимость дорогих изменений образуется стоимостью каскадных изменений, которые образуются High Coupling</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Тестирование не отражает ни широты, на глубины знаний, ни способности специалиста применять эти знания на практике.</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Тестирование основано на сопоставлении с образцом (эталоном) компетентности.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Традиционные методы голосования не позволяют в полной мере отразить отразить экспертность в рекомендациях добровольных совещательных органов</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9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34</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34" w:name="JR_PAGE_ANCHOR_0_35"/>
            <w:bookmarkEnd w:id="34"/>
            <w:r>
              <w:rPr/>
              <w:drawing>
                <wp:inline distT="0" distB="0" distL="0" distR="0">
                  <wp:extent cx="7556500" cy="635000"/>
                  <wp:effectExtent l="0" t="0" r="0" b="0"/>
                  <wp:docPr id="7040976" name="Picture">
</wp:docPr>
                  <a:graphic>
                    <a:graphicData uri="http://schemas.openxmlformats.org/drawingml/2006/picture">
                      <pic:pic>
                        <pic:nvPicPr>
                          <pic:cNvPr id="7040976"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5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Требуемые количества рекомендаций по квалификационным классам: эксперт - 20 рекомендаций Экспертов; кандидат в эксперты - 10 рекомендаций Кандидатов в эксперты; 1 класс - 7 рекомендаций 1-го класса; 2 класс - 5 рекомендаций 2-го класса; 3 класс - 3 рекомендации 3-го класса; без класса - по умолчанию.</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Удовлетворение квалификационного голода малых компаний на основе нерегулярной частичной форме занятости высококвалифицированных специалистов (консалтинг).</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Укрепить репутацию экспертного сообщества</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Уровень зарплаты специалиста зачастую не коррелирует с реальным уровнем квалификации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Ухудшение внутреннего качества программы</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Участники сообщества могут банить спамеров, используя, например, @banofbot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https://github.com/backmeupplz/banofbot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Участники экспертных сообществ</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5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 "There's a definite Dunning-Kruger effect for authors. The people who hold a ton of knowledge hesitate because they find their insights "obvious" or "nothing special". Then you have people who write a lot but do little real work that they could base their writing on..." -- Gregor Hohpe https://twitter.com/ghohpe/status/1332200805852606470?s=20</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6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 https://twitter.com/ghohpe/status/1332200805852606470?s=20</w:t>
              <w:br/>
              <w:br/>
              <w:t xml:space="preserve">- https://ru.wikipedia.org/wiki/%D0%AD%D1%84%D1%84%D0%B5%D0%BA%D1%82_%D0%94%D0%B0%D0%BD%D0%BD%D0%B8%D0%BD%D0%B3%D0%B0_%E2%80%94_%D0%9A%D1%80%D1%8E%D0%B3%D0%B5%D1%80%D0%B0</w:t>
              <w:br/>
            </w:r>
          </w:p>
        </w:tc>
        <w:tc>
          <w:tcPr>
     </w:tcPr>
          <w:p>
            <w:pPr>
              <w:pStyle w:val="EMPTY_CELL_STYLE"/>
            </w:pPr>
          </w:p>
        </w:tc>
      </w:tr>
      <w:tr>
        <w:trPr>
          <w:trHeight w:hRule="exact" w:val="11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35</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35" w:name="JR_PAGE_ANCHOR_0_36"/>
            <w:bookmarkEnd w:id="35"/>
            <w:r>
              <w:rPr/>
              <w:drawing>
                <wp:inline distT="0" distB="0" distL="0" distR="0">
                  <wp:extent cx="7556500" cy="635000"/>
                  <wp:effectExtent l="0" t="0" r="0" b="0"/>
                  <wp:docPr id="462959967" name="Picture">
</wp:docPr>
                  <a:graphic>
                    <a:graphicData uri="http://schemas.openxmlformats.org/drawingml/2006/picture">
                      <pic:pic>
                        <pic:nvPicPr>
                          <pic:cNvPr id="46295996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4"/>
            <w:tcMar>
              <w:top w:w="0" w:type="dxa"/>
              <w:left w:w="0" w:type="dxa"/>
              <w:bottom w:w="0" w:type="dxa"/>
              <w:right w:w="0" w:type="dxa"/>
            </w:tcMar>
            <w:vAlign w:val="top"/>
          </w:tcPr>
          <w:p>
            <w:pPr>
              <w:pStyle w:val="Title 1"/>
              <w:ind/>
            </w:pPr>
            <w:r>
              <w:rPr>
       </w:rPr>
              <w:t xml:space="preserve">Other</w:t>
            </w:r>
          </w:p>
        </w:tc>
        <w:tc>
          <w:tcPr>
     </w:tcPr>
          <w:p>
            <w:pPr>
              <w:pStyle w:val="EMPTY_CELL_STYLE"/>
            </w:pPr>
          </w:p>
        </w:tc>
      </w:tr>
      <w:tr>
        <w:trPr>
          <w:trHeight w:hRule="exact" w:val="2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Application Layer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Domain Layer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Grade BC</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Identity BC</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Junction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Junction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Junction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Junction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Junction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Junction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Junction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Junction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Junction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Junction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1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36</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36" w:name="JR_PAGE_ANCHOR_0_37"/>
            <w:bookmarkEnd w:id="36"/>
            <w:r>
              <w:rPr/>
              <w:drawing>
                <wp:inline distT="0" distB="0" distL="0" distR="0">
                  <wp:extent cx="7556500" cy="635000"/>
                  <wp:effectExtent l="0" t="0" r="0" b="0"/>
                  <wp:docPr id="1513046042" name="Picture">
</wp:docPr>
                  <a:graphic>
                    <a:graphicData uri="http://schemas.openxmlformats.org/drawingml/2006/picture">
                      <pic:pic>
                        <pic:nvPicPr>
                          <pic:cNvPr id="1513046042"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Junction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Project Management BC</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Telegram BC</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Voting BC</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r>
      <w:tr>
        <w:trPr>
          <w:trHeight w:hRule="exact" w:val="106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37</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37" w:name="JR_PAGE_ANCHOR_0_38"/>
            <w:bookmarkEnd w:id="37"/>
            <w:r>
              <w:rPr/>
              <w:drawing>
                <wp:inline distT="0" distB="0" distL="0" distR="0">
                  <wp:extent cx="7556500" cy="635000"/>
                  <wp:effectExtent l="0" t="0" r="0" b="0"/>
                  <wp:docPr id="40514511" name="Picture">
</wp:docPr>
                  <a:graphic>
                    <a:graphicData uri="http://schemas.openxmlformats.org/drawingml/2006/picture">
                      <pic:pic>
                        <pic:nvPicPr>
                          <pic:cNvPr id="4051451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4"/>
            <w:tcMar>
              <w:top w:w="0" w:type="dxa"/>
              <w:left w:w="0" w:type="dxa"/>
              <w:bottom w:w="0" w:type="dxa"/>
              <w:right w:w="0" w:type="dxa"/>
            </w:tcMar>
            <w:vAlign w:val="top"/>
          </w:tcPr>
          <w:p>
            <w:pPr>
              <w:pStyle w:val="Title 1"/>
              <w:ind/>
            </w:pPr>
            <w:r>
              <w:rPr>
       </w:rPr>
              <w:t xml:space="preserve">Relations</w:t>
            </w:r>
          </w:p>
        </w:tc>
        <w:tc>
          <w:tcPr>
     </w:tcPr>
          <w:p>
            <w:pPr>
              <w:pStyle w:val="EMPTY_CELL_STYLE"/>
            </w:pPr>
          </w:p>
        </w:tc>
      </w:tr>
      <w:tr>
        <w:trPr>
          <w:trHeight w:hRule="exact" w:val="2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GradeAssigned</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SyncGrade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представление об уровне квалификации участников</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Новичкам не всегда понятно кого слушать, т.к. у них не сформированы критерии оценки.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Publisher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REST-API Hexagonal Adapter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ReadModel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Competence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Layer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gRPC Hexagonal Adapter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Command (Hexagonal Port, Interface)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Стесненностью ресурсов времени практикующих специалистов на освоение информации</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Рост когнитивной нагрузки на практикующего специалиста</w:t>
            </w:r>
          </w:p>
        </w:tc>
        <w:tc>
          <w:tcPr>
     </w:tcPr>
          <w:p>
            <w:pPr>
              <w:pStyle w:val="EMPTY_CELL_STYLE"/>
            </w:pPr>
          </w:p>
        </w:tc>
      </w:tr>
      <w:tr>
        <w:trPr>
          <w:trHeight w:hRule="exact" w:val="6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38</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38" w:name="JR_PAGE_ANCHOR_0_39"/>
            <w:bookmarkEnd w:id="38"/>
            <w:r>
              <w:rPr/>
              <w:drawing>
                <wp:inline distT="0" distB="0" distL="0" distR="0">
                  <wp:extent cx="7556500" cy="635000"/>
                  <wp:effectExtent l="0" t="0" r="0" b="0"/>
                  <wp:docPr id="1275013351" name="Picture">
</wp:docPr>
                  <a:graphic>
                    <a:graphicData uri="http://schemas.openxmlformats.org/drawingml/2006/picture">
                      <pic:pic>
                        <pic:nvPicPr>
                          <pic:cNvPr id="127501335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Максимизировать объективность квалифицирования</w:t>
            </w:r>
          </w:p>
        </w:tc>
        <w:tc>
          <w:tcPr>
     </w:tcPr>
          <w:p>
            <w:pPr>
              <w:pStyle w:val="EMPTY_CELL_STYLE"/>
            </w:pPr>
          </w:p>
        </w:tc>
      </w:tr>
      <w:tr>
        <w:trPr>
          <w:trHeight w:hRule="exact" w:val="64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Система рейтингов подрядных бирж отражает не уровень квалификации, а уровень лояльности исполнителя, ибо если бы заказчик был способен оценить компетентность, то он не обращался бы за этой компетентностью на биржу.</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AvailableEndorsementsExceeded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Influence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Influence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Зависимое положение исполнителя от оценки/рекомендации заказчика.</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Дисбаланс в пользу краткосрочных бизнес-интересов в ущерб долгосрочным техническим интересам (Spaghetti code)</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GOF Pattern Mediator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Competence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Specialization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Поставщики услуг outsourcing marketplaces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Исполнители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Дисбаланс в пользу краткосрочных бизнес-интересов в ущерб долгосрочным техническим интересам (Spaghetti code)</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Низкое качество ПО</w:t>
            </w:r>
          </w:p>
        </w:tc>
        <w:tc>
          <w:tcPr>
     </w:tcPr>
          <w:p>
            <w:pPr>
              <w:pStyle w:val="EMPTY_CELL_STYLE"/>
            </w:pPr>
          </w:p>
        </w:tc>
      </w:tr>
      <w:tr>
        <w:trPr>
          <w:trHeight w:hRule="exact" w:val="5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39</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39" w:name="JR_PAGE_ANCHOR_0_40"/>
            <w:bookmarkEnd w:id="39"/>
            <w:r>
              <w:rPr/>
              <w:drawing>
                <wp:inline distT="0" distB="0" distL="0" distR="0">
                  <wp:extent cx="7556500" cy="635000"/>
                  <wp:effectExtent l="0" t="0" r="0" b="0"/>
                  <wp:docPr id="1586868395" name="Picture">
</wp:docPr>
                  <a:graphic>
                    <a:graphicData uri="http://schemas.openxmlformats.org/drawingml/2006/picture">
                      <pic:pic>
                        <pic:nvPicPr>
                          <pic:cNvPr id="158686839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Another Service/System</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Каждый участник может отдать 20 рекомендаций (признаний) в год в пользу других участников.</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Низкая эффективность грейдов на основе матриц компетентности</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Сотрудники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EndorsementReserved</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EndorseArtifact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Projection (Policy)</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ReadModel Database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CommandHandler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ArtifactIsProposed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CompleteEndorsement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EndorsementCompleted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40</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0" w:name="JR_PAGE_ANCHOR_0_41"/>
            <w:bookmarkEnd w:id="40"/>
            <w:r>
              <w:rPr/>
              <w:drawing>
                <wp:inline distT="0" distB="0" distL="0" distR="0">
                  <wp:extent cx="7556500" cy="635000"/>
                  <wp:effectExtent l="0" t="0" r="0" b="0"/>
                  <wp:docPr id="337314074" name="Picture">
</wp:docPr>
                  <a:graphic>
                    <a:graphicData uri="http://schemas.openxmlformats.org/drawingml/2006/picture">
                      <pic:pic>
                        <pic:nvPicPr>
                          <pic:cNvPr id="337314074"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HigherGradeCan'tBeEndorsed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Mediator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Front Door Queue using message bus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Ухудшение внутреннего качества программы</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"So, design ≈ cost ≈ change ≈ big change ≈ coupling. Transitively, software design ≈ managing coupling." -- Kent Beck</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AcceptArtifact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Domain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Specialization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Specialization relation</w:t>
            </w:r>
          </w:p>
        </w:tc>
        <w:tc>
          <w:tcPr>
     </w:tcPr>
          <w:p>
            <w:pPr>
              <w:pStyle w:val="EMPTY_CELL_STYLE"/>
            </w:pPr>
          </w:p>
        </w:tc>
      </w:tr>
      <w:tr>
        <w:trPr>
          <w:trHeight w:hRule="exact" w:val="142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квалификационную классификацию на основе хорошо зарекомендовавшего себя на практике алгоритма спортивной разрядности, где уровень мастерства спортсмена определяется относительно известного (т.е. доказанного) уровня мастерства других спортсменов.Т.е., по сути, методом сравнительного анализа.</w:t>
            </w:r>
          </w:p>
        </w:tc>
        <w:tc>
          <w:tcPr>
     </w:tcPr>
          <w:p>
            <w:pPr>
              <w:pStyle w:val="EMPTY_CELL_STYLE"/>
            </w:pPr>
          </w:p>
        </w:tc>
      </w:tr>
      <w:tr>
        <w:trPr>
          <w:trHeight w:hRule="exact" w:val="64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Квалифицировать должно лицо, обладающее способностями объективной квалификации, т.е. квалифицировать должен специалист с известным/подтвержденным уровнем квалификации не ниже уровня квалифицируемого, а не заказчик.</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RepositoryInterface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Aggregate</w:t>
            </w:r>
          </w:p>
        </w:tc>
        <w:tc>
          <w:tcPr>
     </w:tcPr>
          <w:p>
            <w:pPr>
              <w:pStyle w:val="EMPTY_CELL_STYLE"/>
            </w:pPr>
          </w:p>
        </w:tc>
      </w:tr>
      <w:tr>
        <w:trPr>
          <w:trHeight w:hRule="exact" w:val="8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41</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1" w:name="JR_PAGE_ANCHOR_0_42"/>
            <w:bookmarkEnd w:id="41"/>
            <w:r>
              <w:rPr/>
              <w:drawing>
                <wp:inline distT="0" distB="0" distL="0" distR="0">
                  <wp:extent cx="7556500" cy="635000"/>
                  <wp:effectExtent l="0" t="0" r="0" b="0"/>
                  <wp:docPr id="195035534" name="Picture">
</wp:docPr>
                  <a:graphic>
                    <a:graphicData uri="http://schemas.openxmlformats.org/drawingml/2006/picture">
                      <pic:pic>
                        <pic:nvPicPr>
                          <pic:cNvPr id="195035534"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Неизменяемый лог рекомендаций</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прозрачность происхождения уровня квалификации и её аудируемость</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null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null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Policy</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Another Aggregate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Тестирование основано на сопоставлении с образцом (эталоном) компетентности.</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Закоммерциализированные сертификаты зачастую не отражают реальный уровень квалификации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 A</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AvailableEndorsementsExceeded</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ReleaseEndorsement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Identity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1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42</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2" w:name="JR_PAGE_ANCHOR_0_43"/>
            <w:bookmarkEnd w:id="42"/>
            <w:r>
              <w:rPr/>
              <w:drawing>
                <wp:inline distT="0" distB="0" distL="0" distR="0">
                  <wp:extent cx="7556500" cy="635000"/>
                  <wp:effectExtent l="0" t="0" r="0" b="0"/>
                  <wp:docPr id="1108039149" name="Picture">
</wp:docPr>
                  <a:graphic>
                    <a:graphicData uri="http://schemas.openxmlformats.org/drawingml/2006/picture">
                      <pic:pic>
                        <pic:nvPicPr>
                          <pic:cNvPr id="110803914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Send Integration Event (Policy)</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Gateway (with Transactional Outbox)</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 экспертные сообщества нередко обращаются за услугами консалтинга</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Консалтинг</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EndorsementReceived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JSON-RPC Hexagonal Adapter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Command (Hexagonal Port, Interface)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Голос участника опроса должен учитываться с учетом весового коэффициента его квалификационного класса</w:t>
            </w:r>
          </w:p>
        </w:tc>
        <w:tc>
          <w:tcPr>
     </w:tcPr>
          <w:p>
            <w:pPr>
              <w:pStyle w:val="EMPTY_CELL_STYLE"/>
            </w:pPr>
          </w:p>
        </w:tc>
      </w:tr>
      <w:tr>
        <w:trPr>
          <w:trHeight w:hRule="exact" w:val="40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максимальную полноту передачи (на основе принципа соразмерности) экспертности своих участников в представлениях экспертно-рекомендательных органов Организации.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Защитить социальное положение грамотных специалистов как источников качественной информации</w:t>
            </w:r>
          </w:p>
        </w:tc>
        <w:tc>
          <w:tcPr>
     </w:tcPr>
          <w:p>
            <w:pPr>
              <w:pStyle w:val="EMPTY_CELL_STYLE"/>
            </w:pPr>
          </w:p>
        </w:tc>
      </w:tr>
      <w:tr>
        <w:trPr>
          <w:trHeight w:hRule="exact" w:val="40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Грамотные специалисты не всегда спешат ввязываться во флейм с малограмотными оппонентами. Зачастую это приводит к их демотивации и самоустранению из пабликов.</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Tenant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Projection (Policy)</w:t>
            </w:r>
          </w:p>
        </w:tc>
        <w:tc>
          <w:tcPr>
     </w:tcPr>
          <w:p>
            <w:pPr>
              <w:pStyle w:val="EMPTY_CELL_STYLE"/>
            </w:pPr>
          </w:p>
        </w:tc>
      </w:tr>
      <w:tr>
        <w:trPr>
          <w:trHeight w:hRule="exact" w:val="9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43</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3" w:name="JR_PAGE_ANCHOR_0_44"/>
            <w:bookmarkEnd w:id="43"/>
            <w:r>
              <w:rPr/>
              <w:drawing>
                <wp:inline distT="0" distB="0" distL="0" distR="0">
                  <wp:extent cx="7556500" cy="635000"/>
                  <wp:effectExtent l="0" t="0" r="0" b="0"/>
                  <wp:docPr id="2010734170" name="Picture">
</wp:docPr>
                  <a:graphic>
                    <a:graphicData uri="http://schemas.openxmlformats.org/drawingml/2006/picture">
                      <pic:pic>
                        <pic:nvPicPr>
                          <pic:cNvPr id="2010734170"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96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Квалифицировать должно лицо, обладающее способностями объективной квалификации, т.е. квалифицировать должен специалист с известным/подтвержденным уровнем квалификации не ниже уровня квалифицируемого, а не заказчик.</w:t>
            </w:r>
          </w:p>
        </w:tc>
        <w:tc>
          <w:tcPr>
     </w:tcPr>
          <w:p>
            <w:pPr>
              <w:pStyle w:val="EMPTY_CELL_STYLE"/>
            </w:pPr>
          </w:p>
        </w:tc>
      </w:tr>
      <w:tr>
        <w:trPr>
          <w:trHeight w:hRule="exact" w:val="40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Компенсировать зависимость исполнителя от оценки заказчика (на краткосрочном горизонте) введением зависимости от перспектив (на долгосрочном горизонте).</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Агрегат</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null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Заказчик не осведомлен об объективной квалификации исполнителя.</w:t>
            </w:r>
          </w:p>
        </w:tc>
        <w:tc>
          <w:tcPr>
     </w:tcPr>
          <w:p>
            <w:pPr>
              <w:pStyle w:val="EMPTY_CELL_STYLE"/>
            </w:pPr>
          </w:p>
        </w:tc>
      </w:tr>
      <w:tr>
        <w:trPr>
          <w:trHeight w:hRule="exact" w:val="64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Система рейтингов подрядных бирж отражает не уровень квалификации, а уровень лояльности исполнителя, ибо если бы заказчик был способен оценить компетентность, то он не обращался бы за этой компетентностью на биржу.</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Интеграционное событие</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Доменное событие</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96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Адресовать запросы в первую очередь к участникам, обладающим наивысшим уровнем экспертности, выраженной конкретным опытом, ценность которого подтверждена другими членами организации.</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Укрепить репутацию экспертного сообщества</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Domain Layer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Команда</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Доменное событие</w:t>
            </w:r>
          </w:p>
        </w:tc>
        <w:tc>
          <w:tcPr>
     </w:tcPr>
          <w:p>
            <w:pPr>
              <w:pStyle w:val="EMPTY_CELL_STYLE"/>
            </w:pPr>
          </w:p>
        </w:tc>
      </w:tr>
      <w:tr>
        <w:trPr>
          <w:trHeight w:hRule="exact" w:val="7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44</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4" w:name="JR_PAGE_ANCHOR_0_45"/>
            <w:bookmarkEnd w:id="44"/>
            <w:r>
              <w:rPr/>
              <w:drawing>
                <wp:inline distT="0" distB="0" distL="0" distR="0">
                  <wp:extent cx="7556500" cy="635000"/>
                  <wp:effectExtent l="0" t="0" r="0" b="0"/>
                  <wp:docPr id="870900038" name="Picture">
</wp:docPr>
                  <a:graphic>
                    <a:graphicData uri="http://schemas.openxmlformats.org/drawingml/2006/picture">
                      <pic:pic>
                        <pic:nvPicPr>
                          <pic:cNvPr id="870900038"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Стимулировать развитие участников</w:t>
            </w:r>
          </w:p>
        </w:tc>
        <w:tc>
          <w:tcPr>
     </w:tcPr>
          <w:p>
            <w:pPr>
              <w:pStyle w:val="EMPTY_CELL_STYLE"/>
            </w:pPr>
          </w:p>
        </w:tc>
      </w:tr>
      <w:tr>
        <w:trPr>
          <w:trHeight w:hRule="exact" w:val="8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Самообразование и обретение опыта требуют затрат времени, поэтому грамотные специалисты стеснены в свободным времени, что зачастую приводит к гегемонии бескомпетентности в информационном пространстве экспертных сообществ - от этого страдает большинство технических пабликов.</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Tenant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null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72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Удовлетворение квалификационного голода малых компаний на основе нерегулярной частичной форме занятости высококвалифицированных специалистов (консалтинг).</w:t>
            </w:r>
          </w:p>
        </w:tc>
        <w:tc>
          <w:tcPr>
     </w:tcPr>
          <w:p>
            <w:pPr>
              <w:pStyle w:val="EMPTY_CELL_STYLE"/>
            </w:pPr>
          </w:p>
        </w:tc>
      </w:tr>
      <w:tr>
        <w:trPr>
          <w:trHeight w:hRule="exact" w:val="8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Квалифицированные кадры не видят репутационной и карьерной привлекательности в вакансиях малых компаний на постоянной форме занятости (по причине повышенных финансовых рисков, невысокой карьерной целесообразности и недостаточной конкурентноспособности зарплат)</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ReleaseEndorsement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EndorsementReleased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Influence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Influence relation</w:t>
            </w:r>
          </w:p>
        </w:tc>
        <w:tc>
          <w:tcPr>
     </w:tcPr>
          <w:p>
            <w:pPr>
              <w:pStyle w:val="EMPTY_CELL_STYLE"/>
            </w:pPr>
          </w:p>
        </w:tc>
      </w:tr>
      <w:tr>
        <w:trPr>
          <w:trHeight w:hRule="exact" w:val="96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Система рейтингов подрядных бирж отражает не уровень квалификации, а уровень лояльности исполнителя, ибо если бы заказчик был способен оценить компетентность, то он не обращался бы за этой компетентностью на биржу.</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Зависимое положение исполнителя от оценки/рекомендации заказчика.</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Разные участники организации обладают различным уровнем экспертности</w:t>
            </w:r>
          </w:p>
        </w:tc>
        <w:tc>
          <w:tcPr>
     </w:tcPr>
          <w:p>
            <w:pPr>
              <w:pStyle w:val="EMPTY_CELL_STYLE"/>
            </w:pPr>
          </w:p>
        </w:tc>
      </w:tr>
      <w:tr>
        <w:trPr>
          <w:trHeight w:hRule="exact" w:val="4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Традиционные методы голосования не позволяют в полной мере </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45</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5" w:name="JR_PAGE_ANCHOR_0_46"/>
            <w:bookmarkEnd w:id="45"/>
            <w:r>
              <w:rPr/>
              <w:drawing>
                <wp:inline distT="0" distB="0" distL="0" distR="0">
                  <wp:extent cx="7556500" cy="635000"/>
                  <wp:effectExtent l="0" t="0" r="0" b="0"/>
                  <wp:docPr id="284746450" name="Picture">
</wp:docPr>
                  <a:graphic>
                    <a:graphicData uri="http://schemas.openxmlformats.org/drawingml/2006/picture">
                      <pic:pic>
                        <pic:nvPicPr>
                          <pic:cNvPr id="284746450"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отразить отразить экспертность в рекомендациях добровольных совещательных органов</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QueryHandler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ReadModel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Identity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RepositoryImplementation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Тестирование основано на сопоставлении с образцом (эталоном) компетентности.</w:t>
            </w:r>
          </w:p>
        </w:tc>
        <w:tc>
          <w:tcPr>
     </w:tcPr>
          <w:p>
            <w:pPr>
              <w:pStyle w:val="EMPTY_CELL_STYLE"/>
            </w:pPr>
          </w:p>
        </w:tc>
      </w:tr>
      <w:tr>
        <w:trPr>
          <w:trHeight w:hRule="exact" w:val="64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Любой эталон является планкой (барьером), очерчивающей горизонт развития. Взятие планки останавливает развитие, а не стимулирует. Это неприемлемо для таких наукоемких и постоянно эволюционирующих отраслей, как ИТ.</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Specialization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Участники экспертных сообществ</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Специалисты отрасти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64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Одна рекомендация от участника претендуемого (или более высокого) квалификационного класса равноценна двум рекомендациям от участников текущего квалификационного класса.</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EndorsementReserved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46</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6" w:name="JR_PAGE_ANCHOR_0_47"/>
            <w:bookmarkEnd w:id="46"/>
            <w:r>
              <w:rPr/>
              <w:drawing>
                <wp:inline distT="0" distB="0" distL="0" distR="0">
                  <wp:extent cx="7556500" cy="635000"/>
                  <wp:effectExtent l="0" t="0" r="0" b="0"/>
                  <wp:docPr id="184147252" name="Picture">
</wp:docPr>
                  <a:graphic>
                    <a:graphicData uri="http://schemas.openxmlformats.org/drawingml/2006/picture">
                      <pic:pic>
                        <pic:nvPicPr>
                          <pic:cNvPr id="184147252"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Дросселировать информацию от участников с невысоким уровнем квалификации</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Восстановить процентное содержание качественной информации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Актор</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Команда</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 A</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Укрепить репутацию экспертного сообщества</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 экспертные сообщества нередко обращаются за услугами консалтинга</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ArtifactHasAlreadyBeenEndorsedForTheMember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Bytes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Ввести внутреннюю систему ценностей в виде квалификационной классности</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Стимулировать развитие участников</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Validation Pipeline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Expension Point Pipeline</w:t>
            </w:r>
          </w:p>
        </w:tc>
        <w:tc>
          <w:tcPr>
     </w:tcPr>
          <w:p>
            <w:pPr>
              <w:pStyle w:val="EMPTY_CELL_STYLE"/>
            </w:pPr>
          </w:p>
        </w:tc>
      </w:tr>
      <w:tr>
        <w:trPr>
          <w:trHeight w:hRule="exact" w:val="2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47</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7" w:name="JR_PAGE_ANCHOR_0_48"/>
            <w:bookmarkEnd w:id="47"/>
            <w:r>
              <w:rPr/>
              <w:drawing>
                <wp:inline distT="0" distB="0" distL="0" distR="0">
                  <wp:extent cx="7556500" cy="635000"/>
                  <wp:effectExtent l="0" t="0" r="0" b="0"/>
                  <wp:docPr id="244090091" name="Picture">
</wp:docPr>
                  <a:graphic>
                    <a:graphicData uri="http://schemas.openxmlformats.org/drawingml/2006/picture">
                      <pic:pic>
                        <pic:nvPicPr>
                          <pic:cNvPr id="24409009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96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Одна рекомендация от участника претендуемого (или более высокого) квалификационного класса равноценна двум рекомендациям от участников текущего квалификационного класса.</w:t>
            </w:r>
          </w:p>
        </w:tc>
        <w:tc>
          <w:tcPr>
     </w:tcPr>
          <w:p>
            <w:pPr>
              <w:pStyle w:val="EMPTY_CELL_STYLE"/>
            </w:pPr>
          </w:p>
        </w:tc>
      </w:tr>
      <w:tr>
        <w:trPr>
          <w:trHeight w:hRule="exact" w:val="64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Квалифицировать должно лицо, обладающее способностями объективной квалификации, т.е. квалифицировать должен специалист с известным/подтвержденным уровнем квалификации не ниже уровня квалифицируемого, а не заказчик.</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REST-Endpoint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Another Service/System</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Рост когнитивной нагрузки на практикующего специалиста</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Участники экспертных сообществ</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представление о компетенциях (областях знаний) исполнителя</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Рейтинги не дают представления о компетенциях исполнителя</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Send Integration Event (Policy)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72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Грамотные специалисты не всегда спешат ввязываться во флейм с малограмотными оппонентами. Зачастую это приводит к их демотивации и самоустранению из пабликов.</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Захламленность информационного пространства</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1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48</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8" w:name="JR_PAGE_ANCHOR_0_49"/>
            <w:bookmarkEnd w:id="48"/>
            <w:r>
              <w:rPr/>
              <w:drawing>
                <wp:inline distT="0" distB="0" distL="0" distR="0">
                  <wp:extent cx="7556500" cy="635000"/>
                  <wp:effectExtent l="0" t="0" r="0" b="0"/>
                  <wp:docPr id="1336420731" name="Picture">
</wp:docPr>
                  <a:graphic>
                    <a:graphicData uri="http://schemas.openxmlformats.org/drawingml/2006/picture">
                      <pic:pic>
                        <pic:nvPicPr>
                          <pic:cNvPr id="133642073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Query (Hexagonal Port, Interface)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QueryHandler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Moderator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AcceptArtifact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12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 "There's a definite Dunning-Kruger effect for authors. The people who hold a ton of knowledge hesitate because they find their insights "obvious" or "nothing special". Then you have people who write a lot but do little real work that they could base their writing on..." -- Gregor Hohpe https://twitter.com/ghohpe/status/1332200805852606470?s=20</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Захламленность информационного пространства</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Influence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Influence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Constraint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Role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Gateway (with Transactional Outbox)</w:t>
            </w:r>
          </w:p>
        </w:tc>
        <w:tc>
          <w:tcPr>
     </w:tcPr>
          <w:p>
            <w:pPr>
              <w:pStyle w:val="EMPTY_CELL_STYLE"/>
            </w:pPr>
          </w:p>
        </w:tc>
      </w:tr>
      <w:tr>
        <w:trPr>
          <w:trHeight w:hRule="exact" w:val="2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49</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9" w:name="JR_PAGE_ANCHOR_0_50"/>
            <w:bookmarkEnd w:id="49"/>
            <w:r>
              <w:rPr/>
              <w:drawing>
                <wp:inline distT="0" distB="0" distL="0" distR="0">
                  <wp:extent cx="7556500" cy="635000"/>
                  <wp:effectExtent l="0" t="0" r="0" b="0"/>
                  <wp:docPr id="1928572105" name="Picture">
</wp:docPr>
                  <a:graphic>
                    <a:graphicData uri="http://schemas.openxmlformats.org/drawingml/2006/picture">
                      <pic:pic>
                        <pic:nvPicPr>
                          <pic:cNvPr id="192857210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Integration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Tenant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Захламленность информационного пространства</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Рост когнитивной нагрузки на практикующего специалиста</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null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Publisher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Консалтинг</w:t>
            </w:r>
          </w:p>
        </w:tc>
        <w:tc>
          <w:tcPr>
     </w:tcPr>
          <w:p>
            <w:pPr>
              <w:pStyle w:val="EMPTY_CELL_STYLE"/>
            </w:pPr>
          </w:p>
        </w:tc>
      </w:tr>
      <w:tr>
        <w:trPr>
          <w:trHeight w:hRule="exact" w:val="40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Удовлетворение квалификационного голода малых компаний на основе нерегулярной частичной форме занятости высококвалифицированных специалистов (консалтинг).</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Квалификационный голод малых компаний</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Работодатели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72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Компенсировать зависимость исполнителя от оценки заказчика (на краткосрочном горизонте) введением зависимости от перспектив (на долгосрочном горизонте).</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Зависимое положение исполнителя от оценки/рекомендации заказчика.</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GradeAssigned</w:t>
            </w:r>
          </w:p>
        </w:tc>
        <w:tc>
          <w:tcPr>
     </w:tcPr>
          <w:p>
            <w:pPr>
              <w:pStyle w:val="EMPTY_CELL_STYLE"/>
            </w:pPr>
          </w:p>
        </w:tc>
      </w:tr>
      <w:tr>
        <w:trPr>
          <w:trHeight w:hRule="exact" w:val="6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Требуемые количества рекомендаций по квалификационным </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50</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50" w:name="JR_PAGE_ANCHOR_0_51"/>
            <w:bookmarkEnd w:id="50"/>
            <w:r>
              <w:rPr/>
              <w:drawing>
                <wp:inline distT="0" distB="0" distL="0" distR="0">
                  <wp:extent cx="7556500" cy="635000"/>
                  <wp:effectExtent l="0" t="0" r="0" b="0"/>
                  <wp:docPr id="1050867502" name="Picture">
</wp:docPr>
                  <a:graphic>
                    <a:graphicData uri="http://schemas.openxmlformats.org/drawingml/2006/picture">
                      <pic:pic>
                        <pic:nvPicPr>
                          <pic:cNvPr id="1050867502"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6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классам: эксперт - 20 рекомендаций Экспертов; кандидат в эксперты - 10 рекомендаций Кандидатов в эксперты; 1 класс - 7 рекомендаций 1-го класса; 2 класс - 5 рекомендаций 2-го класса; 3 класс - 3 рекомендации 3-го класса; без класса - по умолчанию.</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Another Service/System</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Bytes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представление о компетенциях (областях знаний) исполнителя</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Новичкам не всегда понятно кого слушать, т.к. у них не сформированы критерии оценки.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EndorsementReleased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Ухудшение внутреннего качества программы</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Стоимость дорогих изменений образуется стоимостью каскадных изменений, которые образуются High Coupling</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Reply Channel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Демотивация</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Поставщики услуг outsourcing marketplaces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JSON-RPC Hexagonal Adapter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JSON-Object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Доменное событие</w:t>
            </w:r>
          </w:p>
        </w:tc>
        <w:tc>
          <w:tcPr>
     </w:tcPr>
          <w:p>
            <w:pPr>
              <w:pStyle w:val="EMPTY_CELL_STYLE"/>
            </w:pPr>
          </w:p>
        </w:tc>
      </w:tr>
      <w:tr>
        <w:trPr>
          <w:trHeight w:hRule="exact" w:val="1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51</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51" w:name="JR_PAGE_ANCHOR_0_52"/>
            <w:bookmarkEnd w:id="51"/>
            <w:r>
              <w:rPr/>
              <w:drawing>
                <wp:inline distT="0" distB="0" distL="0" distR="0">
                  <wp:extent cx="7556500" cy="635000"/>
                  <wp:effectExtent l="0" t="0" r="0" b="0"/>
                  <wp:docPr id="982226008" name="Picture">
</wp:docPr>
                  <a:graphic>
                    <a:graphicData uri="http://schemas.openxmlformats.org/drawingml/2006/picture">
                      <pic:pic>
                        <pic:nvPicPr>
                          <pic:cNvPr id="982226008"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Политика</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Front Door Queue using message bus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ProposeArtifact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RepositoryImplementation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WriteModel DataBase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CommandHandler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ArtifactHasAlreadyBeenEndorsedForTheMember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Identity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User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JSON-RPC Hexagonal Adapter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Tenant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52</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52" w:name="JR_PAGE_ANCHOR_0_53"/>
            <w:bookmarkEnd w:id="52"/>
            <w:r>
              <w:rPr/>
              <w:drawing>
                <wp:inline distT="0" distB="0" distL="0" distR="0">
                  <wp:extent cx="7556500" cy="635000"/>
                  <wp:effectExtent l="0" t="0" r="0" b="0"/>
                  <wp:docPr id="1621854559" name="Picture">
</wp:docPr>
                  <a:graphic>
                    <a:graphicData uri="http://schemas.openxmlformats.org/drawingml/2006/picture">
                      <pic:pic>
                        <pic:nvPicPr>
                          <pic:cNvPr id="162185455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Constraint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Команда</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Message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Kafka Subscriber Hexagonal Adapter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Message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Ухудшение внутреннего качества программы</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Неясные интерфейсы и именования требуют затрат времени на изучение реализации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PendingArtifacts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Спам в пабликах</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Участники экспертных сообществ</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72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максимальную полноту передачи (на основе принципа соразмерности) экспертности своих участников в представлениях экспертно-рекомендательных органов Организации.</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Разные участники организации обладают различным уровнем экспертности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Заказчик не осведомлен об объективной квалификации исполнителя.</w:t>
            </w:r>
          </w:p>
        </w:tc>
        <w:tc>
          <w:tcPr>
     </w:tcPr>
          <w:p>
            <w:pPr>
              <w:pStyle w:val="EMPTY_CELL_STYLE"/>
            </w:pPr>
          </w:p>
        </w:tc>
      </w:tr>
      <w:tr>
        <w:trPr>
          <w:trHeight w:hRule="exact" w:val="1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10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53</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53" w:name="JR_PAGE_ANCHOR_0_54"/>
            <w:bookmarkEnd w:id="53"/>
            <w:r>
              <w:rPr/>
              <w:drawing>
                <wp:inline distT="0" distB="0" distL="0" distR="0">
                  <wp:extent cx="7556500" cy="635000"/>
                  <wp:effectExtent l="0" t="0" r="0" b="0"/>
                  <wp:docPr id="2025652936" name="Picture">
</wp:docPr>
                  <a:graphic>
                    <a:graphicData uri="http://schemas.openxmlformats.org/drawingml/2006/picture">
                      <pic:pic>
                        <pic:nvPicPr>
                          <pic:cNvPr id="2025652936"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Сложность выбора квалифицированного исполнителя</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Допускается одна рекомендация рекомендующего за один конкретный артефакт рекомендуемого.</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Восстановить процентное содержание качественной информации</w:t>
            </w:r>
          </w:p>
        </w:tc>
        <w:tc>
          <w:tcPr>
     </w:tcPr>
          <w:p>
            <w:pPr>
              <w:pStyle w:val="EMPTY_CELL_STYLE"/>
            </w:pPr>
          </w:p>
        </w:tc>
      </w:tr>
      <w:tr>
        <w:trPr>
          <w:trHeight w:hRule="exact" w:val="8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Самообразование и обретение опыта требуют затрат времени, поэтому грамотные специалисты стеснены в свободным времени, что зачастую приводит к гегемонии бескомпетентности в информационном пространстве экспертных сообществ - от этого страдает большинство технических пабликов.</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User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HTTP-Request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HTTP-Request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REST-Endpoint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Queue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ArtifactIsProposed</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Moderator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Policy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EndorseArtifact</w:t>
            </w: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54</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54" w:name="JR_PAGE_ANCHOR_0_55"/>
            <w:bookmarkEnd w:id="54"/>
            <w:r>
              <w:rPr/>
              <w:drawing>
                <wp:inline distT="0" distB="0" distL="0" distR="0">
                  <wp:extent cx="7556500" cy="635000"/>
                  <wp:effectExtent l="0" t="0" r="0" b="0"/>
                  <wp:docPr id="397284309" name="Picture">
</wp:docPr>
                  <a:graphic>
                    <a:graphicData uri="http://schemas.openxmlformats.org/drawingml/2006/picture">
                      <pic:pic>
                        <pic:nvPicPr>
                          <pic:cNvPr id="39728430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REST-API Hexagonal Adapter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HTTP-Request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Исключить влияние эффекта Даннинга-Крюгера на качество информационного пространства</w:t>
            </w:r>
          </w:p>
        </w:tc>
        <w:tc>
          <w:tcPr>
     </w:tcPr>
          <w:p>
            <w:pPr>
              <w:pStyle w:val="EMPTY_CELL_STYLE"/>
            </w:pPr>
          </w:p>
        </w:tc>
      </w:tr>
      <w:tr>
        <w:trPr>
          <w:trHeight w:hRule="exact" w:val="8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 "There's a definite Dunning-Kruger effect for authors. The people who hold a ton of knowledge hesitate because they find their insights "obvious" or "nothing special". Then you have people who write a lot but do little real work that they could base their writing on..." -- Gregor Hohpe https://twitter.com/ghohpe/status/1332200805852606470?s=20</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HigherGradeCan'tBeEndorsed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Отвлечение ресурсов времени специалистов на нерелевантные аспекты знаний в ущерб релевантным.</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Низкая эффективность грейдов на основе матриц компетентности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Gateway (with Transactional Outbox)</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Queue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Message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44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Заказчик не осведомлен об объективной квалификации исполнителя.</w:t>
            </w:r>
          </w:p>
        </w:tc>
        <w:tc>
          <w:tcPr>
     </w:tcPr>
          <w:p>
            <w:pPr>
              <w:pStyle w:val="EMPTY_CELL_STYLE"/>
            </w:pPr>
          </w:p>
        </w:tc>
      </w:tr>
      <w:tr>
        <w:trPr>
          <w:trHeight w:hRule="exact" w:val="6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2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55</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55" w:name="JR_PAGE_ANCHOR_0_56"/>
            <w:bookmarkEnd w:id="55"/>
            <w:r>
              <w:rPr/>
              <w:drawing>
                <wp:inline distT="0" distB="0" distL="0" distR="0">
                  <wp:extent cx="7556500" cy="635000"/>
                  <wp:effectExtent l="0" t="0" r="0" b="0"/>
                  <wp:docPr id="1367775958" name="Picture">
</wp:docPr>
                  <a:graphic>
                    <a:graphicData uri="http://schemas.openxmlformats.org/drawingml/2006/picture">
                      <pic:pic>
                        <pic:nvPicPr>
                          <pic:cNvPr id="1367775958"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Тестирование основано на сопоставлении с образцом (эталоном) компетентности.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Queue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User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Domain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DomainEvent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Topic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Integration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Голос участника опроса должен учитываться с учетом весового коэффициента его квалификационного класса</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Защитить ценную информацию и ценных участников от атак.</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Reply Channel</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12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Квалифицированные кадры не видят репутационной и карьерной привлекательности в вакансиях малых компаний на постоянной форме занятости (по причине повышенных финансовых рисков, невысокой карьерной целесообразности и недостаточной конкурентноспособности зарплат)</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Квалификационный голод малых компаний</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56</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56" w:name="JR_PAGE_ANCHOR_0_57"/>
            <w:bookmarkEnd w:id="56"/>
            <w:r>
              <w:rPr/>
              <w:drawing>
                <wp:inline distT="0" distB="0" distL="0" distR="0">
                  <wp:extent cx="7556500" cy="635000"/>
                  <wp:effectExtent l="0" t="0" r="0" b="0"/>
                  <wp:docPr id="739574607" name="Picture">
</wp:docPr>
                  <a:graphic>
                    <a:graphicData uri="http://schemas.openxmlformats.org/drawingml/2006/picture">
                      <pic:pic>
                        <pic:nvPicPr>
                          <pic:cNvPr id="73957460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GradeAssigned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Moderator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Тестирование основано на сопоставлении с образцом (эталоном) компетентности.</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Тестирование не отражает ни широты, на глубины знаний, ни способности специалиста применять эти знания на практике.</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Тестирование основано на сопоставлении с образцом (эталоном) компетентности.</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Низкая эффективность грейдов на основе матриц компетентности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REST-API Hexagonal Adapter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Command (Hexagonal Port, Interface)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Низкое качество ПО</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Высокая стоимость внемения изменения в реализацию</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Logging Pipeline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5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57</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57" w:name="JR_PAGE_ANCHOR_0_58"/>
            <w:bookmarkEnd w:id="57"/>
            <w:r>
              <w:rPr/>
              <w:drawing>
                <wp:inline distT="0" distB="0" distL="0" distR="0">
                  <wp:extent cx="7556500" cy="635000"/>
                  <wp:effectExtent l="0" t="0" r="0" b="0"/>
                  <wp:docPr id="1517223475" name="Picture">
</wp:docPr>
                  <a:graphic>
                    <a:graphicData uri="http://schemas.openxmlformats.org/drawingml/2006/picture">
                      <pic:pic>
                        <pic:nvPicPr>
                          <pic:cNvPr id="151722347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ArtifactIsAccepted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EndorsementCompleted</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 A</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RecentArtifacts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null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EndorsementReserved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Moderator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Мотивировать участников к повышению качества публикуемой ими информации</w:t>
            </w:r>
          </w:p>
        </w:tc>
        <w:tc>
          <w:tcPr>
     </w:tcPr>
          <w:p>
            <w:pPr>
              <w:pStyle w:val="EMPTY_CELL_STYLE"/>
            </w:pPr>
          </w:p>
        </w:tc>
      </w:tr>
      <w:tr>
        <w:trPr>
          <w:trHeight w:hRule="exact" w:val="8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Самообразование и обретение опыта требуют затрат времени, поэтому грамотные специалисты стеснены в свободным времени, что зачастую приводит к гегемонии бескомпетентности в информационном пространстве экспертных сообществ - от этого страдает большинство технических пабликов.</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7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58</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58" w:name="JR_PAGE_ANCHOR_0_59"/>
            <w:bookmarkEnd w:id="58"/>
            <w:r>
              <w:rPr/>
              <w:drawing>
                <wp:inline distT="0" distB="0" distL="0" distR="0">
                  <wp:extent cx="7556500" cy="635000"/>
                  <wp:effectExtent l="0" t="0" r="0" b="0"/>
                  <wp:docPr id="785240035" name="Picture">
</wp:docPr>
                  <a:graphic>
                    <a:graphicData uri="http://schemas.openxmlformats.org/drawingml/2006/picture">
                      <pic:pic>
                        <pic:nvPicPr>
                          <pic:cNvPr id="78524003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EndorseArtifact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Domain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Another Aggregate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ArtifactIsAccepted</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ReleaseEndorsement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Front Door Queue using message bus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ProposeArtifact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Another Service/System</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HTTP-Request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Закоммерциализированные сертификаты зачастую не отражают реальный уровень квалификации</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Сотрудники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3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59</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59" w:name="JR_PAGE_ANCHOR_0_60"/>
            <w:bookmarkEnd w:id="59"/>
            <w:r>
              <w:rPr/>
              <w:drawing>
                <wp:inline distT="0" distB="0" distL="0" distR="0">
                  <wp:extent cx="7556500" cy="635000"/>
                  <wp:effectExtent l="0" t="0" r="0" b="0"/>
                  <wp:docPr id="436625455" name="Picture">
</wp:docPr>
                  <a:graphic>
                    <a:graphicData uri="http://schemas.openxmlformats.org/drawingml/2006/picture">
                      <pic:pic>
                        <pic:nvPicPr>
                          <pic:cNvPr id="43662545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GradeAssigned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EndorseArtifact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ReadModel Database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QueryHandler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null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Актор</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Модель Чтения</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CompleteEndorsement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Рекомендации от участников более низкого квалификационного класса не допускаются.</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AnyMember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Publisher</w:t>
            </w:r>
          </w:p>
        </w:tc>
        <w:tc>
          <w:tcPr>
     </w:tcPr>
          <w:p>
            <w:pPr>
              <w:pStyle w:val="EMPTY_CELL_STYLE"/>
            </w:pPr>
          </w:p>
        </w:tc>
      </w:tr>
      <w:tr>
        <w:trPr>
          <w:trHeight w:hRule="exact" w:val="9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60</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60" w:name="JR_PAGE_ANCHOR_0_61"/>
            <w:bookmarkEnd w:id="60"/>
            <w:r>
              <w:rPr/>
              <w:drawing>
                <wp:inline distT="0" distB="0" distL="0" distR="0">
                  <wp:extent cx="7556500" cy="635000"/>
                  <wp:effectExtent l="0" t="0" r="0" b="0"/>
                  <wp:docPr id="138306399" name="Picture">
</wp:docPr>
                  <a:graphic>
                    <a:graphicData uri="http://schemas.openxmlformats.org/drawingml/2006/picture">
                      <pic:pic>
                        <pic:nvPicPr>
                          <pic:cNvPr id="13830639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Политика</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Доменное событие</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EndorsementCompleted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 B</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Dead Letter Channel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ReserveEndorsement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REST-API Hexagonal Adapter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HTTP-Response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Низкое качество ПО</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Демотивация</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Kafka Subscriber Hexagonal Adapter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Command (Hexagonal Port, Interface)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QueryHandler</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61</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61" w:name="JR_PAGE_ANCHOR_0_62"/>
            <w:bookmarkEnd w:id="61"/>
            <w:r>
              <w:rPr/>
              <w:drawing>
                <wp:inline distT="0" distB="0" distL="0" distR="0">
                  <wp:extent cx="7556500" cy="635000"/>
                  <wp:effectExtent l="0" t="0" r="0" b="0"/>
                  <wp:docPr id="1652114818" name="Picture">
</wp:docPr>
                  <a:graphic>
                    <a:graphicData uri="http://schemas.openxmlformats.org/drawingml/2006/picture">
                      <pic:pic>
                        <pic:nvPicPr>
                          <pic:cNvPr id="1652114818"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Specialization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Сотрудники</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Специалисты отрасти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142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квалификационную классификацию на основе хорошо зарекомендовавшего себя на практике алгоритма спортивной разрядности, где уровень мастерства спортсмена определяется относительно известного (т.е. доказанного) уровня мастерства других спортсменов.Т.е., по сути, методом сравнительного анализа.</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Ввести внутреннюю систему ценностей в виде квалификационной классности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Identity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Tenant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96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Конкуренция сертификационных организаций склоняет их к достижению рыночной гегемонии путем формирования приоритета на количество выпущенных сертификатов в ущерб качеству.</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Закоммерциализированные сертификаты зачастую не отражают реальный уровень квалификации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Перерасход средств по стоимости разработки</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Потребители услуг outsourcing marketplaces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Участники сообщества могут банить спамеров, используя, например, @banofbot</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Спам в пабликах</w:t>
            </w:r>
          </w:p>
        </w:tc>
        <w:tc>
          <w:tcPr>
     </w:tcPr>
          <w:p>
            <w:pPr>
              <w:pStyle w:val="EMPTY_CELL_STYLE"/>
            </w:pPr>
          </w:p>
        </w:tc>
      </w:tr>
      <w:tr>
        <w:trPr>
          <w:trHeight w:hRule="exact" w:val="6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62</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62" w:name="JR_PAGE_ANCHOR_0_63"/>
            <w:bookmarkEnd w:id="62"/>
            <w:r>
              <w:rPr/>
              <w:drawing>
                <wp:inline distT="0" distB="0" distL="0" distR="0">
                  <wp:extent cx="7556500" cy="635000"/>
                  <wp:effectExtent l="0" t="0" r="0" b="0"/>
                  <wp:docPr id="96865288" name="Picture">
</wp:docPr>
                  <a:graphic>
                    <a:graphicData uri="http://schemas.openxmlformats.org/drawingml/2006/picture">
                      <pic:pic>
                        <pic:nvPicPr>
                          <pic:cNvPr id="96865288"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Тестирование основано на сопоставлении с образцом (эталоном) компетентности.</w:t>
            </w:r>
          </w:p>
        </w:tc>
        <w:tc>
          <w:tcPr>
     </w:tcPr>
          <w:p>
            <w:pPr>
              <w:pStyle w:val="EMPTY_CELL_STYLE"/>
            </w:pPr>
          </w:p>
        </w:tc>
      </w:tr>
      <w:tr>
        <w:trPr>
          <w:trHeight w:hRule="exact" w:val="64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Наличие эталона подразумевает монополию на компетентность, что вызывает вопрос доверия к ней. Нередко экзаменуемый демонстрирует большую компетентностью, нежели экзаменатор, что ограничивает развитие остальных уровнем экзаменатора.</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WebHook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Dead Letter Channel</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Team</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12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Самообразование и обретение опыта требуют затрат времени, поэтому грамотные специалисты стеснены в свободным времени, что зачастую приводит к гегемонии бескомпетентности в информационном пространстве экспертных сообществ - от этого страдает большинство технических пабликов.</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Захламленность информационного пространства</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SyncGrade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Команда</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Policy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3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Наделить высококвалифицированных специалистов мерами административного воздействия, например, предоставить право </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63</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63" w:name="JR_PAGE_ANCHOR_0_64"/>
            <w:bookmarkEnd w:id="63"/>
            <w:r>
              <w:rPr/>
              <w:drawing>
                <wp:inline distT="0" distB="0" distL="0" distR="0">
                  <wp:extent cx="7556500" cy="635000"/>
                  <wp:effectExtent l="0" t="0" r="0" b="0"/>
                  <wp:docPr id="527826205" name="Picture">
</wp:docPr>
                  <a:graphic>
                    <a:graphicData uri="http://schemas.openxmlformats.org/drawingml/2006/picture">
                      <pic:pic>
                        <pic:nvPicPr>
                          <pic:cNvPr id="52782620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установления временного запрета на публикацию сообщений в тг-канале.</w:t>
            </w:r>
          </w:p>
        </w:tc>
        <w:tc>
          <w:tcPr>
     </w:tcPr>
          <w:p>
            <w:pPr>
              <w:pStyle w:val="EMPTY_CELL_STYLE"/>
            </w:pPr>
          </w:p>
        </w:tc>
      </w:tr>
      <w:tr>
        <w:trPr>
          <w:trHeight w:hRule="exact" w:val="50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Защитить социальное положение грамотных специалистов как источников качественной информации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REST-API Hexagonal Adapter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Query (Hexagonal Port, Interface)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Another Service/System</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JSON-Object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REST-API Hexagonal Adapter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HTTP-Request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Mediator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GOF Pattern Mediator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Дросселировать информацию от участников с невысоким уровнем квалификации</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Мотивировать участников к повышению качества публикуемой ими информации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User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HTTP-Response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Тестирование основано на сопоставлении с образцом (эталоном) компетентности.</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Результат тестирования нередко можно купить или поделать.</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Традиционные методы голосования не позволяют в полной мере </w:t>
            </w:r>
          </w:p>
        </w:tc>
        <w:tc>
          <w:tcPr>
     </w:tcPr>
          <w:p>
            <w:pPr>
              <w:pStyle w:val="EMPTY_CELL_STYLE"/>
            </w:pPr>
          </w:p>
        </w:tc>
      </w:tr>
      <w:tr>
        <w:trPr>
          <w:trHeight w:hRule="exact" w:val="10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64</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64" w:name="JR_PAGE_ANCHOR_0_65"/>
            <w:bookmarkEnd w:id="64"/>
            <w:r>
              <w:rPr/>
              <w:drawing>
                <wp:inline distT="0" distB="0" distL="0" distR="0">
                  <wp:extent cx="7556500" cy="635000"/>
                  <wp:effectExtent l="0" t="0" r="0" b="0"/>
                  <wp:docPr id="1238166297" name="Picture">
</wp:docPr>
                  <a:graphic>
                    <a:graphicData uri="http://schemas.openxmlformats.org/drawingml/2006/picture">
                      <pic:pic>
                        <pic:nvPicPr>
                          <pic:cNvPr id="123816629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отразить отразить экспертность в рекомендациях добровольных совещательных органов</w:t>
            </w:r>
          </w:p>
        </w:tc>
        <w:tc>
          <w:tcPr>
     </w:tcPr>
          <w:p>
            <w:pPr>
              <w:pStyle w:val="EMPTY_CELL_STYLE"/>
            </w:pPr>
          </w:p>
        </w:tc>
      </w:tr>
      <w:tr>
        <w:trPr>
          <w:trHeight w:hRule="exact" w:val="1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2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Участники экспертных сообществ</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ProposeArtifact</w:t>
            </w:r>
          </w:p>
        </w:tc>
        <w:tc>
          <w:tcPr>
     </w:tcPr>
          <w:p>
            <w:pPr>
              <w:pStyle w:val="EMPTY_CELL_STYLE"/>
            </w:pPr>
          </w:p>
        </w:tc>
      </w:tr>
      <w:tr>
        <w:trPr>
          <w:trHeight w:hRule="exact" w:val="64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рекомендуемая трудоемкость одного артефакта на каждого его исполнителя должна составлять от 20 до 80 часов; маленькие артефакты рекомендуется группировать, большие - декомпозировать;</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Integration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Высокая стоимость внемения изменения в реализацию</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Перерасход средств по стоимости разработки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Закоммерциализированные сертификаты зачастую не отражают реальный уровень квалификации</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Работодатели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Send Integration Event (Policy)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gRPC Hexagonal Adapter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Bytes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null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w:t>
            </w:r>
          </w:p>
        </w:tc>
        <w:tc>
          <w:tcPr>
     </w:tcPr>
          <w:p>
            <w:pPr>
              <w:pStyle w:val="EMPTY_CELL_STYLE"/>
            </w:pPr>
          </w:p>
        </w:tc>
      </w:tr>
      <w:tr>
        <w:trPr>
          <w:trHeight w:hRule="exact" w:val="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65</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65" w:name="JR_PAGE_ANCHOR_0_66"/>
            <w:bookmarkEnd w:id="65"/>
            <w:r>
              <w:rPr/>
              <w:drawing>
                <wp:inline distT="0" distB="0" distL="0" distR="0">
                  <wp:extent cx="7556500" cy="635000"/>
                  <wp:effectExtent l="0" t="0" r="0" b="0"/>
                  <wp:docPr id="1330981538" name="Picture">
</wp:docPr>
                  <a:graphic>
                    <a:graphicData uri="http://schemas.openxmlformats.org/drawingml/2006/picture">
                      <pic:pic>
                        <pic:nvPicPr>
                          <pic:cNvPr id="1330981538"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Tenant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Logging Pipeline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Validation Pipeline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AvailableEndorsementsExceeded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Tenant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HTTP-Request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Command (Hexagonal Port, Interface)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HigherGradeCan'tBeEndorsed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Committee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Moderator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66</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66" w:name="JR_PAGE_ANCHOR_0_67"/>
            <w:bookmarkEnd w:id="66"/>
            <w:r>
              <w:rPr/>
              <w:drawing>
                <wp:inline distT="0" distB="0" distL="0" distR="0">
                  <wp:extent cx="7556500" cy="635000"/>
                  <wp:effectExtent l="0" t="0" r="0" b="0"/>
                  <wp:docPr id="953107607" name="Picture">
</wp:docPr>
                  <a:graphic>
                    <a:graphicData uri="http://schemas.openxmlformats.org/drawingml/2006/picture">
                      <pic:pic>
                        <pic:nvPicPr>
                          <pic:cNvPr id="95310760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72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Падение velocity. В основу метафоры "технический долг" положено правило "сложного процента", возрастающего в геометрической прогрессии.</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Ухудшение внутреннего качества программы</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Kafka Subscriber Hexagonal Adapter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Запрос</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Модель Чтения</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Projection (Policy)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DomainEvent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Сообщение Команды</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Команда</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ReserveEndorsement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Защитить ценную информацию и ценных участников от атак.</w:t>
            </w:r>
          </w:p>
        </w:tc>
        <w:tc>
          <w:tcPr>
     </w:tcPr>
          <w:p>
            <w:pPr>
              <w:pStyle w:val="EMPTY_CELL_STYLE"/>
            </w:pPr>
          </w:p>
        </w:tc>
      </w:tr>
      <w:tr>
        <w:trPr>
          <w:trHeight w:hRule="exact" w:val="40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@banofbot может быть использован для атаки против ценных участников сообщества и необратимого уничтожения их информации в паблике.</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Ухудшение внутреннего качества программы</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 процессе конструирования кода, 91% времени (в лучшем случае) </w:t>
            </w: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67</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67" w:name="JR_PAGE_ANCHOR_0_68"/>
            <w:bookmarkEnd w:id="67"/>
            <w:r>
              <w:rPr/>
              <w:drawing>
                <wp:inline distT="0" distB="0" distL="0" distR="0">
                  <wp:extent cx="7556500" cy="635000"/>
                  <wp:effectExtent l="0" t="0" r="0" b="0"/>
                  <wp:docPr id="1583878295" name="Picture">
</wp:docPr>
                  <a:graphic>
                    <a:graphicData uri="http://schemas.openxmlformats.org/drawingml/2006/picture">
                      <pic:pic>
                        <pic:nvPicPr>
                          <pic:cNvPr id="158387829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72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занимает именно чтение кода и борьба со сложностью (каждым разработчиком постоянно), и только 9% времени (1:10) занимает ввод символов с клавиатуры (одним разработчиком единократно)</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Тестирование основано на сопоставлении с образцом (эталоном) компетентности.</w:t>
            </w:r>
          </w:p>
        </w:tc>
        <w:tc>
          <w:tcPr>
     </w:tcPr>
          <w:p>
            <w:pPr>
              <w:pStyle w:val="EMPTY_CELL_STYLE"/>
            </w:pPr>
          </w:p>
        </w:tc>
      </w:tr>
      <w:tr>
        <w:trPr>
          <w:trHeight w:hRule="exact" w:val="40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Многие системы тестирования слабо защищены технически от обмана (например, допускают вмешательство в работу JavaScript кода web-страницы).</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HTTP-Request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Рейтинги не дают представления о компетенциях исполнителя</w:t>
            </w:r>
          </w:p>
        </w:tc>
        <w:tc>
          <w:tcPr>
     </w:tcPr>
          <w:p>
            <w:pPr>
              <w:pStyle w:val="EMPTY_CELL_STYLE"/>
            </w:pPr>
          </w:p>
        </w:tc>
      </w:tr>
      <w:tr>
        <w:trPr>
          <w:trHeight w:hRule="exact" w:val="64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Система рейтингов подрядных бирж отражает не уровень квалификации, а уровень лояльности исполнителя, ибо если бы заказчик был способен оценить компетентность, то он не обращался бы за этой компетентностью на биржу.</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JSON-Object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Tenant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142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квалификационную классификацию на основе хорошо зарекомендовавшего себя на практике алгоритма спортивной разрядности, где уровень мастерства спортсмена определяется относительно известного (т.е. доказанного) уровня мастерства других спортсменов.Т.е., по сути, методом сравнительного анализа.</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представление об уровне квалификации участников</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CommandHandler</w:t>
            </w:r>
          </w:p>
        </w:tc>
        <w:tc>
          <w:tcPr>
     </w:tcPr>
          <w:p>
            <w:pPr>
              <w:pStyle w:val="EMPTY_CELL_STYLE"/>
            </w:pPr>
          </w:p>
        </w:tc>
      </w:tr>
      <w:tr>
        <w:trPr>
          <w:trHeight w:hRule="exact" w:val="2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68</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68" w:name="JR_PAGE_ANCHOR_0_69"/>
            <w:bookmarkEnd w:id="68"/>
            <w:r>
              <w:rPr/>
              <w:drawing>
                <wp:inline distT="0" distB="0" distL="0" distR="0">
                  <wp:extent cx="7556500" cy="635000"/>
                  <wp:effectExtent l="0" t="0" r="0" b="0"/>
                  <wp:docPr id="190235170" name="Picture">
</wp:docPr>
                  <a:graphic>
                    <a:graphicData uri="http://schemas.openxmlformats.org/drawingml/2006/picture">
                      <pic:pic>
                        <pic:nvPicPr>
                          <pic:cNvPr id="190235170"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Новичкам не всегда понятно кого слушать, т.к. у них не сформированы критерии оценки.</w:t>
            </w:r>
          </w:p>
        </w:tc>
        <w:tc>
          <w:tcPr>
     </w:tcPr>
          <w:p>
            <w:pPr>
              <w:pStyle w:val="EMPTY_CELL_STYLE"/>
            </w:pPr>
          </w:p>
        </w:tc>
      </w:tr>
      <w:tr>
        <w:trPr>
          <w:trHeight w:hRule="exact" w:val="8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 "There's a definite Dunning-Kruger effect for authors. The people who hold a ton of knowledge hesitate because they find their insights "obvious" or "nothing special". Then you have people who write a lot but do little real work that they could base their writing on..." -- Gregor Hohpe https://twitter.com/ghohpe/status/1332200805852606470?s=20</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Количество голосов, требуемых для блокирования участника, должно учитывать уровень его квалификации.</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Защитить ценную информацию и ценных участников от атак.</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Influence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Influence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Рост когнитивной нагрузки на практикующего специалиста</w:t>
            </w:r>
          </w:p>
        </w:tc>
        <w:tc>
          <w:tcPr>
     </w:tcPr>
          <w:p>
            <w:pPr>
              <w:pStyle w:val="EMPTY_CELL_STYLE"/>
            </w:pPr>
          </w:p>
        </w:tc>
      </w:tr>
      <w:tr>
        <w:trPr>
          <w:trHeight w:hRule="exact" w:val="8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 "There's a definite Dunning-Kruger effect for authors. The people who hold a ton of knowledge hesitate because they find their insights "obvious" or "nothing special". Then you have people who write a lot but do little real work that they could base their writing on..." -- Gregor Hohpe https://twitter.com/ghohpe/status/1332200805852606470?s=20</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EndorsementReceived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ReserveEndorsement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Модель Чтения</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Агрегат</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ProposeArtifact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ArtifactIsProposed</w:t>
            </w:r>
          </w:p>
        </w:tc>
        <w:tc>
          <w:tcPr>
     </w:tcPr>
          <w:p>
            <w:pPr>
              <w:pStyle w:val="EMPTY_CELL_STYLE"/>
            </w:pPr>
          </w:p>
        </w:tc>
      </w:tr>
      <w:tr>
        <w:trPr>
          <w:trHeight w:hRule="exact" w:val="5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69</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69" w:name="JR_PAGE_ANCHOR_0_70"/>
            <w:bookmarkEnd w:id="69"/>
            <w:r>
              <w:rPr/>
              <w:drawing>
                <wp:inline distT="0" distB="0" distL="0" distR="0">
                  <wp:extent cx="7556500" cy="635000"/>
                  <wp:effectExtent l="0" t="0" r="0" b="0"/>
                  <wp:docPr id="1102932495" name="Picture">
</wp:docPr>
                  <a:graphic>
                    <a:graphicData uri="http://schemas.openxmlformats.org/drawingml/2006/picture">
                      <pic:pic>
                        <pic:nvPicPr>
                          <pic:cNvPr id="110293249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Query (Hexagonal Port, Interface)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CommandHandler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EndorsementReleased</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 B</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Logging Pipeline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Identity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Role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GOF Pattern Mediator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72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@banofbot может быть использован для атаки против ценных участников сообщества и необратимого уничтожения их информации в паблике.</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Участники сообщества могут банить спамеров, используя, например, @banofbot</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PendingArtifacts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null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DomainEvent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Logging Pipeline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1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70</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70" w:name="JR_PAGE_ANCHOR_0_71"/>
            <w:bookmarkEnd w:id="70"/>
            <w:r>
              <w:rPr/>
              <w:drawing>
                <wp:inline distT="0" distB="0" distL="0" distR="0">
                  <wp:extent cx="7556500" cy="635000"/>
                  <wp:effectExtent l="0" t="0" r="0" b="0"/>
                  <wp:docPr id="51101315" name="Picture">
</wp:docPr>
                  <a:graphic>
                    <a:graphicData uri="http://schemas.openxmlformats.org/drawingml/2006/picture">
                      <pic:pic>
                        <pic:nvPicPr>
                          <pic:cNvPr id="5110131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SyncGrade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Influence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Influence relation</w:t>
            </w:r>
          </w:p>
        </w:tc>
        <w:tc>
          <w:tcPr>
     </w:tcPr>
          <w:p>
            <w:pPr>
              <w:pStyle w:val="EMPTY_CELL_STYLE"/>
            </w:pPr>
          </w:p>
        </w:tc>
      </w:tr>
      <w:tr>
        <w:trPr>
          <w:trHeight w:hRule="exact" w:val="72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Падение velocity. В основу метафоры "технический долг" положено правило "сложного процента", возрастающего в геометрической прогрессии.</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Высокая стоимость внемения изменения в реализацию</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RepositoryInterface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RepositoryImplementation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72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Конфликт интересов сертификационных организаций, финансирование которых находится в зависимости от количества претендентов и проданных курсов подготовки.</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Закоммерциализированные сертификаты зачастую не отражают реальный уровень квалификации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Уровень зарплаты специалиста зачастую не коррелирует с реальным уровнем квалификации</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Сотрудники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AvailableEndorsementsExceeded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AcceptArtifact</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предлагаемые артефакты могут проходить процедуру одобрения Комитетом Организации по его усмотрению.</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9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71</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71" w:name="JR_PAGE_ANCHOR_0_72"/>
            <w:bookmarkEnd w:id="71"/>
            <w:r>
              <w:rPr/>
              <w:drawing>
                <wp:inline distT="0" distB="0" distL="0" distR="0">
                  <wp:extent cx="7556500" cy="635000"/>
                  <wp:effectExtent l="0" t="0" r="0" b="0"/>
                  <wp:docPr id="1927763846" name="Picture">
</wp:docPr>
                  <a:graphic>
                    <a:graphicData uri="http://schemas.openxmlformats.org/drawingml/2006/picture">
                      <pic:pic>
                        <pic:nvPicPr>
                          <pic:cNvPr id="1927763846"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Артефакты должны классифицироваться по компетенциям</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представление о компетенциях (областях знаний) исполнителя</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HTTP-Response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HigherGradeCan'tBeEndorsed</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ReleaseEndorsement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Query (Hexagonal Port, Interface)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Сложность выбора квалифицированного исполнителя</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Перерасход средств по стоимости разработки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Message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Command (Hexagonal Port, Interface)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Expension Point Pipeline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Mediator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Консалтинг</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Участники экспертных сообществ</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Рекомендации от участников более низкого квалификационного класса не допускаются.</w:t>
            </w:r>
          </w:p>
        </w:tc>
        <w:tc>
          <w:tcPr>
     </w:tcPr>
          <w:p>
            <w:pPr>
              <w:pStyle w:val="EMPTY_CELL_STYLE"/>
            </w:pPr>
          </w:p>
        </w:tc>
      </w:tr>
      <w:tr>
        <w:trPr>
          <w:trHeight w:hRule="exact" w:val="2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72</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72" w:name="JR_PAGE_ANCHOR_0_73"/>
            <w:bookmarkEnd w:id="72"/>
            <w:r>
              <w:rPr/>
              <w:drawing>
                <wp:inline distT="0" distB="0" distL="0" distR="0">
                  <wp:extent cx="7556500" cy="635000"/>
                  <wp:effectExtent l="0" t="0" r="0" b="0"/>
                  <wp:docPr id="992775130" name="Picture">
</wp:docPr>
                  <a:graphic>
                    <a:graphicData uri="http://schemas.openxmlformats.org/drawingml/2006/picture">
                      <pic:pic>
                        <pic:nvPicPr>
                          <pic:cNvPr id="992775130"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6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Квалифицировать должно лицо, обладающее способностями объективной квалификации, т.е. квалифицировать должен специалист с известным/подтвержденным уровнем квалификации не ниже уровня квалифицируемого, а не заказчик.</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AcceptArtifact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ArtifactIsAccepted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Ухудшение внутреннего качества программы</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Дисбаланс в пользу краткосрочных бизнес-интересов в ущерб долгосрочным техническим интересам (Spaghetti code)</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Domain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RepositoryInterface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Низкая эффективность грейдов на основе матриц компетентности</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Работодатели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EndorsementReceived</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CompleteEndorsement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gRPC Hexagonal Adapter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ArtifactHasAlreadyBeenEndorsedForTheMember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ReleaseEndorsement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Specialization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Потребители услуг outsourcing marketplaces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Заказчики</w:t>
            </w:r>
          </w:p>
        </w:tc>
        <w:tc>
          <w:tcPr>
     </w:tcPr>
          <w:p>
            <w:pPr>
              <w:pStyle w:val="EMPTY_CELL_STYLE"/>
            </w:pPr>
          </w:p>
        </w:tc>
      </w:tr>
      <w:tr>
        <w:trPr>
          <w:trHeight w:hRule="exact" w:val="3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73</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73" w:name="JR_PAGE_ANCHOR_0_74"/>
            <w:bookmarkEnd w:id="73"/>
            <w:r>
              <w:rPr/>
              <w:drawing>
                <wp:inline distT="0" distB="0" distL="0" distR="0">
                  <wp:extent cx="7556500" cy="635000"/>
                  <wp:effectExtent l="0" t="0" r="0" b="0"/>
                  <wp:docPr id="900327013" name="Picture">
</wp:docPr>
                  <a:graphic>
                    <a:graphicData uri="http://schemas.openxmlformats.org/drawingml/2006/picture">
                      <pic:pic>
                        <pic:nvPicPr>
                          <pic:cNvPr id="90032701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Command (Hexagonal Port, Interface)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ArtifactHasAlreadyBeenEndorsedForTheMember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Агрегат</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null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Тестирование основано на сопоставлении с образцом (эталоном) компетентности.</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Системы тестирования зачастую обросли шпаргалками, которые специалист может выучить за один-два вечера.</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RecentArtifacts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Role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Tenant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WebHook</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Another Service/System</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 B</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74</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74" w:name="JR_PAGE_ANCHOR_0_75"/>
            <w:bookmarkEnd w:id="74"/>
            <w:r>
              <w:rPr/>
              <w:drawing>
                <wp:inline distT="0" distB="0" distL="0" distR="0">
                  <wp:extent cx="7556500" cy="635000"/>
                  <wp:effectExtent l="0" t="0" r="0" b="0"/>
                  <wp:docPr id="459482178" name="Picture">
</wp:docPr>
                  <a:graphic>
                    <a:graphicData uri="http://schemas.openxmlformats.org/drawingml/2006/picture">
                      <pic:pic>
                        <pic:nvPicPr>
                          <pic:cNvPr id="459482178"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ProposeArtifact</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Основанием для каждой рекомендации должен служить факт конкретного вклада участника в достижение целей Организации.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REST-API Hexagonal Adapter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Kafka Subscriber Hexagonal Adapter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96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Квалифицировать должно лицо, обладающее способностями объективной квалификации, т.е. квалифицировать должен специалист с известным/подтвержденным уровнем квалификации не ниже уровня квалифицируемого, а не заказчик.</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Максимизировать объективность квалифицирования</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Ухудшение внутреннего качества программы</w:t>
            </w:r>
          </w:p>
        </w:tc>
        <w:tc>
          <w:tcPr>
     </w:tcPr>
          <w:p>
            <w:pPr>
              <w:pStyle w:val="EMPTY_CELL_STYLE"/>
            </w:pPr>
          </w:p>
        </w:tc>
      </w:tr>
      <w:tr>
        <w:trPr>
          <w:trHeight w:hRule="exact" w:val="40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Рассматриваемый единовременно уровень сложности (Coupling) должен быть меньше ограничения краткосрочной памяти человека (З-н магического числа 7 ± 2).</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Ухудшение внутреннего качества программы</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Понижение уровня реиспользования кода, рост дубликатов</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Competence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Tenant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1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75</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75" w:name="JR_PAGE_ANCHOR_0_76"/>
            <w:bookmarkEnd w:id="75"/>
            <w:r>
              <w:rPr/>
              <w:drawing>
                <wp:inline distT="0" distB="0" distL="0" distR="0">
                  <wp:extent cx="7556500" cy="635000"/>
                  <wp:effectExtent l="0" t="0" r="0" b="0"/>
                  <wp:docPr id="1470726905" name="Picture">
</wp:docPr>
                  <a:graphic>
                    <a:graphicData uri="http://schemas.openxmlformats.org/drawingml/2006/picture">
                      <pic:pic>
                        <pic:nvPicPr>
                          <pic:cNvPr id="147072690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Command (Hexagonal Port, Interface)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72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представление нанимателю данных об уровне экспертности члена Организации (по его желанию), выраженного конкретным опытом, ценность которого подтверждена другими членами Организации</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Уровень зарплаты специалиста зачастую не коррелирует с реальным уровнем квалификации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Anti-Corruption Layer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Telegram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Identity BC</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authors (has many)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Conformist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Voting BC</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creartedBy (has one)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endorser (has one)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has many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has one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w:t>
            </w:r>
          </w:p>
        </w:tc>
        <w:tc>
          <w:tcPr>
     </w:tcPr>
          <w:p>
            <w:pPr>
              <w:pStyle w:val="EMPTY_CELL_STYLE"/>
            </w:pPr>
          </w:p>
        </w:tc>
      </w:tr>
      <w:tr>
        <w:trPr>
          <w:trHeight w:hRule="exact" w:val="2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76</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76" w:name="JR_PAGE_ANCHOR_0_77"/>
            <w:bookmarkEnd w:id="76"/>
            <w:r>
              <w:rPr/>
              <w:drawing>
                <wp:inline distT="0" distB="0" distL="0" distR="0">
                  <wp:extent cx="7556500" cy="635000"/>
                  <wp:effectExtent l="0" t="0" r="0" b="0"/>
                  <wp:docPr id="38659643" name="Picture">
</wp:docPr>
                  <a:graphic>
                    <a:graphicData uri="http://schemas.openxmlformats.org/drawingml/2006/picture">
                      <pic:pic>
                        <pic:nvPicPr>
                          <pic:cNvPr id="3865964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owner (has one)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Competence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Published Language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Identity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Project Management BC</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Published Language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Identity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Published Language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Identity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Voting BC</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received_endorsements (has many)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w:t>
            </w:r>
          </w:p>
        </w:tc>
        <w:tc>
          <w:tcPr>
     </w:tcPr>
          <w:p>
            <w:pPr>
              <w:pStyle w:val="EMPTY_CELL_STYLE"/>
            </w:pPr>
          </w:p>
        </w:tc>
      </w:tr>
      <w:tr>
        <w:trPr>
          <w:trHeight w:hRule="exact" w:val="64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77</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sectPr>
      <w:pgSz w:w="11900" w:h="16840" w:orient="portrait"/>
      <w:pgMar w:top="0" w:right="800" w:bottom="0" w:left="0" w:header="0" w:footer="0" w:gutter="0"/>
      <w:docGrid w:linePitch="360"/>
    </w:sectPr>
  </w:body>
</w:document>
</file>

<file path=word/settings.xml><?xml version="1.0" encoding="utf-8"?>
<w:settings xmlns:w="http://schemas.openxmlformats.org/wordprocessingml/2006/main">
  <w:defaultTabStop w:val="800"/>
</w:settings>
</file>

<file path=word/styles.xml><?xml version="1.0" encoding="utf-8"?>
<w:styles xmlns:r="http://schemas.openxmlformats.org/officeDocument/2006/relationships" xmlns:w="http://schemas.openxmlformats.org/wordprocessingml/2006/main">
  <w:docDefaults>
    <w:rPrDefault>
  </w:rPrDefault>
    <w:pPrDefault>
      <w:pPr>
        <w:spacing w:line="240"/>
      </w:pPr>
    </w:pPrDefault>
  </w:docDefaults>
  <w:style w:type="paragraph" w:styleId="EMPTY_CELL_STYLE">
    <w:name w:val="EMPTY_CELL_STYLE"/>
    <w:qFormat/>
    <w:pPr>
      <w:ind/>
    </w:pPr>
    <w:rPr>
      <w:rFonts w:ascii="SansSerif" w:hAnsi="SansSerif" w:eastAsia="SansSerif" w:cs="SansSerif"/>
      <w:color w:val="000000"/>
      <w:sz w:val="1"/>
    </w:rPr>
  </w:style>
  <w:style w:type="paragraph" w:styleId="Normal">
    <w:name w:val="Normal"/>
    <w:qFormat/>
    <w:pPr>
      <w:ind/>
    </w:pPr>
    <w:rPr>
      <w:rFonts w:ascii="DejaVu Sans" w:hAnsi="DejaVu Sans" w:eastAsia="DejaVu Sans" w:cs="DejaVu Sans"/>
      <w:color w:val="000000"/>
      <w:sz w:val="24"/>
    </w:rPr>
  </w:style>
  <w:style w:type="paragraph" w:styleId="Title">
    <w:name w:val="Title"/>
    <w:qFormat/>
    <w:basedOn w:val="Normal"/>
    <w:pPr>
      <w:ind/>
    </w:pPr>
    <w:rPr>
      <w:sz w:val="44"/>
    </w:rPr>
  </w:style>
  <w:style w:type="paragraph" w:styleId="Title Date">
    <w:name w:val="Title Date"/>
    <w:qFormat/>
    <w:basedOn w:val="Normal"/>
    <w:pPr>
      <w:ind/>
    </w:pPr>
    <w:rPr>
      <w:sz w:val="20"/>
    </w:rPr>
  </w:style>
  <w:style w:type="paragraph" w:styleId="Page footer">
    <w:name w:val="Page footer"/>
    <w:qFormat/>
    <w:basedOn w:val="Normal"/>
    <w:pPr>
      <w:ind/>
    </w:pPr>
    <w:rPr>
      <w:color w:val="666666"/>
      <w:sz w:val="16"/>
    </w:rPr>
  </w:style>
  <w:style w:type="paragraph" w:styleId="Title 1">
    <w:name w:val="Title 1"/>
    <w:qFormat/>
    <w:basedOn w:val="Normal"/>
    <w:pPr>
      <w:ind/>
    </w:pPr>
    <w:rPr>
      <w:color w:val="7CA9BF"/>
      <w:sz w:val="40"/>
    </w:rPr>
  </w:style>
  <w:style w:type="paragraph" w:styleId="Title 2">
    <w:name w:val="Title 2"/>
    <w:qFormat/>
    <w:basedOn w:val="Normal"/>
    <w:pPr>
      <w:ind/>
    </w:pPr>
    <w:rPr>
      <w:color w:val="7CA9BF"/>
      <w:sz w:val="32"/>
    </w:rPr>
  </w:style>
  <w:style w:type="paragraph" w:styleId="Table row">
    <w:name w:val="Table row"/>
    <w:qFormat/>
    <w:basedOn w:val="Normal"/>
    <w:pPr>
      <w:ind/>
      <w:jc w:val="left"/>
    </w:pPr>
    <w:rPr>
      <w:sz w:val="20"/>
    </w:rPr>
  </w:style>
  <w:style w:type="paragraph" w:styleId="Table header">
    <w:name w:val="Table header"/>
    <w:qFormat/>
    <w:basedOn w:val="Table row"/>
    <w:pPr>
      <w:ind/>
    </w:pPr>
    <w:rPr>
      <w:b w:val="true"/>
    </w:rPr>
  </w:style>
  <w:style w:type="paragraph" w:styleId="Title 3">
    <w:name w:val="Title 3"/>
    <w:qFormat/>
    <w:basedOn w:val="Normal"/>
    <w:pPr>
      <w:ind/>
    </w:pPr>
    <w:rPr>
      <w:color w:val="7CA9BF"/>
      <w:sz w:val="28"/>
    </w:rPr>
  </w:style>
  <w:style w:type="paragraph" w:styleId="Italic">
    <w:name w:val="Italic"/>
    <w:qFormat/>
    <w:basedOn w:val="Normal"/>
    <w:pPr>
      <w:ind/>
    </w:pPr>
    <w:rPr>
      <w:i w:val="true"/>
    </w:rPr>
  </w:style>
  <w:style w:type="paragraph" w:styleId="Documentation">
    <w:name w:val="Documentation"/>
    <w:qFormat/>
    <w:basedOn w:val="Normal"/>
    <w:pPr>
      <w:ind/>
    </w:pPr>
    <w:rPr>
       </w:rPr>
  </w:style>
</w:styles>
</file>

<file path=word/_rels/document.xml.rels><?xml version="1.0" encoding="UTF-8"?>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img_0_1_0.png" Type="http://schemas.openxmlformats.org/officeDocument/2006/relationships/image" Target="media/img_0_1_0.png"/>
 <Relationship Id="img_0_2_4.png" Type="http://schemas.openxmlformats.org/officeDocument/2006/relationships/image" Target="media/img_0_2_4.png"/>
 <Relationship Id="img_0_3_3.png" Type="http://schemas.openxmlformats.org/officeDocument/2006/relationships/image" Target="media/img_0_3_3.png"/>
 <Relationship Id="img_0_5_3.png" Type="http://schemas.openxmlformats.org/officeDocument/2006/relationships/image" Target="media/img_0_5_3.png"/>
 <Relationship Id="img_0_6_3.png" Type="http://schemas.openxmlformats.org/officeDocument/2006/relationships/image" Target="media/img_0_6_3.png"/>
 <Relationship Id="img_0_9_3.png" Type="http://schemas.openxmlformats.org/officeDocument/2006/relationships/image" Target="media/img_0_9_3.png"/>
 <Relationship Id="img_0_11_3.png" Type="http://schemas.openxmlformats.org/officeDocument/2006/relationships/image" Target="media/img_0_11_3.png"/>
</Relationships>

</file>

<file path=docProps/app.xml><?xml version="1.0" encoding="utf-8"?>
<Properties xmlns="http://schemas.openxmlformats.org/officeDocument/2006/extended-properties">
  <Application>JasperReports Library version 6.7.1</Application>
</Properties>
</file>

<file path=docProps/core.xml><?xml version="1.0" encoding="utf-8"?>
<coreProperties xmlns="http://schemas.openxmlformats.org/package/2006/metadata/core-properties" xmlns:cp="http://schemas.openxmlformats.org/package/2006/metadata/core-properties" xmlns:dc="http://purl.org/dc/elements/1.1/" xmlns:dcterms="http://purl.org/dc/terms/" xmlns:xsi="http://www.w3.org/2001/XMLSchema-instance">
</coreProperties>
</file>