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tiff" ContentType="image/tif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w:body>
    <w:tbl>
      <w:tblPr>
        <w:tblLayout w:type="fixed"/>
      </w:tblPr>
      <w:tblGrid>
        <w:gridCol w:w="20"/>
        <w:gridCol w:w="10300"/>
        <w:gridCol w:w="1"/>
      </w:tblGrid>
      <w:tr>
        <w:trPr>
          <w:trHeight w:hRule="exact" w:val="6340"/>
        </w:trPr>
        <w:tc>
          <w:tcPr>
     </w:tcPr>
          <w:p>
            <w:pPr>
              <w:pStyle w:val="EMPTY_CELL_STYLE"/>
            </w:pPr>
            <w:bookmarkStart w:id="0" w:name="JR_PAGE_ANCHOR_0_1"/>
            <w:bookmarkEnd w:id="0"/>
          </w:p>
        </w:tc>
        <w:tc>
          <w:tcPr>
     </w:tcPr>
          <w:p>
            <w:pPr>
              <w:pStyle w:val="EMPTY_CELL_STYLE"/>
            </w:pPr>
          </w:p>
        </w:tc>
        <w:tc>
          <w:tcPr>
     </w:tcPr>
          <w:p>
            <w:pPr>
              <w:pStyle w:val="EMPTY_CELL_STYLE"/>
            </w:pPr>
          </w:p>
        </w:tc>
      </w:tr>
      <w:tr>
        <w:trPr>
          <w:trHeight w:hRule="exact" w:val="600"/>
        </w:trPr>
        <w:tc>
          <w:tcPr>
     </w:tcPr>
          <w:p>
            <w:pPr>
              <w:pStyle w:val="EMPTY_CELL_STYLE"/>
            </w:pPr>
          </w:p>
        </w:tc>
        <w:tc>
          <w:tcPr>
            <w:tcMar>
              <w:top w:w="0" w:type="dxa"/>
              <w:left w:w="0" w:type="dxa"/>
              <w:bottom w:w="0" w:type="dxa"/>
              <w:right w:w="0" w:type="dxa"/>
            </w:tcMar>
            <w:vAlign w:val="top"/>
          </w:tcPr>
          <w:p>
            <w:pPr>
              <w:pStyle w:val="Title"/>
              <w:ind/>
              <w:jc w:val="left"/>
            </w:pPr>
            <w:r>
              <w:rPr>
       </w:rPr>
              <w:t xml:space="preserve">grade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r>
      <w:tr>
        <w:trPr>
          <w:trHeight w:hRule="exact" w:val="400"/>
        </w:trPr>
        <w:tc>
          <w:tcPr>
     </w:tcPr>
          <w:p>
            <w:pPr>
              <w:pStyle w:val="EMPTY_CELL_STYLE"/>
            </w:pPr>
          </w:p>
        </w:tc>
        <w:tc>
          <w:tcPr>
            <w:tcMar>
              <w:top w:w="0" w:type="dxa"/>
              <w:left w:w="0" w:type="dxa"/>
              <w:bottom w:w="0" w:type="dxa"/>
              <w:right w:w="0" w:type="dxa"/>
            </w:tcMar>
            <w:vAlign w:val="top"/>
          </w:tcPr>
          <w:p>
            <w:pPr>
              <w:pStyle w:val="Title Date"/>
              <w:ind/>
            </w:pPr>
            <w:r>
              <w:rPr>
       </w:rPr>
              <w:t xml:space="preserve">29 Oct 2025 23:51:45</w:t>
            </w:r>
          </w:p>
        </w:tc>
        <w:tc>
          <w:tcPr>
     </w:tcPr>
          <w:p>
            <w:pPr>
              <w:pStyle w:val="EMPTY_CELL_STYLE"/>
            </w:pPr>
          </w:p>
        </w:tc>
      </w:tr>
      <w:tr>
        <w:trPr>
          <w:trHeight w:hRule="exact" w:val="9460"/>
        </w:trPr>
        <w:tc>
          <w:tcPr>
     </w:tcPr>
          <w:p>
            <w:pPr>
              <w:pStyle w:val="EMPTY_CELL_STYLE"/>
            </w:pPr>
          </w:p>
        </w:tc>
        <w:tc>
          <w:tcPr>
     </w:tcPr>
          <w:p>
            <w:pPr>
              <w:pStyle w:val="EMPTY_CELL_STYLE"/>
            </w:pP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1" w:name="JR_PAGE_ANCHOR_0_2"/>
            <w:bookmarkEnd w:id="1"/>
            <w:r>
              <w:rPr/>
              <w:drawing>
                <wp:inline distT="0" distB="0" distL="0" distR="0">
                  <wp:extent cx="7556500" cy="635000"/>
                  <wp:effectExtent l="0" t="0" r="0" b="0"/>
                  <wp:docPr id="1982703147" name="Picture">
</wp:docPr>
                  <a:graphic>
                    <a:graphicData uri="http://schemas.openxmlformats.org/drawingml/2006/picture">
                      <pic:pic>
                        <pic:nvPicPr>
                          <pic:cNvPr id="19827031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3"/>
            <w:tcMar>
              <w:top w:w="0" w:type="dxa"/>
              <w:left w:w="0" w:type="dxa"/>
              <w:bottom w:w="0" w:type="dxa"/>
              <w:right w:w="0" w:type="dxa"/>
            </w:tcMar>
            <w:vAlign w:val="top"/>
          </w:tcPr>
          <w:p>
            <w:pPr>
              <w:pStyle w:val="Title 1"/>
              <w:ind/>
            </w:pPr>
            <w:r>
              <w:rPr>
       </w:rPr>
              <w:t xml:space="preserve">Purpose</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00"/>
        </w:trPr>
        <w:tc>
          <w:tcPr>
     </w:tcPr>
          <w:p>
            <w:pPr>
              <w:pStyle w:val="EMPTY_CELL_STYLE"/>
            </w:pPr>
          </w:p>
        </w:tc>
        <w:tc>
          <w:tcPr>
            <w:gridSpan w:val="3"/>
            <w:tcMar>
              <w:top w:w="0" w:type="dxa"/>
              <w:left w:w="0" w:type="dxa"/>
              <w:bottom w:w="0" w:type="dxa"/>
              <w:right w:w="0" w:type="dxa"/>
            </w:tcMar>
            <w:vAlign w:val="top"/>
          </w:tcPr>
          <w:p>
            <w:pPr>
              <w:pStyle w:val="Normal"/>
              <w:ind/>
            </w:pPr>
          </w:p>
        </w:tc>
        <w:tc>
          <w:tcPr>
     </w:tcPr>
          <w:p>
            <w:pPr>
              <w:pStyle w:val="EMPTY_CELL_STYLE"/>
            </w:pPr>
          </w:p>
        </w:tc>
      </w:tr>
      <w:tr>
        <w:trPr>
          <w:trHeight w:hRule="exact" w:val="137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2</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 w:name="JR_PAGE_ANCHOR_0_3"/>
            <w:bookmarkEnd w:id="2"/>
            <w:r>
              <w:rPr/>
              <w:drawing>
                <wp:inline distT="0" distB="0" distL="0" distR="0">
                  <wp:extent cx="7556500" cy="635000"/>
                  <wp:effectExtent l="0" t="0" r="0" b="0"/>
                  <wp:docPr id="887814593" name="Picture">
</wp:docPr>
                  <a:graphic>
                    <a:graphicData uri="http://schemas.openxmlformats.org/drawingml/2006/picture">
                      <pic:pic>
                        <pic:nvPicPr>
                          <pic:cNvPr id="88781459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5"/>
            <w:tcMar>
              <w:top w:w="0" w:type="dxa"/>
              <w:left w:w="0" w:type="dxa"/>
              <w:bottom w:w="0" w:type="dxa"/>
              <w:right w:w="0" w:type="dxa"/>
            </w:tcMar>
            <w:vAlign w:val="top"/>
          </w:tcPr>
          <w:p>
            <w:pPr>
              <w:pStyle w:val="Title 1"/>
              <w:ind/>
            </w:pPr>
            <w:r>
              <w:rPr>
       </w:rPr>
              <w:t xml:space="preserve">Views</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ContextMap</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4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102100"/>
                  <wp:effectExtent l="0" t="0" r="0" b="0"/>
                  <wp:docPr id="272354463" name="Picture">
</wp:docPr>
                  <a:graphic>
                    <a:graphicData uri="http://schemas.openxmlformats.org/drawingml/2006/picture">
                      <pic:pic>
                        <pic:nvPicPr>
                          <pic:cNvPr id="272354463" name="Picture"/>
                          <pic:cNvPicPr/>
                        </pic:nvPicPr>
                        <pic:blipFill>
                          <a:blip r:embed="img_0_2_4.png"/>
                          <a:srcRect/>
                          <a:stretch>
                            <a:fillRect/>
                          </a:stretch>
                        </pic:blipFill>
                        <pic:spPr>
                          <a:xfrm>
                            <a:off x="0" y="0"/>
                            <a:ext cx="6527800" cy="41021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Identity BC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Management BC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Telegram BC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Voting BC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39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3</w:t>
            </w:r>
          </w:p>
        </w:tc>
        <w:tc>
          <w:tcPr>
            <w:gridSpan w:val="2"/>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 w:name="JR_PAGE_ANCHOR_0_4"/>
            <w:bookmarkEnd w:id="3"/>
            <w:r>
              <w:rPr/>
              <w:drawing>
                <wp:inline distT="0" distB="0" distL="0" distR="0">
                  <wp:extent cx="7556500" cy="635000"/>
                  <wp:effectExtent l="0" t="0" r="0" b="0"/>
                  <wp:docPr id="79044247" name="Picture">
</wp:docPr>
                  <a:graphic>
                    <a:graphicData uri="http://schemas.openxmlformats.org/drawingml/2006/picture">
                      <pic:pic>
                        <pic:nvPicPr>
                          <pic:cNvPr id="7904424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DomainModel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8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600700"/>
                  <wp:effectExtent l="0" t="0" r="0" b="0"/>
                  <wp:docPr id="752679590" name="Picture">
</wp:docPr>
                  <a:graphic>
                    <a:graphicData uri="http://schemas.openxmlformats.org/drawingml/2006/picture">
                      <pic:pic>
                        <pic:nvPicPr>
                          <pic:cNvPr id="752679590" name="Picture"/>
                          <pic:cNvPicPr/>
                        </pic:nvPicPr>
                        <pic:blipFill>
                          <a:blip r:embed="img_0_3_3.png"/>
                          <a:srcRect/>
                          <a:stretch>
                            <a:fillRect/>
                          </a:stretch>
                        </pic:blipFill>
                        <pic:spPr>
                          <a:xfrm>
                            <a:off x="0" y="0"/>
                            <a:ext cx="6527800" cy="5600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Identity BC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Role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Tenant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User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0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4</w:t>
            </w:r>
          </w:p>
        </w:tc>
        <w:tc>
          <w:tcPr>
            <w:gridSpan w:val="2"/>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4" w:name="JR_PAGE_ANCHOR_0_5"/>
            <w:bookmarkEnd w:id="4"/>
            <w:r>
              <w:rPr/>
              <w:drawing>
                <wp:inline distT="0" distB="0" distL="0" distR="0">
                  <wp:extent cx="7556500" cy="635000"/>
                  <wp:effectExtent l="0" t="0" r="0" b="0"/>
                  <wp:docPr id="1285933977" name="Picture">
</wp:docPr>
                  <a:graphic>
                    <a:graphicData uri="http://schemas.openxmlformats.org/drawingml/2006/picture">
                      <pic:pic>
                        <pic:nvPicPr>
                          <pic:cNvPr id="128593397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DomainModel</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3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905500"/>
                  <wp:effectExtent l="0" t="0" r="0" b="0"/>
                  <wp:docPr id="1718103695" name="Picture">
</wp:docPr>
                  <a:graphic>
                    <a:graphicData uri="http://schemas.openxmlformats.org/drawingml/2006/picture">
                      <pic:pic>
                        <pic:nvPicPr>
                          <pic:cNvPr id="1718103695" name="Picture"/>
                          <pic:cNvPicPr/>
                        </pic:nvPicPr>
                        <pic:blipFill>
                          <a:blip r:embed="img_0_4_3.png"/>
                          <a:srcRect/>
                          <a:stretch>
                            <a:fillRect/>
                          </a:stretch>
                        </pic:blipFill>
                        <pic:spPr>
                          <a:xfrm>
                            <a:off x="0" y="0"/>
                            <a:ext cx="6527800" cy="59055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Competence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Tenant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6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5</w:t>
            </w:r>
          </w:p>
        </w:tc>
        <w:tc>
          <w:tcPr>
            <w:gridSpan w:val="2"/>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8080"/>
        <w:gridCol w:w="1620"/>
        <w:gridCol w:w="600"/>
        <w:gridCol w:w="1"/>
      </w:tblGrid>
      <w:tr>
        <w:trPr>
          <w:trHeight w:hRule="exact" w:val="1000"/>
        </w:trPr>
        <w:tc>
          <w:tcPr>
            <w:gridSpan w:val="5"/>
            <w:tcMar>
              <w:top w:w="0" w:type="dxa"/>
              <w:left w:w="0" w:type="dxa"/>
              <w:bottom w:w="0" w:type="dxa"/>
              <w:right w:w="0" w:type="dxa"/>
            </w:tcMar>
            <w:vAlign w:val="top"/>
          </w:tcPr>
          <w:p>
            <w:pPr>
              <w:pageBreakBefore/>
              <w:jc w:val="left"/>
              <w:spacing w:lineRule="auto" w:line="240" w:after="0" w:before="0"/>
            </w:pPr>
            <w:bookmarkStart w:id="5" w:name="JR_PAGE_ANCHOR_0_6"/>
            <w:bookmarkEnd w:id="5"/>
            <w:r>
              <w:rPr/>
              <w:drawing>
                <wp:inline distT="0" distB="0" distL="0" distR="0">
                  <wp:extent cx="7556500" cy="635000"/>
                  <wp:effectExtent l="0" t="0" r="0" b="0"/>
                  <wp:docPr id="302869695" name="Picture">
</wp:docPr>
                  <a:graphic>
                    <a:graphicData uri="http://schemas.openxmlformats.org/drawingml/2006/picture">
                      <pic:pic>
                        <pic:nvPicPr>
                          <pic:cNvPr id="30286969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14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6</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6" w:name="JR_PAGE_ANCHOR_0_7"/>
            <w:bookmarkEnd w:id="6"/>
            <w:r>
              <w:rPr/>
              <w:drawing>
                <wp:inline distT="0" distB="0" distL="0" distR="0">
                  <wp:extent cx="7556500" cy="635000"/>
                  <wp:effectExtent l="0" t="0" r="0" b="0"/>
                  <wp:docPr id="1693260012" name="Picture">
</wp:docPr>
                  <a:graphic>
                    <a:graphicData uri="http://schemas.openxmlformats.org/drawingml/2006/picture">
                      <pic:pic>
                        <pic:nvPicPr>
                          <pic:cNvPr id="169326001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EventStorming</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16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5181600"/>
                  <wp:effectExtent l="0" t="0" r="0" b="0"/>
                  <wp:docPr id="1162128198" name="Picture">
</wp:docPr>
                  <a:graphic>
                    <a:graphicData uri="http://schemas.openxmlformats.org/drawingml/2006/picture">
                      <pic:pic>
                        <pic:nvPicPr>
                          <pic:cNvPr id="1162128198" name="Picture"/>
                          <pic:cNvPicPr/>
                        </pic:nvPicPr>
                        <pic:blipFill>
                          <a:blip r:embed="img_0_6_3.png"/>
                          <a:srcRect/>
                          <a:stretch>
                            <a:fillRect/>
                          </a:stretch>
                        </pic:blipFill>
                        <pic:spPr>
                          <a:xfrm>
                            <a:off x="0" y="0"/>
                            <a:ext cx="6527800" cy="51816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AcceptArtifact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AnyMember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ArtifactHasAlreadyBeenEndorsedForTheMember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ArtifactIsAccepted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ArtifactIsProposed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AvailableEndorsementsExceeded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Committee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Competence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CompleteEndorsement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Constraint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Constraint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1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7</w:t>
            </w:r>
          </w:p>
        </w:tc>
        <w:tc>
          <w:tcPr>
            <w:gridSpan w:val="2"/>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7" w:name="JR_PAGE_ANCHOR_0_8"/>
            <w:bookmarkEnd w:id="7"/>
            <w:r>
              <w:rPr/>
              <w:drawing>
                <wp:inline distT="0" distB="0" distL="0" distR="0">
                  <wp:extent cx="7556500" cy="635000"/>
                  <wp:effectExtent l="0" t="0" r="0" b="0"/>
                  <wp:docPr id="1699794502" name="Picture">
</wp:docPr>
                  <a:graphic>
                    <a:graphicData uri="http://schemas.openxmlformats.org/drawingml/2006/picture">
                      <pic:pic>
                        <pic:nvPicPr>
                          <pic:cNvPr id="169979450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EndorseArtifact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EndorsementCompleted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EndorsementReceived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EndorsementReleased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EndorsementReserved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GradeAssigned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HigherGradeCan'tBeEndorsed</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 A</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 B</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Moderator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PendingArtifacts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ProposeArtifact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RecentArtifacts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ReleaseEndorsement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ReserveEndorsement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SyncGrade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Агрегат</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Актор</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Доменное событие</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Допускается одна рекомендация рекомендующего за один конкретный артефакт рекомендуемого.</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Запрос</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 (Query)</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Интеграционное событие</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Каждый участник может отдать 20 рекомендаций (признаний) в год в пользу других участников.</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Команда</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 (Command)</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Модель Чтения</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c>
          <w:tcPr>
     </w:tcPr>
          <w:p>
            <w:pPr>
              <w:pStyle w:val="EMPTY_CELL_STYLE"/>
            </w:pPr>
          </w:p>
        </w:tc>
      </w:tr>
      <w:tr>
        <w:trPr>
          <w:trHeight w:hRule="exact" w:val="12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Одна рекомендация от участника претендуемого (или более высокого) квалификационного класса равноценна двум рекомендациям от участников текущего квалификационного класса.</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Основанием для каждой рекомендации должен служить факт конкретного вклада участника в достижение целей Организации.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8</w:t>
            </w:r>
          </w:p>
        </w:tc>
        <w:tc>
          <w:tcPr>
            <w:gridSpan w:val="2"/>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8" w:name="JR_PAGE_ANCHOR_0_9"/>
            <w:bookmarkEnd w:id="8"/>
            <w:r>
              <w:rPr/>
              <w:drawing>
                <wp:inline distT="0" distB="0" distL="0" distR="0">
                  <wp:extent cx="7556500" cy="635000"/>
                  <wp:effectExtent l="0" t="0" r="0" b="0"/>
                  <wp:docPr id="626562869" name="Picture">
</wp:docPr>
                  <a:graphic>
                    <a:graphicData uri="http://schemas.openxmlformats.org/drawingml/2006/picture">
                      <pic:pic>
                        <pic:nvPicPr>
                          <pic:cNvPr id="62656286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Политика</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 (Policy)</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предлагаемые артефакты могут проходить процедуру одобрения Комитетом Организации по его усмотрению.</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Рекомендации от участников более низкого квалификационного класса не допускаются.</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12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рекомендуемая трудоемкость одного артефакта на каждого его исполнителя должна составлять от 20 до 80 часов; маленькие артефакты рекомендуется группировать, большие - декомпозировать;</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Сообщение Команды</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 (Command)</w:t>
            </w:r>
          </w:p>
        </w:tc>
        <w:tc>
          <w:tcPr>
     </w:tcPr>
          <w:p>
            <w:pPr>
              <w:pStyle w:val="EMPTY_CELL_STYLE"/>
            </w:pPr>
          </w:p>
        </w:tc>
        <w:tc>
          <w:tcPr>
     </w:tcPr>
          <w:p>
            <w:pPr>
              <w:pStyle w:val="EMPTY_CELL_STYLE"/>
            </w:pPr>
          </w:p>
        </w:tc>
      </w:tr>
      <w:tr>
        <w:trPr>
          <w:trHeight w:hRule="exact" w:val="19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Требуемые количества рекомендаций по квалификационным классам: эксперт - 20 рекомендаций Экспертов; кандидат в эксперты - 10 рекомендаций Кандидатов в эксперты; 1 класс - 7 рекомендаций 1-го класса; 2 класс - 5 рекомендаций 2-го класса; 3 класс - 3 рекомендации 3-го класса; без класса - по умолчанию.</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9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9</w:t>
            </w:r>
          </w:p>
        </w:tc>
        <w:tc>
          <w:tcPr>
            <w:gridSpan w:val="2"/>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9" w:name="JR_PAGE_ANCHOR_0_10"/>
            <w:bookmarkEnd w:id="9"/>
            <w:r>
              <w:rPr/>
              <w:drawing>
                <wp:inline distT="0" distB="0" distL="0" distR="0">
                  <wp:extent cx="7556500" cy="635000"/>
                  <wp:effectExtent l="0" t="0" r="0" b="0"/>
                  <wp:docPr id="484258212" name="Picture">
</wp:docPr>
                  <a:graphic>
                    <a:graphicData uri="http://schemas.openxmlformats.org/drawingml/2006/picture">
                      <pic:pic>
                        <pic:nvPicPr>
                          <pic:cNvPr id="48425821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HexagonalArchitecture</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62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4203700"/>
                  <wp:effectExtent l="0" t="0" r="0" b="0"/>
                  <wp:docPr id="48339760" name="Picture">
</wp:docPr>
                  <a:graphic>
                    <a:graphicData uri="http://schemas.openxmlformats.org/drawingml/2006/picture">
                      <pic:pic>
                        <pic:nvPicPr>
                          <pic:cNvPr id="48339760" name="Picture"/>
                          <pic:cNvPicPr/>
                        </pic:nvPicPr>
                        <pic:blipFill>
                          <a:blip r:embed="img_0_9_3.png"/>
                          <a:srcRect/>
                          <a:stretch>
                            <a:fillRect/>
                          </a:stretch>
                        </pic:blipFill>
                        <pic:spPr>
                          <a:xfrm>
                            <a:off x="0" y="0"/>
                            <a:ext cx="6527800" cy="42037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Another Aggregate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Another Service/System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Layer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Dead Letter Channel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Path</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Message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 (Command)</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Queue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Path</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Reply Channel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Path</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Topic</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Path</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Bytes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 (Command)</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Command (Hexagonal Port,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CommandHandler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Domain Layer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DomainEvent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Event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Expension Point Pipeline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Front Door Queue using message bus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Gateway (with Transactional Outbox)</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GOF Pattern Mediator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gRPC Hexagonal Adapter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10</w:t>
            </w:r>
          </w:p>
        </w:tc>
        <w:tc>
          <w:tcPr>
            <w:gridSpan w:val="2"/>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0" w:name="JR_PAGE_ANCHOR_0_11"/>
            <w:bookmarkEnd w:id="10"/>
            <w:r>
              <w:rPr/>
              <w:drawing>
                <wp:inline distT="0" distB="0" distL="0" distR="0">
                  <wp:extent cx="7556500" cy="635000"/>
                  <wp:effectExtent l="0" t="0" r="0" b="0"/>
                  <wp:docPr id="1627840438" name="Picture">
</wp:docPr>
                  <a:graphic>
                    <a:graphicData uri="http://schemas.openxmlformats.org/drawingml/2006/picture">
                      <pic:pic>
                        <pic:nvPicPr>
                          <pic:cNvPr id="162784043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HTTP-Request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 (Command)</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HTTP-Request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 (Command)</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HTTP-Response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 (Command)</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Integration Event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JSON-Object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 (Command)</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JSON-RPC Hexagonal Adapter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Kafka Subscriber Hexagonal Adapter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Logging Pipeline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Mediator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Projection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Query (Hexagonal Port, 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QueryHandler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ReadModel</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ReadModel Database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RepositoryImplementation</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RepositoryInterface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REST-API Hexagonal Adapter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REST-API Hexagonal Adapter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REST-Endpoint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Integration Event (Policy)</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Team</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User</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Validation Pipeline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WebHook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WriteModel DataBase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c>
          <w:tcPr>
     </w:tcPr>
          <w:p>
            <w:pPr>
              <w:pStyle w:val="EMPTY_CELL_STYLE"/>
            </w:pPr>
          </w:p>
        </w:tc>
      </w:tr>
      <w:tr>
        <w:trPr>
          <w:trHeight w:hRule="exact" w:val="56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11</w:t>
            </w:r>
          </w:p>
        </w:tc>
        <w:tc>
          <w:tcPr>
            <w:gridSpan w:val="2"/>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1" w:name="JR_PAGE_ANCHOR_0_12"/>
            <w:bookmarkEnd w:id="11"/>
            <w:r>
              <w:rPr/>
              <w:drawing>
                <wp:inline distT="0" distB="0" distL="0" distR="0">
                  <wp:extent cx="7556500" cy="635000"/>
                  <wp:effectExtent l="0" t="0" r="0" b="0"/>
                  <wp:docPr id="2082499348" name="Picture">
</wp:docPr>
                  <a:graphic>
                    <a:graphicData uri="http://schemas.openxmlformats.org/drawingml/2006/picture">
                      <pic:pic>
                        <pic:nvPicPr>
                          <pic:cNvPr id="208249934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80"/>
        </w:trPr>
        <w:tc>
          <w:tcPr>
     </w:tcPr>
          <w:p>
            <w:pPr>
              <w:pStyle w:val="EMPTY_CELL_STYLE"/>
            </w:pPr>
          </w:p>
        </w:tc>
        <w:tc>
          <w:tcPr>
            <w:gridSpan w:val="5"/>
            <w:tcMar>
              <w:top w:w="0" w:type="dxa"/>
              <w:left w:w="0" w:type="dxa"/>
              <w:bottom w:w="0" w:type="dxa"/>
              <w:right w:w="0" w:type="dxa"/>
            </w:tcMar>
            <w:vAlign w:val="bottom"/>
          </w:tcPr>
          <w:p>
            <w:pPr>
              <w:pStyle w:val="Title 2"/>
              <w:ind/>
              <w:jc w:val="left"/>
            </w:pPr>
            <w:r>
              <w:rPr>
       </w:rPr>
              <w:t xml:space="preserve">Requirements</w:t>
            </w:r>
          </w:p>
        </w:tc>
        <w:tc>
          <w:tcPr>
     </w:tcPr>
          <w:p>
            <w:pPr>
              <w:pStyle w:val="EMPTY_CELL_STYLE"/>
            </w:pPr>
          </w:p>
        </w:tc>
      </w:tr>
      <w:tr>
        <w:trPr>
          <w:trHeight w:hRule="exact" w:val="300"/>
        </w:trPr>
        <w:tc>
          <w:tcPr>
     </w:tcPr>
          <w:p>
            <w:pPr>
              <w:pStyle w:val="EMPTY_CELL_STYLE"/>
            </w:pPr>
          </w:p>
        </w:tc>
        <w:tc>
          <w:tcPr>
            <w:gridSpan w:val="5"/>
            <w:tcMar>
              <w:top w:w="0" w:type="dxa"/>
              <w:left w:w="0" w:type="dxa"/>
              <w:bottom w:w="0" w:type="dxa"/>
              <w:right w:w="0" w:type="dxa"/>
            </w:tcMar>
            <w:vAlign w:val="top"/>
          </w:tcPr>
          <w:p>
            <w:pPr>
              <w:pStyle w:val="Italic"/>
              <w:ind/>
            </w:pPr>
            <w:r>
              <w:rPr>
       </w:rPr>
              <w:t xml:space="preserve">No viewpoint</w:t>
            </w:r>
          </w:p>
        </w:tc>
        <w:tc>
          <w:tcPr>
     </w:tcPr>
          <w:p>
            <w:pPr>
              <w:pStyle w:val="EMPTY_CELL_STYLE"/>
            </w:pPr>
          </w:p>
        </w:tc>
      </w:tr>
      <w:tr>
        <w:trPr>
          <w:trHeight w:hRule="exact" w:val="1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4000"/>
        </w:trPr>
        <w:tc>
          <w:tcPr>
     </w:tcPr>
          <w:p>
            <w:pPr>
              <w:pStyle w:val="EMPTY_CELL_STYLE"/>
            </w:pPr>
          </w:p>
        </w:tc>
        <w:tc>
          <w:tcPr>
            <w:gridSpan w:val="5"/>
            <w:tcMar>
              <w:top w:w="0" w:type="dxa"/>
              <w:left w:w="0" w:type="dxa"/>
              <w:bottom w:w="0" w:type="dxa"/>
              <w:right w:w="0" w:type="dxa"/>
            </w:tcMar>
            <w:vAlign w:val="top"/>
          </w:tcPr>
          <w:p>
            <w:pPr>
              <w:jc w:val="left"/>
              <w:spacing w:lineRule="auto" w:line="240" w:after="0" w:before="0"/>
            </w:pPr>
            <w:r>
              <w:rPr/>
              <w:drawing>
                <wp:inline distT="0" distB="0" distL="0" distR="0">
                  <wp:extent cx="6527800" cy="2540000"/>
                  <wp:effectExtent l="0" t="0" r="0" b="0"/>
                  <wp:docPr id="1633286972" name="Picture">
</wp:docPr>
                  <a:graphic>
                    <a:graphicData uri="http://schemas.openxmlformats.org/drawingml/2006/picture">
                      <pic:pic>
                        <pic:nvPicPr>
                          <pic:cNvPr id="1633286972" name="Picture"/>
                          <pic:cNvPicPr/>
                        </pic:nvPicPr>
                        <pic:blipFill>
                          <a:blip r:embed="img_0_11_3.png"/>
                          <a:srcRect/>
                          <a:stretch>
                            <a:fillRect/>
                          </a:stretch>
                        </pic:blipFill>
                        <pic:spPr>
                          <a:xfrm>
                            <a:off x="0" y="0"/>
                            <a:ext cx="6527800" cy="2540000"/>
                          </a:xfrm>
                          <a:prstGeom prst="rect"/>
                        </pic:spPr>
                      </pic:pic>
                    </a:graphicData>
                  </a:graphic>
                </wp:inline>
              </w:drawing>
            </w:r>
          </w:p>
        </w:tc>
        <w:tc>
          <w:tcPr>
     </w:tcPr>
          <w:p>
            <w:pPr>
              <w:pStyle w:val="EMPTY_CELL_STYLE"/>
            </w:pPr>
          </w:p>
        </w:tc>
      </w:tr>
      <w:tr>
        <w:trPr>
          <w:trHeight w:hRule="exact" w:val="700"/>
        </w:trPr>
        <w:tc>
          <w:tcPr>
     </w:tcPr>
          <w:p>
            <w:pPr>
              <w:pStyle w:val="EMPTY_CELL_STYLE"/>
            </w:pPr>
          </w:p>
        </w:tc>
        <w:tc>
          <w:tcPr>
            <w:gridSpan w:val="4"/>
            <w:tcMar>
              <w:top w:w="0" w:type="dxa"/>
              <w:left w:w="0" w:type="dxa"/>
              <w:bottom w:w="0" w:type="dxa"/>
              <w:right w:w="0" w:type="dxa"/>
            </w:tcMar>
            <w:vAlign w:val="bottom"/>
          </w:tcPr>
          <w:p>
            <w:pPr>
              <w:pStyle w:val="Title 3"/>
              <w:ind/>
            </w:pPr>
            <w:r>
              <w:rPr>
       </w:rPr>
              <w:t xml:space="preserve">Elements</w:t>
            </w:r>
          </w:p>
        </w:tc>
        <w:tc>
          <w:tcPr>
     </w:tcPr>
          <w:p>
            <w:pPr>
              <w:pStyle w:val="EMPTY_CELL_STYLE"/>
            </w:pP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"So, design ≈ cost ≈ change ≈ big change ≈ coupling. Transitively, software design ≈ managing coupling." -- Kent Beck</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96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@banofbot может быть использован для атаки против ценных участников сообщества и необратимого уничтожения их информации в паблике.</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12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Адресовать запросы в первую очередь к участникам, обладающим наивысшим уровнем экспертности, выраженной конкретным опытом, ценность которого подтверждена другими членами организации.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Артефакты должны классифицироваться по компетенциям</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166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В процессе конструирования кода, 91% времени (в лучшем случае) занимает именно чтение кода и борьба со сложностью (каждым разработчиком постоянно), и только 9% времени (1:10) занимает ввод символов с клавиатуры (одним разработчиком единократно)</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В экспертные сообщества нередко обращаются за услугами консалтинга</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Ввести внутреннюю систему ценностей в виде квалификационной классности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c>
          <w:tcPr>
     </w:tcPr>
          <w:p>
            <w:pPr>
              <w:pStyle w:val="EMPTY_CELL_STYLE"/>
            </w:pPr>
          </w:p>
        </w:tc>
      </w:tr>
      <w:tr>
        <w:trPr>
          <w:trHeight w:hRule="exact" w:val="24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вклад и квалификация члена Организации оцениваются одновременно и неразрывно, как и неразрывны теория с практикой; вклад не обязан быть кем-то оцененным, если он не отражает квалификацию исполнителя в виде конкретной ценности для достижения уставных целей Организации, а без практического вклада оценить отдельно квалификацию система тоже не позволяет; рекомендация означает признание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12</w:t>
            </w:r>
          </w:p>
        </w:tc>
        <w:tc>
          <w:tcPr>
            <w:gridSpan w:val="2"/>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2" w:name="JR_PAGE_ANCHOR_0_13"/>
            <w:bookmarkEnd w:id="12"/>
            <w:r>
              <w:rPr/>
              <w:drawing>
                <wp:inline distT="0" distB="0" distL="0" distR="0">
                  <wp:extent cx="7556500" cy="635000"/>
                  <wp:effectExtent l="0" t="0" r="0" b="0"/>
                  <wp:docPr id="1251232505" name="Picture">
</wp:docPr>
                  <a:graphic>
                    <a:graphicData uri="http://schemas.openxmlformats.org/drawingml/2006/picture">
                      <pic:pic>
                        <pic:nvPicPr>
                          <pic:cNvPr id="125123250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96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экспертности члена Организации, выраженной на примере конкретного практического опыта, другими членами Организации.</w:t>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Восстановить процентное содержание качественной информации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Высокая стоимость внемения изменения в реализацию</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Голос участника опроса должен учитываться с учетом весового коэффициента его квалификационного класса</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c>
          <w:tcPr>
     </w:tcPr>
          <w:p>
            <w:pPr>
              <w:pStyle w:val="EMPTY_CELL_STYLE"/>
            </w:pPr>
          </w:p>
        </w:tc>
      </w:tr>
      <w:tr>
        <w:trPr>
          <w:trHeight w:hRule="exact" w:val="96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Грамотные специалисты не всегда спешат ввязываться во флейм с малограмотными оппонентами. Зачастую это приводит к их демотивации и самоустранению из пабликов.</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Демотивация</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Дисбаланс в пользу краткосрочных бизнес-интересов в ущерб долгосрочным техническим интересам (Spaghetti code)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Допускается одна рекомендация рекомендующего за один конкретный артефакт рекомендуемого.</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Дросселировать информацию от участников с невысоким уровнем квалификации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Зависимое положение исполнителя от оценки/рекомендации заказчика.</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Заказчик не осведомлен об объективной квалификации исполнителя.</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Заказчики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Закоммерциализированные сертификаты зачастую не отражают реальный уровень квалификации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Захламленность информационного пространства</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Защитить социальное положение грамотных специалистов как источников качественной информации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Защитить ценную информацию и ценных участников от атак.</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Исключить влияние эффекта Даннинга-Крюгера на качество информационного пространства</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Исполнители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Каждый участник может отдать 20 рекомендаций (признаний) в год в пользу других участников.</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Квалификационный голод малых компаний</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19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Квалифицированные кадры не видят репутационной и карьерной привлекательности в вакансиях малых компаний на постоянной форме занятости (по причине повышенных финансовых рисков, невысокой карьерной целесообразности и недостаточной конкурентноспособности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13</w:t>
            </w:r>
          </w:p>
        </w:tc>
        <w:tc>
          <w:tcPr>
            <w:gridSpan w:val="2"/>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3" w:name="JR_PAGE_ANCHOR_0_14"/>
            <w:bookmarkEnd w:id="13"/>
            <w:r>
              <w:rPr/>
              <w:drawing>
                <wp:inline distT="0" distB="0" distL="0" distR="0">
                  <wp:extent cx="7556500" cy="635000"/>
                  <wp:effectExtent l="0" t="0" r="0" b="0"/>
                  <wp:docPr id="1813922009" name="Picture">
</wp:docPr>
                  <a:graphic>
                    <a:graphicData uri="http://schemas.openxmlformats.org/drawingml/2006/picture">
                      <pic:pic>
                        <pic:nvPicPr>
                          <pic:cNvPr id="181392200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зарплат)</w:t>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4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Квалифицировать должно лицо, обладающее способностями объективной квалификации, т.е. квалифицировать должен специалист с известным/подтвержденным уровнем квалификации не ниже уровня квалифицируемого, а не заказчик.</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Количество голосов, требуемых для блокирования участника, должно учитывать уровень его квалификации.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96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Компенсировать зависимость исполнителя от оценки заказчика (на краткосрочном горизонте) введением зависимости от перспектив (на долгосрочном горизонте).</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12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Конкуренция сертификационных организаций склоняет их к достижению рыночной гегемонии путем формирования приоритета на количество выпущенных сертификатов в ущерб качеству.</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Консалтинг</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12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Конфликт интересов сертификационных организаций, финансирование которых находится в зависимости от количества претендентов и проданных курсов подготовки.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14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Любой эталон является планкой (барьером), очерчивающей горизонт развития. Взятие планки останавливает развитие, а не стимулирует. Это неприемлемо для таких наукоемких и постоянно эволюционирующих отраслей, как ИТ.</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Максимизировать объективность квалифицирования</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96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Многие системы тестирования слабо защищены технически от обмана (например, допускают вмешательство в работу JavaScript кода web-страницы).</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Мотивировать участников к повышению качества публикуемой ими информации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12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Наделить высококвалифицированных специалистов мерами административного воздействия, например, предоставить право установления временного запрета на публикацию сообщений в тг-канале.</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c>
          <w:tcPr>
     </w:tcPr>
          <w:p>
            <w:pPr>
              <w:pStyle w:val="EMPTY_CELL_STYLE"/>
            </w:pPr>
          </w:p>
        </w:tc>
      </w:tr>
      <w:tr>
        <w:trPr>
          <w:trHeight w:hRule="exact" w:val="14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Наличие эталона подразумевает монополию на компетентность, что вызывает вопрос доверия к ней. Нередко экзаменуемый демонстрирует большую компетентностью, нежели экзаменатор, что ограничивает развитие остальных уровнем экзаменатора.</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Неизменяемый лог рекомендаций</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Неясные интерфейсы и именования требуют затрат времени на изучение реализации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Низкая эффективность грейдов на основе матриц компетентности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Низкое качество ПО</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14</w:t>
            </w:r>
          </w:p>
        </w:tc>
        <w:tc>
          <w:tcPr>
            <w:gridSpan w:val="2"/>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4" w:name="JR_PAGE_ANCHOR_0_15"/>
            <w:bookmarkEnd w:id="14"/>
            <w:r>
              <w:rPr/>
              <w:drawing>
                <wp:inline distT="0" distB="0" distL="0" distR="0">
                  <wp:extent cx="7556500" cy="635000"/>
                  <wp:effectExtent l="0" t="0" r="0" b="0"/>
                  <wp:docPr id="1571615117" name="Picture">
</wp:docPr>
                  <a:graphic>
                    <a:graphicData uri="http://schemas.openxmlformats.org/drawingml/2006/picture">
                      <pic:pic>
                        <pic:nvPicPr>
                          <pic:cNvPr id="157161511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Новичкам не всегда понятно кого слушать, т.к. у них не сформированы критерии оценки.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19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Обеспечить квалификационную классификацию на основе хорошо зарекомендовавшего себя на практике алгоритма спортивной разрядности, где уровень мастерства спортсмена определяется относительно известного (т.е. доказанного) уровня мастерства других спортсменов.Т.е., по сути, методом сравнительного анализа.</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c>
          <w:tcPr>
     </w:tcPr>
          <w:p>
            <w:pPr>
              <w:pStyle w:val="EMPTY_CELL_STYLE"/>
            </w:pPr>
          </w:p>
        </w:tc>
      </w:tr>
      <w:tr>
        <w:trPr>
          <w:trHeight w:hRule="exact" w:val="12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Обеспечить максимальную полноту передачи (на основе принципа соразмерности) экспертности своих участников в представлениях экспертно-рекомендательных органов Организации.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Обеспечить представление о компетенциях (областях знаний) исполнителя</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Обеспечить представление об уровне квалификации участников</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Обеспечить прозрачность происхождения уровня квалификации и её аудируемость</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c>
          <w:tcPr>
     </w:tcPr>
          <w:p>
            <w:pPr>
              <w:pStyle w:val="EMPTY_CELL_STYLE"/>
            </w:pPr>
          </w:p>
        </w:tc>
      </w:tr>
      <w:tr>
        <w:trPr>
          <w:trHeight w:hRule="exact" w:val="12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Одна рекомендация от участника претендуемого (или более высокого) квалификационного класса равноценна двум рекомендациям от участников текущего квалификационного класса.</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Основанием для каждой рекомендации должен служить факт конкретного вклада участника в достижение целей Организации.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Отвлечение ресурсов времени специалистов на нерелевантные аспекты знаний в ущерб релевантным.</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96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Падение velocity. В основу метафоры "технический долг" положено правило "сложного процента", возрастающего в геометрической прогрессии.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Перерасход средств по стоимости разработки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Понижение уровня реиспользования кода, рост дубликатов</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Поставщики услуг outsourcing marketplaces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Потребители услуг outsourcing marketplaces</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предлагаемые артефакты могут проходить процедуру одобрения Комитетом Организации по его усмотрению.</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12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представление нанимателю данных об уровне экспертности члена Организации (по его желанию), выраженного конкретным опытом, ценность которого подтверждена другими членами Организации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Работодатели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Разные участники организации обладают различным уровнем экспертности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8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Рассматриваемый единовременно уровень сложности (Coupling) должен быть меньше ограничения краткосрочной памяти человека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15</w:t>
            </w:r>
          </w:p>
        </w:tc>
        <w:tc>
          <w:tcPr>
            <w:gridSpan w:val="2"/>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5" w:name="JR_PAGE_ANCHOR_0_16"/>
            <w:bookmarkEnd w:id="15"/>
            <w:r>
              <w:rPr/>
              <w:drawing>
                <wp:inline distT="0" distB="0" distL="0" distR="0">
                  <wp:extent cx="7556500" cy="635000"/>
                  <wp:effectExtent l="0" t="0" r="0" b="0"/>
                  <wp:docPr id="1072267396" name="Picture">
</wp:docPr>
                  <a:graphic>
                    <a:graphicData uri="http://schemas.openxmlformats.org/drawingml/2006/picture">
                      <pic:pic>
                        <pic:nvPicPr>
                          <pic:cNvPr id="107226739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(З-н магического числа 7 ± 2).</w:t>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Результат тестирования нередко можно купить или поделать.</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Рейтинги не дают представления о компетенциях исполнителя</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Рекомендации от участников более низкого квалификационного класса не допускаются.</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12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рекомендуемая трудоемкость одного артефакта на каждого его исполнителя должна составлять от 20 до 80 часов; маленькие артефакты рекомендуется группировать, большие - декомпозировать;</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Рост когнитивной нагрузки на практикующего специалиста</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166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Самообразование и обретение опыта требуют затрат времени, поэтому грамотные специалисты стеснены в свободным времени, что зачастую приводит к гегемонии бескомпетентности в информационном пространстве экспертных сообществ - от этого страдает большинство технических пабликов.</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14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Система рейтингов подрядных бирж отражает не уровень квалификации, а уровень лояльности исполнителя, ибо если бы заказчик был способен оценить компетентность, то он не обращался бы за этой компетентностью на биржу.</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Системы тестирования зачастую обросли шпаргалками, которые специалист может выучить за один-два вечера.</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Сложность выбора квалифицированного исполнителя</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Сотрудники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Спам в пабликах</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Специалисты отрасти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Стесненностью ресурсов времени практикующих специалистов на освоение информации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Стимулировать развитие участников</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Стоимость дорогих изменений образуется стоимостью каскадных изменений, которые образуются High Coupling</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Тестирование не отражает ни широты, на глубины знаний, ни способности специалиста применять эти знания на практике.</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Тестирование основано на сопоставлении с образцом (эталоном) компетентности.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96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Традиционные методы голосования не позволяют в полной мере отразить отразить экспертность в рекомендациях добровольных совещательных органов</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10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Требуемые количества рекомендаций по квалификационным классам: эксперт - 20 рекомендаций Экспертов; кандидат в эксперты - 10 рекомендаций Кандидатов в </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16</w:t>
            </w:r>
          </w:p>
        </w:tc>
        <w:tc>
          <w:tcPr>
            <w:gridSpan w:val="2"/>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5140"/>
        <w:gridCol w:w="2940"/>
        <w:gridCol w:w="1620"/>
        <w:gridCol w:w="580"/>
        <w:gridCol w:w="2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16" w:name="JR_PAGE_ANCHOR_0_17"/>
            <w:bookmarkEnd w:id="16"/>
            <w:r>
              <w:rPr/>
              <w:drawing>
                <wp:inline distT="0" distB="0" distL="0" distR="0">
                  <wp:extent cx="7556500" cy="635000"/>
                  <wp:effectExtent l="0" t="0" r="0" b="0"/>
                  <wp:docPr id="1873010424" name="Picture">
</wp:docPr>
                  <a:graphic>
                    <a:graphicData uri="http://schemas.openxmlformats.org/drawingml/2006/picture">
                      <pic:pic>
                        <pic:nvPicPr>
                          <pic:cNvPr id="187301042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Element</w:t>
            </w:r>
          </w:p>
        </w:tc>
        <w:tc>
          <w:tcPr>
            <w:gridSpan w:val="3"/>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tcPr>
          <w:p>
            <w:pPr>
              <w:pStyle w:val="EMPTY_CELL_STYLE"/>
            </w:pPr>
          </w:p>
        </w:tc>
        <w:tc>
          <w:tcPr>
     </w:tcPr>
          <w:p>
            <w:pPr>
              <w:pStyle w:val="EMPTY_CELL_STYLE"/>
            </w:pPr>
          </w:p>
        </w:tc>
      </w:tr>
      <w:tr>
        <w:trPr>
          <w:trHeight w:hRule="exact" w:val="96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эксперты; 1 класс - 7 рекомендаций 1-го класса; 2 класс - 5 рекомендаций 2-го класса; 3 класс - 3 рекомендации 3-го класса; без класса - по умолчанию.</w:t>
            </w: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2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Удовлетворение квалификационного голода малых компаний на основе нерегулярной частичной форме занятости высококвалифицированных специалистов (консалтинг).</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Укрепить репутацию экспертного сообщества</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c>
          <w:tcPr>
     </w:tcPr>
          <w:p>
            <w:pPr>
              <w:pStyle w:val="EMPTY_CELL_STYLE"/>
            </w:pPr>
          </w:p>
        </w:tc>
      </w:tr>
      <w:tr>
        <w:trPr>
          <w:trHeight w:hRule="exact" w:val="72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Уровень зарплаты специалиста зачастую не коррелирует с реальным уровнем квалификации</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Ухудшение внутреннего качества программы</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5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Участники сообщества могут банить спамеров, используя, например, @banofbot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28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Участники экспертных сообществ</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c>
          <w:tcPr>
     </w:tcPr>
          <w:p>
            <w:pPr>
              <w:pStyle w:val="EMPTY_CELL_STYLE"/>
            </w:pPr>
          </w:p>
        </w:tc>
      </w:tr>
      <w:tr>
        <w:trPr>
          <w:trHeight w:hRule="exact" w:val="1900"/>
        </w:trPr>
        <w:tc>
          <w:tcPr>
     </w:tcPr>
          <w:p>
            <w:pPr>
              <w:pStyle w:val="EMPTY_CELL_STYLE"/>
            </w:pPr>
          </w:p>
        </w:tc>
        <w:tc>
          <w:tcPr>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 "There's a definite Dunning-Kruger effect for authors. The people who hold a ton of knowledge hesitate because they find their insights "obvious" or "nothing special". Then you have people who write a lot but do little real work that they could base their writing on..." -- Gregor Hohpe https://twitter.com/ghohpe/status/1332200805852606470?s=20</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c>
          <w:tcPr>
     </w:tcPr>
          <w:p>
            <w:pPr>
              <w:pStyle w:val="EMPTY_CELL_STYLE"/>
            </w:pPr>
          </w:p>
        </w:tc>
      </w:tr>
      <w:tr>
        <w:trPr>
          <w:trHeight w:hRule="exact" w:val="78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17</w:t>
            </w:r>
          </w:p>
        </w:tc>
        <w:tc>
          <w:tcPr>
            <w:gridSpan w:val="2"/>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7" w:name="JR_PAGE_ANCHOR_0_18"/>
            <w:bookmarkEnd w:id="17"/>
            <w:r>
              <w:rPr/>
              <w:drawing>
                <wp:inline distT="0" distB="0" distL="0" distR="0">
                  <wp:extent cx="7556500" cy="635000"/>
                  <wp:effectExtent l="0" t="0" r="0" b="0"/>
                  <wp:docPr id="1949625875" name="Picture">
</wp:docPr>
                  <a:graphic>
                    <a:graphicData uri="http://schemas.openxmlformats.org/drawingml/2006/picture">
                      <pic:pic>
                        <pic:nvPicPr>
                          <pic:cNvPr id="194962587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Business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AcceptArtifact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AnyMember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Artifact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ArtifactHasAlreadyBeenEndorsedForTheMember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ArtifactIsAccepted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ArtifactIsProposed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AvailableEndorsementsExceeded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Committee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Competence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CompleteEndorsement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EndorseArtifact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Endorsement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EndorsementCompleted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18</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8" w:name="JR_PAGE_ANCHOR_0_19"/>
            <w:bookmarkEnd w:id="18"/>
            <w:r>
              <w:rPr/>
              <w:drawing>
                <wp:inline distT="0" distB="0" distL="0" distR="0">
                  <wp:extent cx="7556500" cy="635000"/>
                  <wp:effectExtent l="0" t="0" r="0" b="0"/>
                  <wp:docPr id="2018528489" name="Picture">
</wp:docPr>
                  <a:graphic>
                    <a:graphicData uri="http://schemas.openxmlformats.org/drawingml/2006/picture">
                      <pic:pic>
                        <pic:nvPicPr>
                          <pic:cNvPr id="201852848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EndorsementReceived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EndorsementReleased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EndorsementReserved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Endorser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Endorser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GradeAssigned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Group</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HigherGradeCan'tBeEndorsed</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Member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Member A</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Member B</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Moderator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PendingArtifacts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ProposeArtifact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19</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19" w:name="JR_PAGE_ANCHOR_0_20"/>
            <w:bookmarkEnd w:id="19"/>
            <w:r>
              <w:rPr/>
              <w:drawing>
                <wp:inline distT="0" distB="0" distL="0" distR="0">
                  <wp:extent cx="7556500" cy="635000"/>
                  <wp:effectExtent l="0" t="0" r="0" b="0"/>
                  <wp:docPr id="2126842086" name="Picture">
</wp:docPr>
                  <a:graphic>
                    <a:graphicData uri="http://schemas.openxmlformats.org/drawingml/2006/picture">
                      <pic:pic>
                        <pic:nvPicPr>
                          <pic:cNvPr id="212684208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Publisher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RecentArtifacts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ReleaseEndorsement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ReserveEndorsement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Role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SyncGrade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Team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Tenant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User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Actor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User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Агрегат</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Актор</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Role</w:t>
            </w:r>
          </w:p>
        </w:tc>
        <w:tc>
          <w:tcPr>
     </w:tcPr>
          <w:p>
            <w:pPr>
              <w:pStyle w:val="EMPTY_CELL_STYLE"/>
            </w:pPr>
          </w:p>
        </w:tc>
      </w:tr>
      <w:tr>
        <w:trPr>
          <w:trHeight w:hRule="exact" w:val="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20</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0" w:name="JR_PAGE_ANCHOR_0_21"/>
            <w:bookmarkEnd w:id="20"/>
            <w:r>
              <w:rPr/>
              <w:drawing>
                <wp:inline distT="0" distB="0" distL="0" distR="0">
                  <wp:extent cx="7556500" cy="635000"/>
                  <wp:effectExtent l="0" t="0" r="0" b="0"/>
                  <wp:docPr id="598183031" name="Picture">
</wp:docPr>
                  <a:graphic>
                    <a:graphicData uri="http://schemas.openxmlformats.org/drawingml/2006/picture">
                      <pic:pic>
                        <pic:nvPicPr>
                          <pic:cNvPr id="59818303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Доменное событие</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Запрос</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Function (Query)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Команда</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 (Command)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Модель Чтения</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Representation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Политика</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Business Process (Policy)</w:t>
            </w:r>
          </w:p>
        </w:tc>
        <w:tc>
          <w:tcPr>
     </w:tcPr>
          <w:p>
            <w:pPr>
              <w:pStyle w:val="EMPTY_CELL_STYLE"/>
            </w:pPr>
          </w:p>
        </w:tc>
      </w:tr>
      <w:tr>
        <w:trPr>
          <w:trHeight w:hRule="exact" w:val="9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21</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1" w:name="JR_PAGE_ANCHOR_0_22"/>
            <w:bookmarkEnd w:id="21"/>
            <w:r>
              <w:rPr/>
              <w:drawing>
                <wp:inline distT="0" distB="0" distL="0" distR="0">
                  <wp:extent cx="7556500" cy="635000"/>
                  <wp:effectExtent l="0" t="0" r="0" b="0"/>
                  <wp:docPr id="1505331921" name="Picture">
</wp:docPr>
                  <a:graphic>
                    <a:graphicData uri="http://schemas.openxmlformats.org/drawingml/2006/picture">
                      <pic:pic>
                        <pic:nvPicPr>
                          <pic:cNvPr id="150533192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Application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Another Aggregate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Another Service/System</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Command (Hexagonal Port,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CommandHandler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DomainEvent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Expension Point Pipeline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Front Door Queue using message bus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Gateway (with Transactional Outbox)</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GOF Pattern Mediator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gRPC Hexagonal Adapter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Infrastructure Layer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Component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JSON-RPC Hexagonal Adapter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Kafka Subscriber Hexagonal Adapter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22</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2" w:name="JR_PAGE_ANCHOR_0_23"/>
            <w:bookmarkEnd w:id="22"/>
            <w:r>
              <w:rPr/>
              <w:drawing>
                <wp:inline distT="0" distB="0" distL="0" distR="0">
                  <wp:extent cx="7556500" cy="635000"/>
                  <wp:effectExtent l="0" t="0" r="0" b="0"/>
                  <wp:docPr id="216112262" name="Picture">
</wp:docPr>
                  <a:graphic>
                    <a:graphicData uri="http://schemas.openxmlformats.org/drawingml/2006/picture">
                      <pic:pic>
                        <pic:nvPicPr>
                          <pic:cNvPr id="21611226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Logging Pipeline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Mediator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Policy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Projection (Policy)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Query (Hexagonal Port, 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QueryHandler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ReadModel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Data 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RepositoryImplementation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Service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RepositoryInterface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REST-API Hexagonal Adapter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REST-API Hexagonal Adapter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Process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REST-Endpoint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Send Integration Event (Policy)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Function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Validation Pipeline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Interaction</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23</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3" w:name="JR_PAGE_ANCHOR_0_24"/>
            <w:bookmarkEnd w:id="23"/>
            <w:r>
              <w:rPr/>
              <w:drawing>
                <wp:inline distT="0" distB="0" distL="0" distR="0">
                  <wp:extent cx="7556500" cy="635000"/>
                  <wp:effectExtent l="0" t="0" r="0" b="0"/>
                  <wp:docPr id="464831537" name="Picture">
</wp:docPr>
                  <a:graphic>
                    <a:graphicData uri="http://schemas.openxmlformats.org/drawingml/2006/picture">
                      <pic:pic>
                        <pic:nvPicPr>
                          <pic:cNvPr id="46483153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WebHook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Interface</w:t>
            </w:r>
          </w:p>
        </w:tc>
        <w:tc>
          <w:tcPr>
     </w:tcPr>
          <w:p>
            <w:pPr>
              <w:pStyle w:val="EMPTY_CELL_STYLE"/>
            </w:pPr>
          </w:p>
        </w:tc>
      </w:tr>
      <w:tr>
        <w:trPr>
          <w:trHeight w:hRule="exact" w:val="139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24</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4" w:name="JR_PAGE_ANCHOR_0_25"/>
            <w:bookmarkEnd w:id="24"/>
            <w:r>
              <w:rPr/>
              <w:drawing>
                <wp:inline distT="0" distB="0" distL="0" distR="0">
                  <wp:extent cx="7556500" cy="635000"/>
                  <wp:effectExtent l="0" t="0" r="0" b="0"/>
                  <wp:docPr id="1051304081" name="Picture">
</wp:docPr>
                  <a:graphic>
                    <a:graphicData uri="http://schemas.openxmlformats.org/drawingml/2006/picture">
                      <pic:pic>
                        <pic:nvPicPr>
                          <pic:cNvPr id="105130408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Technology &amp; Physical Layer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 Dead Letter Channel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Path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 Message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 (Command)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 Queue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Path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 Reply Channel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Path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Bus Topic</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Path</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Bytes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 (Command)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HTTP-Request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 (Command)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HTTP-Request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 (Command)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HTTP-Response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 (Command)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Integration Event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JSON-Object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 (Command)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ReadModel Database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WriteModel DataBase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Node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Интеграционное событие</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Technology Event</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25</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5" w:name="JR_PAGE_ANCHOR_0_26"/>
            <w:bookmarkEnd w:id="25"/>
            <w:r>
              <w:rPr/>
              <w:drawing>
                <wp:inline distT="0" distB="0" distL="0" distR="0">
                  <wp:extent cx="7556500" cy="635000"/>
                  <wp:effectExtent l="0" t="0" r="0" b="0"/>
                  <wp:docPr id="1775746074" name="Picture">
</wp:docPr>
                  <a:graphic>
                    <a:graphicData uri="http://schemas.openxmlformats.org/drawingml/2006/picture">
                      <pic:pic>
                        <pic:nvPicPr>
                          <pic:cNvPr id="177574607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Сообщение Команды</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 (Command)</w:t>
            </w:r>
          </w:p>
        </w:tc>
        <w:tc>
          <w:tcPr>
     </w:tcPr>
          <w:p>
            <w:pPr>
              <w:pStyle w:val="EMPTY_CELL_STYLE"/>
            </w:pPr>
          </w:p>
        </w:tc>
      </w:tr>
      <w:tr>
        <w:trPr>
          <w:trHeight w:hRule="exact" w:val="13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26</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6" w:name="JR_PAGE_ANCHOR_0_27"/>
            <w:bookmarkEnd w:id="26"/>
            <w:r>
              <w:rPr/>
              <w:drawing>
                <wp:inline distT="0" distB="0" distL="0" distR="0">
                  <wp:extent cx="7556500" cy="635000"/>
                  <wp:effectExtent l="0" t="0" r="0" b="0"/>
                  <wp:docPr id="717249075" name="Picture">
</wp:docPr>
                  <a:graphic>
                    <a:graphicData uri="http://schemas.openxmlformats.org/drawingml/2006/picture">
                      <pic:pic>
                        <pic:nvPicPr>
                          <pic:cNvPr id="71724907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Motivation</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"So, design ≈ cost ≈ change ≈ big change ≈ coupling. Transitively, software design ≈ managing coupling." -- Kent Beck</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@banofbot может быть использован для атаки против ценных участников сообщества и необратимого уничтожения их информации в паблике.</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Assessment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Constraint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Constraint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Driver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Goal</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Requirement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Stakeholder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Адресовать запросы в первую очередь к участникам, обладающим наивысшим уровнем экспертности, выраженной конкретным опытом, ценность которого подтверждена другими членами организации.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Артефакты должны классифицироваться по компетенциям</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2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В процессе конструирования кода, 91% времени (в лучшем случае) занимает именно чтение кода и борьба со сложностью (каждым разработчиком постоянно), и только 9% времени (1:10) занимает ввод символов с клавиатуры (одним разработчиком единократно)</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В экспертные сообщества нередко обращаются за услугами консалтинга</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27</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27" w:name="JR_PAGE_ANCHOR_0_28"/>
            <w:bookmarkEnd w:id="27"/>
            <w:r>
              <w:rPr/>
              <w:drawing>
                <wp:inline distT="0" distB="0" distL="0" distR="0">
                  <wp:extent cx="7556500" cy="635000"/>
                  <wp:effectExtent l="0" t="0" r="0" b="0"/>
                  <wp:docPr id="289214325" name="Picture">
</wp:docPr>
                  <a:graphic>
                    <a:graphicData uri="http://schemas.openxmlformats.org/drawingml/2006/picture">
                      <pic:pic>
                        <pic:nvPicPr>
                          <pic:cNvPr id="28921432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Ввести внутреннюю систему ценностей в виде квалификационной классности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4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вклад и квалификация члена Организации оцениваются одновременно и неразрывно, как и неразрывны теория с практикой; вклад не обязан быть кем-то оцененным, если он не отражает квалификацию исполнителя в виде конкретной ценности для достижения уставных целей Организации, а без практического вклада оценить отдельно квалификацию система тоже не позволяет; рекомендация означает признание экспертности члена Организации, выраженной на примере конкретного практического опыта, другими членами Организации.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Восстановить процентное содержание качественной информации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Высокая стоимость внемения изменения в реализацию</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Голос участника опроса должен учитываться с учетом весового коэффициента его квалификационного класса</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0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Грамотные специалисты не всегда спешат ввязываться во флейм с малограмотными оппонентами. Зачастую это приводит к их демотивации и самоустранению из пабликов.</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Демотивация</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Дисбаланс в пользу краткосрочных бизнес-интересов в ущерб долгосрочным техническим интересам (Spaghetti code)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82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https://dckms.github.io/system-architecture/emacsway/it/sdlc/models/agile/analysis/concerns/balancing-business-technical-concerns.html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Допускается одна рекомендация рекомендующего за один конкретный артефакт рекомендуемого.</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8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28</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8" w:name="JR_PAGE_ANCHOR_0_29"/>
            <w:bookmarkEnd w:id="28"/>
            <w:r>
              <w:rPr/>
              <w:drawing>
                <wp:inline distT="0" distB="0" distL="0" distR="0">
                  <wp:extent cx="7556500" cy="635000"/>
                  <wp:effectExtent l="0" t="0" r="0" b="0"/>
                  <wp:docPr id="1276365319" name="Picture">
</wp:docPr>
                  <a:graphic>
                    <a:graphicData uri="http://schemas.openxmlformats.org/drawingml/2006/picture">
                      <pic:pic>
                        <pic:nvPicPr>
                          <pic:cNvPr id="127636531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Дросселировать информацию от участников с невысоким уровнем квалификации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Зависимое положение исполнителя от оценки/рекомендации заказчика.</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Заказчик не осведомлен об объективной квалификации исполнителя.</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Заказчики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Закоммерциализированные сертификаты зачастую не отражают реальный уровень квалификации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Захламленность информационного пространства</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Защитить социальное положение грамотных специалистов как источников качественной информации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Защитить ценную информацию и ценных участников от атак.</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Исключить влияние эффекта Даннинга-Крюгера на качество информационного пространства</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Исполнители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Каждый участник может отдать 20 рекомендаций (признаний) в год в пользу других участников.</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Квалификационный голод малых компаний</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24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Квалифицированные кадры не видят репутационной и карьерной привлекательности в вакансиях малых компаний на постоянной форме занятости (по причине повышенных финансовых рисков, невысокой карьерной целесообразности и недостаточной конкурентноспособности </w:t>
            </w: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29</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29" w:name="JR_PAGE_ANCHOR_0_30"/>
            <w:bookmarkEnd w:id="29"/>
            <w:r>
              <w:rPr/>
              <w:drawing>
                <wp:inline distT="0" distB="0" distL="0" distR="0">
                  <wp:extent cx="7556500" cy="635000"/>
                  <wp:effectExtent l="0" t="0" r="0" b="0"/>
                  <wp:docPr id="259604245" name="Picture">
</wp:docPr>
                  <a:graphic>
                    <a:graphicData uri="http://schemas.openxmlformats.org/drawingml/2006/picture">
                      <pic:pic>
                        <pic:nvPicPr>
                          <pic:cNvPr id="2596042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зарплат)</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2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Квалифицировать должно лицо, обладающее способностями объективной квалификации, т.е. квалифицировать должен специалист с известным/подтвержденным уровнем квалификации не ниже уровня квалифицируемого, а не заказчик.</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Количество голосов, требуемых для блокирования участника, должно учитывать уровень его квалификации.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Компенсировать зависимость исполнителя от оценки заказчика (на краткосрочном горизонте) введением зависимости от перспектив (на долгосрочном горизонте).</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Конкуренция сертификационных организаций склоняет их к достижению рыночной гегемонии путем формирования приоритета на количество выпущенных сертификатов в ущерб качеству.</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Консалтинг</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Конфликт интересов сертификационных организаций, финансирование которых находится в зависимости от количества претендентов и проданных курсов подготовки.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2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Любой эталон является планкой (барьером), очерчивающей горизонт развития. Взятие планки останавливает развитие, а не стимулирует. Это неприемлемо для таких наукоемких и постоянно эволюционирующих отраслей, как ИТ.</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Максимизировать объективность квалифицирования</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Многие системы тестирования слабо защищены технически от обмана (например, допускают вмешательство в работу JavaScript кода web-страницы).</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6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30</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0" w:name="JR_PAGE_ANCHOR_0_31"/>
            <w:bookmarkEnd w:id="30"/>
            <w:r>
              <w:rPr/>
              <w:drawing>
                <wp:inline distT="0" distB="0" distL="0" distR="0">
                  <wp:extent cx="7556500" cy="635000"/>
                  <wp:effectExtent l="0" t="0" r="0" b="0"/>
                  <wp:docPr id="178838760" name="Picture">
</wp:docPr>
                  <a:graphic>
                    <a:graphicData uri="http://schemas.openxmlformats.org/drawingml/2006/picture">
                      <pic:pic>
                        <pic:nvPicPr>
                          <pic:cNvPr id="17883876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Мотивировать участников к повышению качества публикуемой ими информации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2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Наделить высококвалифицированных специалистов мерами административного воздействия, например, предоставить право установления временного запрета на публикацию сообщений в тг-канале.</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2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Наличие эталона подразумевает монополию на компетентность, что вызывает вопрос доверия к ней. Нередко экзаменуемый демонстрирует большую компетентностью, нежели экзаменатор, что ограничивает развитие остальных уровнем экзаменатора.</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Неизменяемый лог рекомендаций</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Неясные интерфейсы и именования требуют затрат времени на изучение реализации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Низкая эффективность грейдов на основе матриц компетентности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Низкое качество ПО</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Новичкам не всегда понятно кого слушать, т.к. у них не сформированы критерии оценки.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5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Обеспечить квалификационную классификацию на основе хорошо зарекомендовавшего себя на практике алгоритма спортивной разрядности, где уровень мастерства спортсмена определяется относительно известного (т.е. доказанного) уровня мастерства других спортсменов.Т.е., по сути, методом сравнительного анализа.</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Обеспечить максимальную полноту передачи (на основе принципа соразмерности) экспертности своих участников в представлениях экспертно-рекомендательных органов Организации.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6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31</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1" w:name="JR_PAGE_ANCHOR_0_32"/>
            <w:bookmarkEnd w:id="31"/>
            <w:r>
              <w:rPr/>
              <w:drawing>
                <wp:inline distT="0" distB="0" distL="0" distR="0">
                  <wp:extent cx="7556500" cy="635000"/>
                  <wp:effectExtent l="0" t="0" r="0" b="0"/>
                  <wp:docPr id="1726032955" name="Picture">
</wp:docPr>
                  <a:graphic>
                    <a:graphicData uri="http://schemas.openxmlformats.org/drawingml/2006/picture">
                      <pic:pic>
                        <pic:nvPicPr>
                          <pic:cNvPr id="172603295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Обеспечить представление о компетенциях (областях знаний) исполнителя</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Обеспечить представление об уровне квалификации участников</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Обеспечить прозрачность происхождения уровня квалификации и её аудируемость</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Principle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Одна рекомендация от участника претендуемого (или более высокого) квалификационного класса равноценна двум рекомендациям от участников текущего квалификационного класса.</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Основанием для каждой рекомендации должен служить факт конкретного вклада участника в достижение целей Организации.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Отвлечение ресурсов времени специалистов на нерелевантные аспекты знаний в ущерб релевантным.</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Падение velocity. В основу метафоры "технический долг" положено правило "сложного процента", возрастающего в геометрической прогрессии.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Перерасход средств по стоимости разработки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Понижение уровня реиспользования кода, рост дубликатов</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Поставщики услуг outsourcing marketplaces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Потребители услуг outsourcing marketplaces</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предлагаемые артефакты могут проходить процедуру одобрения Комитетом Организации по его усмотрению.</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4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32</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2" w:name="JR_PAGE_ANCHOR_0_33"/>
            <w:bookmarkEnd w:id="32"/>
            <w:r>
              <w:rPr/>
              <w:drawing>
                <wp:inline distT="0" distB="0" distL="0" distR="0">
                  <wp:extent cx="7556500" cy="635000"/>
                  <wp:effectExtent l="0" t="0" r="0" b="0"/>
                  <wp:docPr id="1301228797" name="Picture">
</wp:docPr>
                  <a:graphic>
                    <a:graphicData uri="http://schemas.openxmlformats.org/drawingml/2006/picture">
                      <pic:pic>
                        <pic:nvPicPr>
                          <pic:cNvPr id="130122879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представление нанимателю данных об уровне экспертности члена Организации (по его желанию), выраженного конкретным опытом, ценность которого подтверждена другими членами Организации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Работодатели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Разные участники организации обладают различным уровнем экспертности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Рассматриваемый единовременно уровень сложности (Coupling) должен быть меньше ограничения краткосрочной памяти человека (З-н магического числа 7 ± 2).</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Результат тестирования нередко можно купить или поделать.</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Рейтинги не дают представления о компетенциях исполнителя</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Рекомендации от участников более низкого квалификационного класса не допускаются.</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рекомендуемая трудоемкость одного артефакта на каждого его исполнителя должна составлять от 20 до 80 часов; маленькие артефакты рекомендуется группировать, большие - декомпозировать;</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Рост когнитивной нагрузки на практикующего специалиста</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5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Самообразование и обретение опыта требуют затрат времени, поэтому грамотные специалисты стеснены в свободным времени, что зачастую приводит к гегемонии бескомпетентности в информационном пространстве экспертных сообществ - от этого страдает большинство технических пабликов.</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16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Система рейтингов подрядных бирж отражает не уровень квалификации, а уровень лояльности исполнителя, ибо если бы заказчик был способен оценить компетентность, то он не обращался бы за этой </w:t>
            </w: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33</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3" w:name="JR_PAGE_ANCHOR_0_34"/>
            <w:bookmarkEnd w:id="33"/>
            <w:r>
              <w:rPr/>
              <w:drawing>
                <wp:inline distT="0" distB="0" distL="0" distR="0">
                  <wp:extent cx="7556500" cy="635000"/>
                  <wp:effectExtent l="0" t="0" r="0" b="0"/>
                  <wp:docPr id="508397424" name="Picture">
</wp:docPr>
                  <a:graphic>
                    <a:graphicData uri="http://schemas.openxmlformats.org/drawingml/2006/picture">
                      <pic:pic>
                        <pic:nvPicPr>
                          <pic:cNvPr id="50839742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компетентностью на биржу.</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Системы тестирования зачастую обросли шпаргалками, которые специалист может выучить за один-два вечера.</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Сложность выбора квалифицированного исполнителя</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Сотрудники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Спам в пабликах</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Специалисты отрасти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Стесненностью ресурсов времени практикующих специалистов на освоение информации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Стимулировать развитие участников</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Стоимость дорогих изменений образуется стоимостью каскадных изменений, которые образуются High Coupling</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Тестирование не отражает ни широты, на глубины знаний, ни способности специалиста применять эти знания на практике.</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Тестирование основано на сопоставлении с образцом (эталоном) компетентности.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0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Традиционные методы голосования не позволяют в полной мере отразить отразить экспертность в рекомендациях добровольных совещательных органов</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9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34</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20"/>
        <w:gridCol w:w="2980"/>
        <w:gridCol w:w="5080"/>
        <w:gridCol w:w="1620"/>
        <w:gridCol w:w="600"/>
        <w:gridCol w:w="1"/>
      </w:tblGrid>
      <w:tr>
        <w:trPr>
          <w:trHeight w:hRule="exact" w:val="1000"/>
        </w:trPr>
        <w:tc>
          <w:tcPr>
            <w:gridSpan w:val="7"/>
            <w:tcMar>
              <w:top w:w="0" w:type="dxa"/>
              <w:left w:w="0" w:type="dxa"/>
              <w:bottom w:w="0" w:type="dxa"/>
              <w:right w:w="0" w:type="dxa"/>
            </w:tcMar>
            <w:vAlign w:val="top"/>
          </w:tcPr>
          <w:p>
            <w:pPr>
              <w:pageBreakBefore/>
              <w:jc w:val="left"/>
              <w:spacing w:lineRule="auto" w:line="240" w:after="0" w:before="0"/>
            </w:pPr>
            <w:bookmarkStart w:id="34" w:name="JR_PAGE_ANCHOR_0_35"/>
            <w:bookmarkEnd w:id="34"/>
            <w:r>
              <w:rPr/>
              <w:drawing>
                <wp:inline distT="0" distB="0" distL="0" distR="0">
                  <wp:extent cx="7556500" cy="635000"/>
                  <wp:effectExtent l="0" t="0" r="0" b="0"/>
                  <wp:docPr id="347419231" name="Picture">
</wp:docPr>
                  <a:graphic>
                    <a:graphicData uri="http://schemas.openxmlformats.org/drawingml/2006/picture">
                      <pic:pic>
                        <pic:nvPicPr>
                          <pic:cNvPr id="34741923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50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Требуемые количества рекомендаций по квалификационным классам: эксперт - 20 рекомендаций Экспертов; кандидат в эксперты - 10 рекомендаций Кандидатов в эксперты; 1 класс - 7 рекомендаций 1-го класса; 2 класс - 5 рекомендаций 2-го класса; 3 класс - 3 рекомендации 3-го класса; без класса - по умолчанию.</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0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Удовлетворение квалификационного голода малых компаний на основе нерегулярной частичной форме занятости высококвалифицированных специалистов (консалтинг).</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Укрепить репутацию экспертного сообщества</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Уровень зарплаты специалиста зачастую не коррелирует с реальным уровнем квалификации</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Ухудшение внутреннего качества программы</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60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Участники сообщества могут банить спамеров, используя, например, @banofbot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https://github.com/backmeupplz/banofbot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Участники экспертных сообществ</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500"/>
        </w:trPr>
        <w:tc>
          <w:tcPr>
     </w:tcPr>
          <w:p>
            <w:pPr>
              <w:pStyle w:val="EMPTY_CELL_STYLE"/>
            </w:pPr>
          </w:p>
        </w:tc>
        <w:tc>
          <w:tcPr>
            <w:gridSpan w:val="5"/>
            <w:tcMar>
              <w:top w:w="0" w:type="dxa"/>
              <w:left w:w="0" w:type="dxa"/>
              <w:bottom w:w="0" w:type="dxa"/>
              <w:right w:w="0" w:type="dxa"/>
            </w:tcMar>
            <w:vAlign w:val="top"/>
          </w:tcPr>
          <w:p>
            <w:pPr>
              <w:pStyle w:val="Normal"/>
              <w:ind/>
            </w:pPr>
            <w:r>
              <w:rPr>
                <w:sz w:val="26"/>
              </w:rPr>
              <w:t xml:space="preserve">💬 "There's a definite Dunning-Kruger effect for authors. The people who hold a ton of knowledge hesitate because they find their insights "obvious" or "nothing special". Then you have people who write a lot but do little real work that they could base their writing on..." -- Gregor Hohpe https://twitter.com/ghohpe/status/1332200805852606470?s=20</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gridSpan w:val="2"/>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660"/>
        </w:trPr>
        <w:tc>
          <w:tcPr>
     </w:tcPr>
          <w:p>
            <w:pPr>
              <w:pStyle w:val="EMPTY_CELL_STYLE"/>
            </w:pPr>
          </w:p>
        </w:tc>
        <w:tc>
          <w:tcPr>
     </w:tcPr>
          <w:p>
            <w:pPr>
              <w:pStyle w:val="EMPTY_CELL_STYLE"/>
            </w:pPr>
          </w:p>
        </w:tc>
        <w:tc>
          <w:tcPr>
            <w:gridSpan w:val="4"/>
            <w:tcBorders>
              <w:left w:val="single" w:sz="16" w:space="0" w:color="A2C7DA"/>
            </w:tcBorders>
            <w:tcMar>
              <w:top w:w="0" w:type="dxa"/>
              <w:left w:w="100" w:type="dxa"/>
              <w:bottom w:w="0" w:type="dxa"/>
              <w:right w:w="0" w:type="dxa"/>
            </w:tcMar>
            <w:vAlign w:val="top"/>
          </w:tcPr>
          <w:p>
            <w:pPr>
              <w:pStyle w:val="Documentation"/>
              <w:ind/>
            </w:pPr>
            <w:r>
              <w:rPr>
       </w:rPr>
              <w:t xml:space="preserve">- https://twitter.com/ghohpe/status/1332200805852606470?s=20</w:t>
              <w:br/>
              <w:br/>
              <w:t xml:space="preserve">- https://ru.wikipedia.org/wiki/%D0%AD%D1%84%D1%84%D0%B5%D0%BA%D1%82_%D0%94%D0%B0%D0%BD%D0%BD%D0%B8%D0%BD%D0%B3%D0%B0_%E2%80%94_%D0%9A%D1%80%D1%8E%D0%B3%D0%B5%D1%80%D0%B0</w:t>
              <w:br/>
            </w:r>
          </w:p>
        </w:tc>
        <w:tc>
          <w:tcPr>
     </w:tcPr>
          <w:p>
            <w:pPr>
              <w:pStyle w:val="EMPTY_CELL_STYLE"/>
            </w:pPr>
          </w:p>
        </w:tc>
      </w:tr>
      <w:tr>
        <w:trPr>
          <w:trHeight w:hRule="exact" w:val="11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3"/>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35</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5" w:name="JR_PAGE_ANCHOR_0_36"/>
            <w:bookmarkEnd w:id="35"/>
            <w:r>
              <w:rPr/>
              <w:drawing>
                <wp:inline distT="0" distB="0" distL="0" distR="0">
                  <wp:extent cx="7556500" cy="635000"/>
                  <wp:effectExtent l="0" t="0" r="0" b="0"/>
                  <wp:docPr id="473030237" name="Picture">
</wp:docPr>
                  <a:graphic>
                    <a:graphicData uri="http://schemas.openxmlformats.org/drawingml/2006/picture">
                      <pic:pic>
                        <pic:nvPicPr>
                          <pic:cNvPr id="47303023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Other</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Application Layer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Domain Layer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Grade BC</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Identity BC</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36</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6" w:name="JR_PAGE_ANCHOR_0_37"/>
            <w:bookmarkEnd w:id="36"/>
            <w:r>
              <w:rPr/>
              <w:drawing>
                <wp:inline distT="0" distB="0" distL="0" distR="0">
                  <wp:extent cx="7556500" cy="635000"/>
                  <wp:effectExtent l="0" t="0" r="0" b="0"/>
                  <wp:docPr id="533053618" name="Picture">
</wp:docPr>
                  <a:graphic>
                    <a:graphicData uri="http://schemas.openxmlformats.org/drawingml/2006/picture">
                      <pic:pic>
                        <pic:nvPicPr>
                          <pic:cNvPr id="53305361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Junction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Project Management BC</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Telegram BC</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Voting BC</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Grouping</w:t>
            </w:r>
          </w:p>
        </w:tc>
        <w:tc>
          <w:tcPr>
     </w:tcPr>
          <w:p>
            <w:pPr>
              <w:pStyle w:val="EMPTY_CELL_STYLE"/>
            </w:pPr>
          </w:p>
        </w:tc>
      </w:tr>
      <w:tr>
        <w:trPr>
          <w:trHeight w:hRule="exact" w:val="10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37</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7" w:name="JR_PAGE_ANCHOR_0_38"/>
            <w:bookmarkEnd w:id="37"/>
            <w:r>
              <w:rPr/>
              <w:drawing>
                <wp:inline distT="0" distB="0" distL="0" distR="0">
                  <wp:extent cx="7556500" cy="635000"/>
                  <wp:effectExtent l="0" t="0" r="0" b="0"/>
                  <wp:docPr id="1242315432" name="Picture">
</wp:docPr>
                  <a:graphic>
                    <a:graphicData uri="http://schemas.openxmlformats.org/drawingml/2006/picture">
                      <pic:pic>
                        <pic:nvPicPr>
                          <pic:cNvPr id="124231543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gridSpan w:val="4"/>
            <w:tcMar>
              <w:top w:w="0" w:type="dxa"/>
              <w:left w:w="0" w:type="dxa"/>
              <w:bottom w:w="0" w:type="dxa"/>
              <w:right w:w="0" w:type="dxa"/>
            </w:tcMar>
            <w:vAlign w:val="top"/>
          </w:tcPr>
          <w:p>
            <w:pPr>
              <w:pStyle w:val="Title 1"/>
              <w:ind/>
            </w:pPr>
            <w:r>
              <w:rPr>
       </w:rPr>
              <w:t xml:space="preserve">Relations</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Kafka Subscriber Hexagonal Adapter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Command (Hexagonal Port,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ProposeArtifact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Domain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Another Aggregate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Queue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ProposeArtifact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ArtifactIsProposed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ProposeArtifact</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Основанием для каждой рекомендации должен служить факт конкретного вклада участника в достижение целей Организации.</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8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38</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8" w:name="JR_PAGE_ANCHOR_0_39"/>
            <w:bookmarkEnd w:id="38"/>
            <w:r>
              <w:rPr/>
              <w:drawing>
                <wp:inline distT="0" distB="0" distL="0" distR="0">
                  <wp:extent cx="7556500" cy="635000"/>
                  <wp:effectExtent l="0" t="0" r="0" b="0"/>
                  <wp:docPr id="1542792163" name="Picture">
</wp:docPr>
                  <a:graphic>
                    <a:graphicData uri="http://schemas.openxmlformats.org/drawingml/2006/picture">
                      <pic:pic>
                        <pic:nvPicPr>
                          <pic:cNvPr id="154279216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DomainEvent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Logging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Gateway (with Transactional Outbox)</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Integration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Competence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Tenant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Низкая эффективность грейдов на основе матриц компетентности</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Работодатели</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Команда</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72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Конфликт интересов сертификационных организаций, финансирование которых находится в зависимости от количества претендентов и проданных курсов подготовки.</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Закоммерциализированные сертификаты зачастую не отражают реальный уровень квалификации</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Kafka Subscriber Hexagonal Adapter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Разные участники организации обладают различным уровнем экспертности</w:t>
            </w:r>
          </w:p>
        </w:tc>
        <w:tc>
          <w:tcPr>
     </w:tcPr>
          <w:p>
            <w:pPr>
              <w:pStyle w:val="EMPTY_CELL_STYLE"/>
            </w:pPr>
          </w:p>
        </w:tc>
      </w:tr>
      <w:tr>
        <w:trPr>
          <w:trHeight w:hRule="exact" w:val="40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Традиционные методы голосования не позволяют в полной мере отразить отразить экспертность в рекомендациях добровольных совещательных органов</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39</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39" w:name="JR_PAGE_ANCHOR_0_40"/>
            <w:bookmarkEnd w:id="39"/>
            <w:r>
              <w:rPr/>
              <w:drawing>
                <wp:inline distT="0" distB="0" distL="0" distR="0">
                  <wp:extent cx="7556500" cy="635000"/>
                  <wp:effectExtent l="0" t="0" r="0" b="0"/>
                  <wp:docPr id="971497536" name="Picture">
</wp:docPr>
                  <a:graphic>
                    <a:graphicData uri="http://schemas.openxmlformats.org/drawingml/2006/picture">
                      <pic:pic>
                        <pic:nvPicPr>
                          <pic:cNvPr id="97149753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Ухудшение внутреннего качества программы</w:t>
            </w:r>
          </w:p>
        </w:tc>
        <w:tc>
          <w:tcPr>
     </w:tcPr>
          <w:p>
            <w:pPr>
              <w:pStyle w:val="EMPTY_CELL_STYLE"/>
            </w:pPr>
          </w:p>
        </w:tc>
      </w:tr>
      <w:tr>
        <w:trPr>
          <w:trHeight w:hRule="exact" w:val="64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В процессе конструирования кода, 91% времени (в лучшем случае) занимает именно чтение кода и борьба со сложностью (каждым разработчиком постоянно), и только 9% времени (1:10) занимает ввод символов с клавиатуры (одним разработчиком единократно)</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AvailableEndorsementsExceeded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Команда</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Доменное событие</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Количество голосов, требуемых для блокирования участника, должно учитывать уровень его квалификации.</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Защитить ценную информацию и ценных участников от атак.</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Модель Чтения</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Агрегат</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96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Квалифицировать должно лицо, обладающее способностями объективной квалификации, т.е. квалифицировать должен специалист с известным/подтвержденным уровнем квалификации не ниже уровня квалифицируемого, а не заказчик.</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Максимизировать объективность квалифицирования</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PendingArtifacts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EndorsementReleased</w:t>
            </w:r>
          </w:p>
        </w:tc>
        <w:tc>
          <w:tcPr>
     </w:tcPr>
          <w:p>
            <w:pPr>
              <w:pStyle w:val="EMPTY_CELL_STYLE"/>
            </w:pPr>
          </w:p>
        </w:tc>
      </w:tr>
      <w:tr>
        <w:trPr>
          <w:trHeight w:hRule="exact" w:val="2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40</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0" w:name="JR_PAGE_ANCHOR_0_41"/>
            <w:bookmarkEnd w:id="40"/>
            <w:r>
              <w:rPr/>
              <w:drawing>
                <wp:inline distT="0" distB="0" distL="0" distR="0">
                  <wp:extent cx="7556500" cy="635000"/>
                  <wp:effectExtent l="0" t="0" r="0" b="0"/>
                  <wp:docPr id="1484177113" name="Picture">
</wp:docPr>
                  <a:graphic>
                    <a:graphicData uri="http://schemas.openxmlformats.org/drawingml/2006/picture">
                      <pic:pic>
                        <pic:nvPicPr>
                          <pic:cNvPr id="148417711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Identity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User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Мотивировать участников к повышению качества публикуемой ими информации</w:t>
            </w:r>
          </w:p>
        </w:tc>
        <w:tc>
          <w:tcPr>
     </w:tcPr>
          <w:p>
            <w:pPr>
              <w:pStyle w:val="EMPTY_CELL_STYLE"/>
            </w:pPr>
          </w:p>
        </w:tc>
      </w:tr>
      <w:tr>
        <w:trPr>
          <w:trHeight w:hRule="exact" w:val="8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Самообразование и обретение опыта требуют затрат времени, поэтому грамотные специалисты стеснены в свободным времени, что зачастую приводит к гегемонии бескомпетентности в информационном пространстве экспертных сообществ - от этого страдает большинство технических пабликов.</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Domain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DomainEvent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Рекомендации от участников более низкого квалификационного класса не допускаются.</w:t>
            </w:r>
          </w:p>
        </w:tc>
        <w:tc>
          <w:tcPr>
     </w:tcPr>
          <w:p>
            <w:pPr>
              <w:pStyle w:val="EMPTY_CELL_STYLE"/>
            </w:pPr>
          </w:p>
        </w:tc>
      </w:tr>
      <w:tr>
        <w:trPr>
          <w:trHeight w:hRule="exact" w:val="64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Квалифицировать должно лицо, обладающее способностями объективной квалификации, т.е. квалифицировать должен специалист с известным/подтвержденным уровнем квалификации не ниже уровня квалифицируемого, а не заказчик.</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Moderator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REST-Endpoint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96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Одна рекомендация от участника претендуемого (или более высокого) квалификационного класса равноценна двум рекомендациям от участников текущего квалификационного класса.</w:t>
            </w:r>
          </w:p>
        </w:tc>
        <w:tc>
          <w:tcPr>
     </w:tcPr>
          <w:p>
            <w:pPr>
              <w:pStyle w:val="EMPTY_CELL_STYLE"/>
            </w:pPr>
          </w:p>
        </w:tc>
      </w:tr>
      <w:tr>
        <w:trPr>
          <w:trHeight w:hRule="exact" w:val="40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Квалифицировать должно лицо, обладающее способностями объективной квалификации, т.е. квалифицировать должен </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41</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1" w:name="JR_PAGE_ANCHOR_0_42"/>
            <w:bookmarkEnd w:id="41"/>
            <w:r>
              <w:rPr/>
              <w:drawing>
                <wp:inline distT="0" distB="0" distL="0" distR="0">
                  <wp:extent cx="7556500" cy="635000"/>
                  <wp:effectExtent l="0" t="0" r="0" b="0"/>
                  <wp:docPr id="2037835062" name="Picture">
</wp:docPr>
                  <a:graphic>
                    <a:graphicData uri="http://schemas.openxmlformats.org/drawingml/2006/picture">
                      <pic:pic>
                        <pic:nvPicPr>
                          <pic:cNvPr id="2037835062"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специалист с известным/подтвержденным уровнем квалификации не ниже уровня квалифицируемого, а не заказчик.</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Ухудшение внутреннего качества программы</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Стоимость дорогих изменений образуется стоимостью каскадных изменений, которые образуются High Coupling</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Максимизировать объективность квалифицирования</w:t>
            </w:r>
          </w:p>
        </w:tc>
        <w:tc>
          <w:tcPr>
     </w:tcPr>
          <w:p>
            <w:pPr>
              <w:pStyle w:val="EMPTY_CELL_STYLE"/>
            </w:pPr>
          </w:p>
        </w:tc>
      </w:tr>
      <w:tr>
        <w:trPr>
          <w:trHeight w:hRule="exact" w:val="64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Система рейтингов подрядных бирж отражает не уровень квалификации, а уровень лояльности исполнителя, ибо если бы заказчик был способен оценить компетентность, то он не обращался бы за этой компетентностью на биржу.</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Query (Hexagonal Port,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Агрегат</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null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Influence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Influence relation</w:t>
            </w:r>
          </w:p>
        </w:tc>
        <w:tc>
          <w:tcPr>
     </w:tcPr>
          <w:p>
            <w:pPr>
              <w:pStyle w:val="EMPTY_CELL_STYLE"/>
            </w:pPr>
          </w:p>
        </w:tc>
      </w:tr>
      <w:tr>
        <w:trPr>
          <w:trHeight w:hRule="exact" w:val="72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Падение velocity. В основу метафоры "технический долг" положено правило "сложного процента", возрастающего в геометрической прогрессии.</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Высокая стоимость внемения изменения в реализацию</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42</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2" w:name="JR_PAGE_ANCHOR_0_43"/>
            <w:bookmarkEnd w:id="42"/>
            <w:r>
              <w:rPr/>
              <w:drawing>
                <wp:inline distT="0" distB="0" distL="0" distR="0">
                  <wp:extent cx="7556500" cy="635000"/>
                  <wp:effectExtent l="0" t="0" r="0" b="0"/>
                  <wp:docPr id="1160845977" name="Picture">
</wp:docPr>
                  <a:graphic>
                    <a:graphicData uri="http://schemas.openxmlformats.org/drawingml/2006/picture">
                      <pic:pic>
                        <pic:nvPicPr>
                          <pic:cNvPr id="116084597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Projection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Голос участника опроса должен учитываться с учетом весового коэффициента его квалификационного класса</w:t>
            </w:r>
          </w:p>
        </w:tc>
        <w:tc>
          <w:tcPr>
     </w:tcPr>
          <w:p>
            <w:pPr>
              <w:pStyle w:val="EMPTY_CELL_STYLE"/>
            </w:pPr>
          </w:p>
        </w:tc>
      </w:tr>
      <w:tr>
        <w:trPr>
          <w:trHeight w:hRule="exact" w:val="40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Обеспечить максимальную полноту передачи (на основе принципа соразмерности) экспертности своих участников в представлениях экспертно-рекомендательных органов Организации.</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12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Квалифицированные кадры не видят репутационной и карьерной привлекательности в вакансиях малых компаний на постоянной форме занятости (по причине повышенных финансовых рисков, невысокой карьерной целесообразности и недостаточной конкурентноспособности зарплат)</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Квалификационный голод малых компаний</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WebHook</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Another Service/System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ReserveEndorsement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ReserveEndorsement</w:t>
            </w:r>
          </w:p>
        </w:tc>
        <w:tc>
          <w:tcPr>
     </w:tcPr>
          <w:p>
            <w:pPr>
              <w:pStyle w:val="EMPTY_CELL_STYLE"/>
            </w:pPr>
          </w:p>
        </w:tc>
      </w:tr>
      <w:tr>
        <w:trPr>
          <w:trHeight w:hRule="exact" w:val="9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43</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3" w:name="JR_PAGE_ANCHOR_0_44"/>
            <w:bookmarkEnd w:id="43"/>
            <w:r>
              <w:rPr/>
              <w:drawing>
                <wp:inline distT="0" distB="0" distL="0" distR="0">
                  <wp:extent cx="7556500" cy="635000"/>
                  <wp:effectExtent l="0" t="0" r="0" b="0"/>
                  <wp:docPr id="253983463" name="Picture">
</wp:docPr>
                  <a:graphic>
                    <a:graphicData uri="http://schemas.openxmlformats.org/drawingml/2006/picture">
                      <pic:pic>
                        <pic:nvPicPr>
                          <pic:cNvPr id="25398346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REST-API Hexagonal Adapter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HTTP-Response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AvailableEndorsementsExceeded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EndorsementReleased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 B</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72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представление нанимателю данных об уровне экспертности члена Организации (по его желанию), выраженного конкретным опытом, ценность которого подтверждена другими членами Организации</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Уровень зарплаты специалиста зачастую не коррелирует с реальным уровнем квалификации</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HTTP-Request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GradeAssigned</w:t>
            </w:r>
          </w:p>
        </w:tc>
        <w:tc>
          <w:tcPr>
     </w:tcPr>
          <w:p>
            <w:pPr>
              <w:pStyle w:val="EMPTY_CELL_STYLE"/>
            </w:pPr>
          </w:p>
        </w:tc>
      </w:tr>
      <w:tr>
        <w:trPr>
          <w:trHeight w:hRule="exact" w:val="8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Требуемые количества рекомендаций по квалификационным классам: эксперт - 20 рекомендаций Экспертов; кандидат в эксперты - 10 рекомендаций Кандидатов в эксперты; 1 класс - 7 рекомендаций 1-го класса; 2 класс - 5 рекомендаций 2-го класса; 3 класс - 3 рекомендации 3-го класса; без класса - по умолчанию.</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null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Обеспечить представление о компетенциях (областях знаний) исполнителя</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Рейтинги не дают представления о компетенциях исполнителя</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44</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4" w:name="JR_PAGE_ANCHOR_0_45"/>
            <w:bookmarkEnd w:id="44"/>
            <w:r>
              <w:rPr/>
              <w:drawing>
                <wp:inline distT="0" distB="0" distL="0" distR="0">
                  <wp:extent cx="7556500" cy="635000"/>
                  <wp:effectExtent l="0" t="0" r="0" b="0"/>
                  <wp:docPr id="1664738820" name="Picture">
</wp:docPr>
                  <a:graphic>
                    <a:graphicData uri="http://schemas.openxmlformats.org/drawingml/2006/picture">
                      <pic:pic>
                        <pic:nvPicPr>
                          <pic:cNvPr id="166473882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User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tcPr>
          <w:p>
            <w:pPr>
              <w:pStyle w:val="EMPTY_CELL_STYLE"/>
            </w:pPr>
          </w:p>
        </w:tc>
      </w:tr>
      <w:tr>
        <w:trPr>
          <w:trHeight w:hRule="exact" w:val="64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Одна рекомендация от участника претендуемого (или более высокого) квалификационного класса равноценна двум рекомендациям от участников текущего квалификационного класса.</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Logging Pipeline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Validation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Закоммерциализированные сертификаты зачастую не отражают реальный уровень квалификации</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Сотрудники</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Перерасход средств по стоимости разработки</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Потребители услуг outsourcing marketplaces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GOF Pattern Mediator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Kafka Subscriber Hexagonal Adapter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9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Обеспечить квалификационную классификацию на основе хорошо зарекомендовавшего себя на практике алгоритма спортивной разрядности, где уровень мастерства спортсмена определяется относительно известного (т.е. доказанного) уровня мастерства других спортсменов.Т.е., по сути, методом сравнительного </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45</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5" w:name="JR_PAGE_ANCHOR_0_46"/>
            <w:bookmarkEnd w:id="45"/>
            <w:r>
              <w:rPr/>
              <w:drawing>
                <wp:inline distT="0" distB="0" distL="0" distR="0">
                  <wp:extent cx="7556500" cy="635000"/>
                  <wp:effectExtent l="0" t="0" r="0" b="0"/>
                  <wp:docPr id="525154553" name="Picture">
</wp:docPr>
                  <a:graphic>
                    <a:graphicData uri="http://schemas.openxmlformats.org/drawingml/2006/picture">
                      <pic:pic>
                        <pic:nvPicPr>
                          <pic:cNvPr id="52515455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анализа.</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Обеспечить представление об уровне квалификации участников</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72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Удовлетворение квалификационного голода малых компаний на основе нерегулярной частичной форме занятости высококвалифицированных специалистов (консалтинг).</w:t>
            </w:r>
          </w:p>
        </w:tc>
        <w:tc>
          <w:tcPr>
     </w:tcPr>
          <w:p>
            <w:pPr>
              <w:pStyle w:val="EMPTY_CELL_STYLE"/>
            </w:pPr>
          </w:p>
        </w:tc>
      </w:tr>
      <w:tr>
        <w:trPr>
          <w:trHeight w:hRule="exact" w:val="8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Квалифицированные кадры не видят репутационной и карьерной привлекательности в вакансиях малых компаний на постоянной форме занятости (по причине повышенных финансовых рисков, невысокой карьерной целесообразности и недостаточной конкурентноспособности зарплат)</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Тестирование основано на сопоставлении с образцом (эталоном) компетентности.</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Закоммерциализированные сертификаты зачастую не отражают реальный уровень квалификации</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Domain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RepositoryInterface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Закоммерциализированные сертификаты зачастую не отражают реальный уровень квалификации</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Работодатели</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QueryHandler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ReadModel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Тестирование основано на сопоставлении с образцом (эталоном) компетентности.</w:t>
            </w:r>
          </w:p>
        </w:tc>
        <w:tc>
          <w:tcPr>
     </w:tcPr>
          <w:p>
            <w:pPr>
              <w:pStyle w:val="EMPTY_CELL_STYLE"/>
            </w:pPr>
          </w:p>
        </w:tc>
      </w:tr>
      <w:tr>
        <w:trPr>
          <w:trHeight w:hRule="exact" w:val="40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Многие системы тестирования слабо защищены технически от обмана (например, допускают вмешательство в работу JavaScript кода web-страницы).</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Query (Hexagonal Port, Interface)</w:t>
            </w:r>
          </w:p>
        </w:tc>
        <w:tc>
          <w:tcPr>
     </w:tcPr>
          <w:p>
            <w:pPr>
              <w:pStyle w:val="EMPTY_CELL_STYLE"/>
            </w:pPr>
          </w:p>
        </w:tc>
      </w:tr>
      <w:tr>
        <w:trPr>
          <w:trHeight w:hRule="exact" w:val="1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46</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6" w:name="JR_PAGE_ANCHOR_0_47"/>
            <w:bookmarkEnd w:id="46"/>
            <w:r>
              <w:rPr/>
              <w:drawing>
                <wp:inline distT="0" distB="0" distL="0" distR="0">
                  <wp:extent cx="7556500" cy="635000"/>
                  <wp:effectExtent l="0" t="0" r="0" b="0"/>
                  <wp:docPr id="1711573700" name="Picture">
</wp:docPr>
                  <a:graphic>
                    <a:graphicData uri="http://schemas.openxmlformats.org/drawingml/2006/picture">
                      <pic:pic>
                        <pic:nvPicPr>
                          <pic:cNvPr id="171157370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CommandHandler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null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ArtifactHasAlreadyBeenEndorsedForTheMember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ReleaseEndorsement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Competence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72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Компенсировать зависимость исполнителя от оценки заказчика (на краткосрочном горизонте) введением зависимости от перспектив (на долгосрочном горизонте).</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Зависимое положение исполнителя от оценки/рекомендации заказчика.</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QueryHandler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ReadModel Database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QueryHandler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Tenant</w:t>
            </w:r>
          </w:p>
        </w:tc>
        <w:tc>
          <w:tcPr>
     </w:tcPr>
          <w:p>
            <w:pPr>
              <w:pStyle w:val="EMPTY_CELL_STYLE"/>
            </w:pPr>
          </w:p>
        </w:tc>
      </w:tr>
      <w:tr>
        <w:trPr>
          <w:trHeight w:hRule="exact" w:val="5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47</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7" w:name="JR_PAGE_ANCHOR_0_48"/>
            <w:bookmarkEnd w:id="47"/>
            <w:r>
              <w:rPr/>
              <w:drawing>
                <wp:inline distT="0" distB="0" distL="0" distR="0">
                  <wp:extent cx="7556500" cy="635000"/>
                  <wp:effectExtent l="0" t="0" r="0" b="0"/>
                  <wp:docPr id="1214850053" name="Picture">
</wp:docPr>
                  <a:graphic>
                    <a:graphicData uri="http://schemas.openxmlformats.org/drawingml/2006/picture">
                      <pic:pic>
                        <pic:nvPicPr>
                          <pic:cNvPr id="121485005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GradeAssigned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SyncGrade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Moderator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Поставщики услуг outsourcing marketplaces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Исполнители</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Восстановить процентное содержание качественной информации</w:t>
            </w:r>
          </w:p>
        </w:tc>
        <w:tc>
          <w:tcPr>
     </w:tcPr>
          <w:p>
            <w:pPr>
              <w:pStyle w:val="EMPTY_CELL_STYLE"/>
            </w:pPr>
          </w:p>
        </w:tc>
      </w:tr>
      <w:tr>
        <w:trPr>
          <w:trHeight w:hRule="exact" w:val="8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Самообразование и обретение опыта требуют затрат времени, поэтому грамотные специалисты стеснены в свободным времени, что зачастую приводит к гегемонии бескомпетентности в информационном пространстве экспертных сообществ - от этого страдает большинство технических пабликов.</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JSON-RPC Hexagonal Adapter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Command (Hexagonal Port,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Тестирование основано на сопоставлении с образцом (эталоном) компетентности.</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Системы тестирования зачастую обросли шпаргалками, которые специалист может выучить за один-два вечера.</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HigherGradeCan'tBeEndorsed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WebHook</w:t>
            </w:r>
          </w:p>
        </w:tc>
        <w:tc>
          <w:tcPr>
     </w:tcPr>
          <w:p>
            <w:pPr>
              <w:pStyle w:val="EMPTY_CELL_STYLE"/>
            </w:pPr>
          </w:p>
        </w:tc>
      </w:tr>
      <w:tr>
        <w:trPr>
          <w:trHeight w:hRule="exact" w:val="4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48</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8" w:name="JR_PAGE_ANCHOR_0_49"/>
            <w:bookmarkEnd w:id="48"/>
            <w:r>
              <w:rPr/>
              <w:drawing>
                <wp:inline distT="0" distB="0" distL="0" distR="0">
                  <wp:extent cx="7556500" cy="635000"/>
                  <wp:effectExtent l="0" t="0" r="0" b="0"/>
                  <wp:docPr id="256167987" name="Picture">
</wp:docPr>
                  <a:graphic>
                    <a:graphicData uri="http://schemas.openxmlformats.org/drawingml/2006/picture">
                      <pic:pic>
                        <pic:nvPicPr>
                          <pic:cNvPr id="25616798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Участники экспертных сообществ</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Специалисты отрасти</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REST-Endpoint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Queue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REST-API Hexagonal Adapter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HTTP-Request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В экспертные сообщества нередко обращаются за услугами консалтинга</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Консалтинг</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Gateway (with Transactional Outbox)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Захламленность информационного пространства</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Рост когнитивной нагрузки на практикующего специалиста</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Заказчик не осведомлен об объективной квалификации исполнителя.</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Сложность выбора квалифицированного исполнителя</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Assessment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Низкое качество ПО</w:t>
            </w: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49</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49" w:name="JR_PAGE_ANCHOR_0_50"/>
            <w:bookmarkEnd w:id="49"/>
            <w:r>
              <w:rPr/>
              <w:drawing>
                <wp:inline distT="0" distB="0" distL="0" distR="0">
                  <wp:extent cx="7556500" cy="635000"/>
                  <wp:effectExtent l="0" t="0" r="0" b="0"/>
                  <wp:docPr id="1715781109" name="Picture">
</wp:docPr>
                  <a:graphic>
                    <a:graphicData uri="http://schemas.openxmlformats.org/drawingml/2006/picture">
                      <pic:pic>
                        <pic:nvPicPr>
                          <pic:cNvPr id="171578110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Демотивация</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EndorsementReceived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CompleteEndorsement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Query (Hexagonal Port,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QueryHandler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Tenant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ArtifactIsAccepted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Another Service/System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JSON-Object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EndorsementCompleted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Moderator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AcceptArtifact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AvailableEndorsementsExceeded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ReleaseEndorsement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50</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0" w:name="JR_PAGE_ANCHOR_0_51"/>
            <w:bookmarkEnd w:id="50"/>
            <w:r>
              <w:rPr/>
              <w:drawing>
                <wp:inline distT="0" distB="0" distL="0" distR="0">
                  <wp:extent cx="7556500" cy="635000"/>
                  <wp:effectExtent l="0" t="0" r="0" b="0"/>
                  <wp:docPr id="832248951" name="Picture">
</wp:docPr>
                  <a:graphic>
                    <a:graphicData uri="http://schemas.openxmlformats.org/drawingml/2006/picture">
                      <pic:pic>
                        <pic:nvPicPr>
                          <pic:cNvPr id="83224895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AnyMember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DomainEvent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SyncGrade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Dead Letter Channel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PendingArtifacts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null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Message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Command (Hexagonal Port,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REST-API Hexagonal Adapter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Command (Hexagonal Port,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96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Квалифицировать должно лицо, обладающее способностями объективной квалификации, т.е. квалифицировать должен специалист с известным/подтвержденным уровнем квалификации не ниже уровня квалифицируемого, а не заказчик.</w:t>
            </w:r>
          </w:p>
        </w:tc>
        <w:tc>
          <w:tcPr>
     </w:tcPr>
          <w:p>
            <w:pPr>
              <w:pStyle w:val="EMPTY_CELL_STYLE"/>
            </w:pPr>
          </w:p>
        </w:tc>
      </w:tr>
      <w:tr>
        <w:trPr>
          <w:trHeight w:hRule="exact" w:val="40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Компенсировать зависимость исполнителя от оценки заказчика (на краткосрочном горизонте) введением зависимости от перспектив (на долгосрочном горизонте).</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Консалтинг</w:t>
            </w: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51</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1" w:name="JR_PAGE_ANCHOR_0_52"/>
            <w:bookmarkEnd w:id="51"/>
            <w:r>
              <w:rPr/>
              <w:drawing>
                <wp:inline distT="0" distB="0" distL="0" distR="0">
                  <wp:extent cx="7556500" cy="635000"/>
                  <wp:effectExtent l="0" t="0" r="0" b="0"/>
                  <wp:docPr id="1471364137" name="Picture">
</wp:docPr>
                  <a:graphic>
                    <a:graphicData uri="http://schemas.openxmlformats.org/drawingml/2006/picture">
                      <pic:pic>
                        <pic:nvPicPr>
                          <pic:cNvPr id="1471364137"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Участники экспертных сообществ</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Influence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Influence relation</w:t>
            </w:r>
          </w:p>
        </w:tc>
        <w:tc>
          <w:tcPr>
     </w:tcPr>
          <w:p>
            <w:pPr>
              <w:pStyle w:val="EMPTY_CELL_STYLE"/>
            </w:pPr>
          </w:p>
        </w:tc>
      </w:tr>
      <w:tr>
        <w:trPr>
          <w:trHeight w:hRule="exact" w:val="96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Система рейтингов подрядных бирж отражает не уровень квалификации, а уровень лояльности исполнителя, ибо если бы заказчик был способен оценить компетентность, то он не обращался бы за этой компетентностью на биржу.</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Зависимое положение исполнителя от оценки/рекомендации заказчика.</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Стесненностью ресурсов времени практикующих специалистов на освоение информации</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Рост когнитивной нагрузки на практикующего специалиста</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Сообщение Команды</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Команда</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Identity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Logging Pipeline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36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Обеспечить квалификационную классификацию на основе хорошо зарекомендовавшего себя на практике алгоритма спортивной </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52</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2" w:name="JR_PAGE_ANCHOR_0_53"/>
            <w:bookmarkEnd w:id="52"/>
            <w:r>
              <w:rPr/>
              <w:drawing>
                <wp:inline distT="0" distB="0" distL="0" distR="0">
                  <wp:extent cx="7556500" cy="635000"/>
                  <wp:effectExtent l="0" t="0" r="0" b="0"/>
                  <wp:docPr id="1956095316" name="Picture">
</wp:docPr>
                  <a:graphic>
                    <a:graphicData uri="http://schemas.openxmlformats.org/drawingml/2006/picture">
                      <pic:pic>
                        <pic:nvPicPr>
                          <pic:cNvPr id="195609531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96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разрядности, где уровень мастерства спортсмена определяется относительно известного (т.е. доказанного) уровня мастерства других спортсменов.Т.е., по сути, методом сравнительного анализа.</w:t>
            </w:r>
          </w:p>
        </w:tc>
        <w:tc>
          <w:tcPr>
     </w:tcPr>
          <w:p>
            <w:pPr>
              <w:pStyle w:val="EMPTY_CELL_STYLE"/>
            </w:pPr>
          </w:p>
        </w:tc>
      </w:tr>
      <w:tr>
        <w:trPr>
          <w:trHeight w:hRule="exact" w:val="50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Ввести внутреннюю систему ценностей в виде квалификационной классности</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EndorsementReserved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EndorsementReserved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EndorseArtifact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Integration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96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Конкуренция сертификационных организаций склоняет их к достижению рыночной гегемонии путем формирования приоритета на количество выпущенных сертификатов в ущерб качеству.</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Закоммерциализированные сертификаты зачастую не отражают реальный уровень квалификации</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EndorsementCompleted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 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RepositoryInterface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RepositoryImplementation</w:t>
            </w:r>
          </w:p>
        </w:tc>
        <w:tc>
          <w:tcPr>
     </w:tcPr>
          <w:p>
            <w:pPr>
              <w:pStyle w:val="EMPTY_CELL_STYLE"/>
            </w:pPr>
          </w:p>
        </w:tc>
      </w:tr>
      <w:tr>
        <w:trPr>
          <w:trHeight w:hRule="exact" w:val="7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53</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3" w:name="JR_PAGE_ANCHOR_0_54"/>
            <w:bookmarkEnd w:id="53"/>
            <w:r>
              <w:rPr/>
              <w:drawing>
                <wp:inline distT="0" distB="0" distL="0" distR="0">
                  <wp:extent cx="7556500" cy="635000"/>
                  <wp:effectExtent l="0" t="0" r="0" b="0"/>
                  <wp:docPr id="694103323" name="Picture">
</wp:docPr>
                  <a:graphic>
                    <a:graphicData uri="http://schemas.openxmlformats.org/drawingml/2006/picture">
                      <pic:pic>
                        <pic:nvPicPr>
                          <pic:cNvPr id="69410332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Рост когнитивной нагрузки на практикующего специалиста</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Участники экспертных сообществ</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RepositoryInterface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Стимулировать развитие участников</w:t>
            </w:r>
          </w:p>
        </w:tc>
        <w:tc>
          <w:tcPr>
     </w:tcPr>
          <w:p>
            <w:pPr>
              <w:pStyle w:val="EMPTY_CELL_STYLE"/>
            </w:pPr>
          </w:p>
        </w:tc>
      </w:tr>
      <w:tr>
        <w:trPr>
          <w:trHeight w:hRule="exact" w:val="8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Самообразование и обретение опыта требуют затрат времени, поэтому грамотные специалисты стеснены в свободным времени, что зачастую приводит к гегемонии бескомпетентности в информационном пространстве экспертных сообществ - от этого страдает большинство технических пабликов.</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Tenant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ReserveEndorsement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Layer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JSON-Object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CommandHandler</w:t>
            </w:r>
          </w:p>
        </w:tc>
        <w:tc>
          <w:tcPr>
     </w:tcPr>
          <w:p>
            <w:pPr>
              <w:pStyle w:val="EMPTY_CELL_STYLE"/>
            </w:pPr>
          </w:p>
        </w:tc>
      </w:tr>
      <w:tr>
        <w:trPr>
          <w:trHeight w:hRule="exact" w:val="9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54</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4" w:name="JR_PAGE_ANCHOR_0_55"/>
            <w:bookmarkEnd w:id="54"/>
            <w:r>
              <w:rPr/>
              <w:drawing>
                <wp:inline distT="0" distB="0" distL="0" distR="0">
                  <wp:extent cx="7556500" cy="635000"/>
                  <wp:effectExtent l="0" t="0" r="0" b="0"/>
                  <wp:docPr id="685428529" name="Picture">
</wp:docPr>
                  <a:graphic>
                    <a:graphicData uri="http://schemas.openxmlformats.org/drawingml/2006/picture">
                      <pic:pic>
                        <pic:nvPicPr>
                          <pic:cNvPr id="68542852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72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Традиционные методы голосования не позволяют в полной мере отразить отразить экспертность в рекомендациях добровольных совещательных органов</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Участники экспертных сообществ</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Tenant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Goal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Политика</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Доменное событие</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Front Door Queue using message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Dead Letter Channel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Team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Рекомендации от участников более низкого квалификационного класса не допускаются.</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Domain Layer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55</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5" w:name="JR_PAGE_ANCHOR_0_56"/>
            <w:bookmarkEnd w:id="55"/>
            <w:r>
              <w:rPr/>
              <w:drawing>
                <wp:inline distT="0" distB="0" distL="0" distR="0">
                  <wp:extent cx="7556500" cy="635000"/>
                  <wp:effectExtent l="0" t="0" r="0" b="0"/>
                  <wp:docPr id="1777591638" name="Picture">
</wp:docPr>
                  <a:graphic>
                    <a:graphicData uri="http://schemas.openxmlformats.org/drawingml/2006/picture">
                      <pic:pic>
                        <pic:nvPicPr>
                          <pic:cNvPr id="177759163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HigherGradeCan'tBeEndorsed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Низкая эффективность грейдов на основе матриц компетентности</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Сотрудники</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Голос участника опроса должен учитываться с учетом весового коэффициента его квалификационного класса</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Защитить ценную информацию и ценных участников от атак.</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Тестирование основано на сопоставлении с образцом (эталоном) компетентности.</w:t>
            </w:r>
          </w:p>
        </w:tc>
        <w:tc>
          <w:tcPr>
     </w:tcPr>
          <w:p>
            <w:pPr>
              <w:pStyle w:val="EMPTY_CELL_STYLE"/>
            </w:pPr>
          </w:p>
        </w:tc>
      </w:tr>
      <w:tr>
        <w:trPr>
          <w:trHeight w:hRule="exact" w:val="64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Любой эталон является планкой (барьером), очерчивающей горизонт развития. Взятие планки останавливает развитие, а не стимулирует. Это неприемлемо для таких наукоемких и постоянно эволюционирующих отраслей, как ИТ.</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Queue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Message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Агрегат</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null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HigherGradeCan'tBeEndorsed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User</w:t>
            </w: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56</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6" w:name="JR_PAGE_ANCHOR_0_57"/>
            <w:bookmarkEnd w:id="56"/>
            <w:r>
              <w:rPr/>
              <w:drawing>
                <wp:inline distT="0" distB="0" distL="0" distR="0">
                  <wp:extent cx="7556500" cy="635000"/>
                  <wp:effectExtent l="0" t="0" r="0" b="0"/>
                  <wp:docPr id="665390309" name="Picture">
</wp:docPr>
                  <a:graphic>
                    <a:graphicData uri="http://schemas.openxmlformats.org/drawingml/2006/picture">
                      <pic:pic>
                        <pic:nvPicPr>
                          <pic:cNvPr id="66539030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HTTP-Request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ArtifactHasAlreadyBeenEndorsedForTheMember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ArtifactHasAlreadyBeenEndorsedForTheMember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Артефакты должны классифицироваться по компетенциям</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Обеспечить представление о компетенциях (областях знаний) исполнителя</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EndorseArtifact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ArtifactIsProposed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Moderator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ArtifactIsProposed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GOF Pattern Mediator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Projection (Policy)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ReadModel Database</w:t>
            </w:r>
          </w:p>
        </w:tc>
        <w:tc>
          <w:tcPr>
     </w:tcPr>
          <w:p>
            <w:pPr>
              <w:pStyle w:val="EMPTY_CELL_STYLE"/>
            </w:pPr>
          </w:p>
        </w:tc>
      </w:tr>
      <w:tr>
        <w:trPr>
          <w:trHeight w:hRule="exact" w:val="9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57</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7" w:name="JR_PAGE_ANCHOR_0_58"/>
            <w:bookmarkEnd w:id="57"/>
            <w:r>
              <w:rPr/>
              <w:drawing>
                <wp:inline distT="0" distB="0" distL="0" distR="0">
                  <wp:extent cx="7556500" cy="635000"/>
                  <wp:effectExtent l="0" t="0" r="0" b="0"/>
                  <wp:docPr id="1135930380" name="Picture">
</wp:docPr>
                  <a:graphic>
                    <a:graphicData uri="http://schemas.openxmlformats.org/drawingml/2006/picture">
                      <pic:pic>
                        <pic:nvPicPr>
                          <pic:cNvPr id="11359303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Ухудшение внутреннего качества программы</w:t>
            </w:r>
          </w:p>
        </w:tc>
        <w:tc>
          <w:tcPr>
     </w:tcPr>
          <w:p>
            <w:pPr>
              <w:pStyle w:val="EMPTY_CELL_STYLE"/>
            </w:pPr>
          </w:p>
        </w:tc>
      </w:tr>
      <w:tr>
        <w:trPr>
          <w:trHeight w:hRule="exact" w:val="40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Рассматриваемый единовременно уровень сложности (Coupling) должен быть меньше ограничения краткосрочной памяти человека (З-н магического числа 7 ± 2).</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Driver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Stakeholder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Tenant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EndorsementReceived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Mediator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Front Door Queue using message bus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Заказчик не осведомлен об объективной квалификации исполнителя.</w:t>
            </w:r>
          </w:p>
        </w:tc>
        <w:tc>
          <w:tcPr>
     </w:tcPr>
          <w:p>
            <w:pPr>
              <w:pStyle w:val="EMPTY_CELL_STYLE"/>
            </w:pPr>
          </w:p>
        </w:tc>
      </w:tr>
      <w:tr>
        <w:trPr>
          <w:trHeight w:hRule="exact" w:val="64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Система рейтингов подрядных бирж отражает не уровень квалификации, а уровень лояльности исполнителя, ибо если бы заказчик был способен оценить компетентность, то он не обращался бы за этой компетентностью на биржу.</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Актор</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Модель Чтения</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5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58</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8" w:name="JR_PAGE_ANCHOR_0_59"/>
            <w:bookmarkEnd w:id="58"/>
            <w:r>
              <w:rPr/>
              <w:drawing>
                <wp:inline distT="0" distB="0" distL="0" distR="0">
                  <wp:extent cx="7556500" cy="635000"/>
                  <wp:effectExtent l="0" t="0" r="0" b="0"/>
                  <wp:docPr id="1046396414" name="Picture">
</wp:docPr>
                  <a:graphic>
                    <a:graphicData uri="http://schemas.openxmlformats.org/drawingml/2006/picture">
                      <pic:pic>
                        <pic:nvPicPr>
                          <pic:cNvPr id="104639641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Дросселировать информацию от участников с невысоким уровнем квалификации</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Восстановить процентное содержание качественной информации</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Укрепить репутацию экспертного сообщества</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В экспертные сообщества нередко обращаются за услугами консалтинга</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Ухудшение внутреннего качества программы</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Понижение уровня реиспользования кода, рост дубликатов</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Bytes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 A</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Projection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Консалтинг</w:t>
            </w:r>
          </w:p>
        </w:tc>
        <w:tc>
          <w:tcPr>
     </w:tcPr>
          <w:p>
            <w:pPr>
              <w:pStyle w:val="EMPTY_CELL_STYLE"/>
            </w:pPr>
          </w:p>
        </w:tc>
      </w:tr>
      <w:tr>
        <w:trPr>
          <w:trHeight w:hRule="exact" w:val="40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Удовлетворение квалификационного голода малых компаний на основе нерегулярной частичной форме занятости высококвалифицированных специалистов (консалтинг).</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Ухудшение внутреннего качества программы</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Неясные интерфейсы и именования требуют затрат времени на изучение реализации</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7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59</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59" w:name="JR_PAGE_ANCHOR_0_60"/>
            <w:bookmarkEnd w:id="59"/>
            <w:r>
              <w:rPr/>
              <w:drawing>
                <wp:inline distT="0" distB="0" distL="0" distR="0">
                  <wp:extent cx="7556500" cy="635000"/>
                  <wp:effectExtent l="0" t="0" r="0" b="0"/>
                  <wp:docPr id="1706505865" name="Picture">
</wp:docPr>
                  <a:graphic>
                    <a:graphicData uri="http://schemas.openxmlformats.org/drawingml/2006/picture">
                      <pic:pic>
                        <pic:nvPicPr>
                          <pic:cNvPr id="170650586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AvailableEndorsementsExceeded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 A</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EndorsementReserved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Демотивация</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Поставщики услуг outsourcing marketplaces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Доменное событие</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Политика</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RecentArtifacts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HTTP-Request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Command (Hexagonal Port,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Сложность выбора квалифицированного исполнителя</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Перерасход средств по стоимости разработки</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4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Уровень зарплаты специалиста зачастую не коррелирует с реальным уровнем квалификации</w:t>
            </w:r>
          </w:p>
        </w:tc>
        <w:tc>
          <w:tcPr>
     </w:tcPr>
          <w:p>
            <w:pPr>
              <w:pStyle w:val="EMPTY_CELL_STYLE"/>
            </w:pPr>
          </w:p>
        </w:tc>
      </w:tr>
      <w:tr>
        <w:trPr>
          <w:trHeight w:hRule="exact" w:val="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60</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0" w:name="JR_PAGE_ANCHOR_0_61"/>
            <w:bookmarkEnd w:id="60"/>
            <w:r>
              <w:rPr/>
              <w:drawing>
                <wp:inline distT="0" distB="0" distL="0" distR="0">
                  <wp:extent cx="7556500" cy="635000"/>
                  <wp:effectExtent l="0" t="0" r="0" b="0"/>
                  <wp:docPr id="1180245656" name="Picture">
</wp:docPr>
                  <a:graphic>
                    <a:graphicData uri="http://schemas.openxmlformats.org/drawingml/2006/picture">
                      <pic:pic>
                        <pic:nvPicPr>
                          <pic:cNvPr id="118024565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Сотрудники</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gRPC Hexagonal Adapter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Тестирование основано на сопоставлении с образцом (эталоном) компетентности.</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Результат тестирования нередко можно купить или поделать.</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Kafka Subscriber Hexagonal Adapter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Domain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96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Наделить высококвалифицированных специалистов мерами административного воздействия, например, предоставить право установления временного запрета на публикацию сообщений в тг-канале.</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Защитить социальное положение грамотных специалистов как источников качественной информации</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ReleaseEndorsement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Спам в пабликах</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Участники экспертных сообществ</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Front Door Queue using message bus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61</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1" w:name="JR_PAGE_ANCHOR_0_62"/>
            <w:bookmarkEnd w:id="61"/>
            <w:r>
              <w:rPr/>
              <w:drawing>
                <wp:inline distT="0" distB="0" distL="0" distR="0">
                  <wp:extent cx="7556500" cy="635000"/>
                  <wp:effectExtent l="0" t="0" r="0" b="0"/>
                  <wp:docPr id="102564126" name="Picture">
</wp:docPr>
                  <a:graphic>
                    <a:graphicData uri="http://schemas.openxmlformats.org/drawingml/2006/picture">
                      <pic:pic>
                        <pic:nvPicPr>
                          <pic:cNvPr id="102564126"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5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Защитить социальное положение грамотных специалистов как источников качественной информации</w:t>
            </w:r>
          </w:p>
        </w:tc>
        <w:tc>
          <w:tcPr>
     </w:tcPr>
          <w:p>
            <w:pPr>
              <w:pStyle w:val="EMPTY_CELL_STYLE"/>
            </w:pPr>
          </w:p>
        </w:tc>
      </w:tr>
      <w:tr>
        <w:trPr>
          <w:trHeight w:hRule="exact" w:val="40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Грамотные специалисты не всегда спешат ввязываться во флейм с малограмотными оппонентами. Зачастую это приводит к их демотивации и самоустранению из пабликов.</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EndorseArtifact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Influence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Influence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Рост когнитивной нагрузки на практикующего специалиста</w:t>
            </w:r>
          </w:p>
        </w:tc>
        <w:tc>
          <w:tcPr>
     </w:tcPr>
          <w:p>
            <w:pPr>
              <w:pStyle w:val="EMPTY_CELL_STYLE"/>
            </w:pPr>
          </w:p>
        </w:tc>
      </w:tr>
      <w:tr>
        <w:trPr>
          <w:trHeight w:hRule="exact" w:val="8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 "There's a definite Dunning-Kruger effect for authors. The people who hold a ton of knowledge hesitate because they find their insights "obvious" or "nothing special". Then you have people who write a lot but do little real work that they could base their writing on..." -- Gregor Hohpe https://twitter.com/ghohpe/status/1332200805852606470?s=20</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GradeAssigned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Неизменяемый лог рекомендаций</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Обеспечить прозрачность происхождения уровня квалификации и её аудируемость</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142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Обеспечить квалификационную классификацию на основе хорошо зарекомендовавшего себя на практике алгоритма спортивной разрядности, где уровень мастерства спортсмена определяется относительно известного (т.е. доказанного) уровня мастерства других спортсменов.Т.е., по сути, методом сравнительного анализа.</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Квалифицировать должно лицо, обладающее способностями </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62</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2" w:name="JR_PAGE_ANCHOR_0_63"/>
            <w:bookmarkEnd w:id="62"/>
            <w:r>
              <w:rPr/>
              <w:drawing>
                <wp:inline distT="0" distB="0" distL="0" distR="0">
                  <wp:extent cx="7556500" cy="635000"/>
                  <wp:effectExtent l="0" t="0" r="0" b="0"/>
                  <wp:docPr id="209890594" name="Picture">
</wp:docPr>
                  <a:graphic>
                    <a:graphicData uri="http://schemas.openxmlformats.org/drawingml/2006/picture">
                      <pic:pic>
                        <pic:nvPicPr>
                          <pic:cNvPr id="20989059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72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объективной квалификации, т.е. квалифицировать должен специалист с известным/подтвержденным уровнем квалификации не ниже уровня квалифицируемого, а не заказчик.</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Topic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Integration Event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Influence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Influence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Зависимое положение исполнителя от оценки/рекомендации заказчика.</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Дисбаланс в пользу краткосрочных бизнес-интересов в ущерб долгосрочным техническим интересам (Spaghetti code)</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Актор</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Команда</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AcceptArtifact</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предлагаемые артефакты могут проходить процедуру одобрения Комитетом Организации по его усмотрению.</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Заказчик не осведомлен об объективной квалификации исполнителя.</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Тестирование основано на сопоставлении с образцом (эталоном) компетентности.</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72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Обеспечить максимальную полноту передачи (на основе принципа соразмерности) экспертности своих участников в представлениях экспертно-рекомендательных органов Организации.</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Разные участники организации обладают различным уровнем экспертности</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Reply Channel</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6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63</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3" w:name="JR_PAGE_ANCHOR_0_64"/>
            <w:bookmarkEnd w:id="63"/>
            <w:r>
              <w:rPr/>
              <w:drawing>
                <wp:inline distT="0" distB="0" distL="0" distR="0">
                  <wp:extent cx="7556500" cy="635000"/>
                  <wp:effectExtent l="0" t="0" r="0" b="0"/>
                  <wp:docPr id="481577519" name="Picture">
</wp:docPr>
                  <a:graphic>
                    <a:graphicData uri="http://schemas.openxmlformats.org/drawingml/2006/picture">
                      <pic:pic>
                        <pic:nvPicPr>
                          <pic:cNvPr id="481577519"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ProposeArtifact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Защитить ценную информацию и ценных участников от атак.</w:t>
            </w:r>
          </w:p>
        </w:tc>
        <w:tc>
          <w:tcPr>
     </w:tcPr>
          <w:p>
            <w:pPr>
              <w:pStyle w:val="EMPTY_CELL_STYLE"/>
            </w:pPr>
          </w:p>
        </w:tc>
      </w:tr>
      <w:tr>
        <w:trPr>
          <w:trHeight w:hRule="exact" w:val="40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@banofbot может быть использован для атаки против ценных участников сообщества и необратимого уничтожения их информации в паблике.</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HigherGradeCan'tBeEndorsed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ReleaseEndorsement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ReleaseEndorsement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EndorsementReleased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Another Service/System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Validation Pipeline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Expension Point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RepositoryImplementation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REST-API Hexagonal Adapter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ReadModel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64</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4" w:name="JR_PAGE_ANCHOR_0_65"/>
            <w:bookmarkEnd w:id="64"/>
            <w:r>
              <w:rPr/>
              <w:drawing>
                <wp:inline distT="0" distB="0" distL="0" distR="0">
                  <wp:extent cx="7556500" cy="635000"/>
                  <wp:effectExtent l="0" t="0" r="0" b="0"/>
                  <wp:docPr id="556677614" name="Picture">
</wp:docPr>
                  <a:graphic>
                    <a:graphicData uri="http://schemas.openxmlformats.org/drawingml/2006/picture">
                      <pic:pic>
                        <pic:nvPicPr>
                          <pic:cNvPr id="55667761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HTTP-Request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Another Service/System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Bytes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 B</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Bus Reply Channel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96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Адресовать запросы в первую очередь к участникам, обладающим наивысшим уровнем экспертности, выраженной конкретным опытом, ценность которого подтверждена другими членами организации.</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Укрепить репутацию экспертного сообщества</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ArtifactIsAccepted</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Низкое качество ПО</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Высокая стоимость внемения изменения в реализацию</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Тестирование основано на сопоставлении с образцом (эталоном) компетентности.</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Низкая эффективность грейдов на основе матриц компетентности</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Самообразование и обретение опыта требуют затрат времени, поэтому грамотные специалисты стеснены в свободным времени, что зачастую приводит к гегемонии бескомпетентности в </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65</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5" w:name="JR_PAGE_ANCHOR_0_66"/>
            <w:bookmarkEnd w:id="65"/>
            <w:r>
              <w:rPr/>
              <w:drawing>
                <wp:inline distT="0" distB="0" distL="0" distR="0">
                  <wp:extent cx="7556500" cy="635000"/>
                  <wp:effectExtent l="0" t="0" r="0" b="0"/>
                  <wp:docPr id="427645575" name="Picture">
</wp:docPr>
                  <a:graphic>
                    <a:graphicData uri="http://schemas.openxmlformats.org/drawingml/2006/picture">
                      <pic:pic>
                        <pic:nvPicPr>
                          <pic:cNvPr id="42764557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информационном пространстве экспертных сообществ - от этого страдает большинство технических пабликов.</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Захламленность информационного пространства</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Another Service/System</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HTTP-Request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12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 "There's a definite Dunning-Kruger effect for authors. The people who hold a ton of knowledge hesitate because they find their insights "obvious" or "nothing special". Then you have people who write a lot but do little real work that they could base their writing on..." -- Gregor Hohpe https://twitter.com/ghohpe/status/1332200805852606470?s=20</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Захламленность информационного пространства</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Member B</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Integration Event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Another Service/System</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Command (Hexagonal Port,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tcPr>
          <w:p>
            <w:pPr>
              <w:pStyle w:val="EMPTY_CELL_STYLE"/>
            </w:pPr>
          </w:p>
        </w:tc>
      </w:tr>
      <w:tr>
        <w:trPr>
          <w:trHeight w:hRule="exact" w:val="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66</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6" w:name="JR_PAGE_ANCHOR_0_67"/>
            <w:bookmarkEnd w:id="66"/>
            <w:r>
              <w:rPr/>
              <w:drawing>
                <wp:inline distT="0" distB="0" distL="0" distR="0">
                  <wp:extent cx="7556500" cy="635000"/>
                  <wp:effectExtent l="0" t="0" r="0" b="0"/>
                  <wp:docPr id="1016064173" name="Picture">
</wp:docPr>
                  <a:graphic>
                    <a:graphicData uri="http://schemas.openxmlformats.org/drawingml/2006/picture">
                      <pic:pic>
                        <pic:nvPicPr>
                          <pic:cNvPr id="1016064173"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Tenant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ProposeArtifact</w:t>
            </w:r>
          </w:p>
        </w:tc>
        <w:tc>
          <w:tcPr>
     </w:tcPr>
          <w:p>
            <w:pPr>
              <w:pStyle w:val="EMPTY_CELL_STYLE"/>
            </w:pPr>
          </w:p>
        </w:tc>
      </w:tr>
      <w:tr>
        <w:trPr>
          <w:trHeight w:hRule="exact" w:val="64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рекомендуемая трудоемкость одного артефакта на каждого его исполнителя должна составлять от 20 до 80 часов; маленькие артефакты рекомендуется группировать, большие - декомпозировать;</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Ввести внутреннюю систему ценностей в виде квалификационной классности</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Стимулировать развитие участников</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Дисбаланс в пользу краткосрочных бизнес-интересов в ущерб долгосрочным техническим интересам (Spaghetti code)</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Низкое качество ПО</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ArtifactHasAlreadyBeenEndorsedForTheMember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Новичкам не всегда понятно кого слушать, т.к. у них не сформированы критерии оценки.</w:t>
            </w:r>
          </w:p>
        </w:tc>
        <w:tc>
          <w:tcPr>
     </w:tcPr>
          <w:p>
            <w:pPr>
              <w:pStyle w:val="EMPTY_CELL_STYLE"/>
            </w:pPr>
          </w:p>
        </w:tc>
      </w:tr>
      <w:tr>
        <w:trPr>
          <w:trHeight w:hRule="exact" w:val="8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 "There's a definite Dunning-Kruger effect for authors. The people who hold a ton of knowledge hesitate because they find their insights "obvious" or "nothing special". Then you have people who write a lot but do little real work that they could base their writing on..." -- Gregor Hohpe https://twitter.com/ghohpe/status/1332200805852606470?s=20</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5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67</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7" w:name="JR_PAGE_ANCHOR_0_68"/>
            <w:bookmarkEnd w:id="67"/>
            <w:r>
              <w:rPr/>
              <w:drawing>
                <wp:inline distT="0" distB="0" distL="0" distR="0">
                  <wp:extent cx="7556500" cy="635000"/>
                  <wp:effectExtent l="0" t="0" r="0" b="0"/>
                  <wp:docPr id="2068191651" name="Picture">
</wp:docPr>
                  <a:graphic>
                    <a:graphicData uri="http://schemas.openxmlformats.org/drawingml/2006/picture">
                      <pic:pic>
                        <pic:nvPicPr>
                          <pic:cNvPr id="206819165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AcceptArtifact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ArtifactIsAccepted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Committee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Moderator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72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Падение velocity. В основу метафоры "технический долг" положено правило "сложного процента", возрастающего в геометрической прогрессии.</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Ухудшение внутреннего качества программы</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gRPC Hexagonal Adapter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Bytes</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Influence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Influence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Constraint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Requirement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Aggregation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Competence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RecentArtifacts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null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JSON-RPC Hexagonal Adapter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JSON-Object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68</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8" w:name="JR_PAGE_ANCHOR_0_69"/>
            <w:bookmarkEnd w:id="68"/>
            <w:r>
              <w:rPr/>
              <w:drawing>
                <wp:inline distT="0" distB="0" distL="0" distR="0">
                  <wp:extent cx="7556500" cy="635000"/>
                  <wp:effectExtent l="0" t="0" r="0" b="0"/>
                  <wp:docPr id="354980344" name="Picture">
</wp:docPr>
                  <a:graphic>
                    <a:graphicData uri="http://schemas.openxmlformats.org/drawingml/2006/picture">
                      <pic:pic>
                        <pic:nvPicPr>
                          <pic:cNvPr id="354980344"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Policy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Another Aggregate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Обеспечить представление об уровне квалификации участников</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Новичкам не всегда понятно кого слушать, т.к. у них не сформированы критерии оценки.</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CommandHandler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Квалификационный голод малых компаний</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Работодатели</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REST-API Hexagonal Adapter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Высокая стоимость внемения изменения в реализацию</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Перерасход средств по стоимости разработки</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gRPC Hexagonal Adapter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Command (Hexagonal Port,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Отвлечение ресурсов времени специалистов на нерелевантные аспекты знаний в ущерб релевантным.</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Низкая эффективность грейдов на основе матриц компетентности</w:t>
            </w:r>
          </w:p>
        </w:tc>
        <w:tc>
          <w:tcPr>
     </w:tcPr>
          <w:p>
            <w:pPr>
              <w:pStyle w:val="EMPTY_CELL_STYLE"/>
            </w:pPr>
          </w:p>
        </w:tc>
      </w:tr>
      <w:tr>
        <w:trPr>
          <w:trHeight w:hRule="exact" w:val="7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69</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69" w:name="JR_PAGE_ANCHOR_0_70"/>
            <w:bookmarkEnd w:id="69"/>
            <w:r>
              <w:rPr/>
              <w:drawing>
                <wp:inline distT="0" distB="0" distL="0" distR="0">
                  <wp:extent cx="7556500" cy="635000"/>
                  <wp:effectExtent l="0" t="0" r="0" b="0"/>
                  <wp:docPr id="1512060385" name="Picture">
</wp:docPr>
                  <a:graphic>
                    <a:graphicData uri="http://schemas.openxmlformats.org/drawingml/2006/picture">
                      <pic:pic>
                        <pic:nvPicPr>
                          <pic:cNvPr id="151206038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Assignment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JSON-RPC Hexagonal Adapter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Интеграционное событие</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Доменное событие</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null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Допускается одна рекомендация рекомендующего за один конкретный артефакт рекомендуемого.</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Role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Tenant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Command (Hexagonal Port, Interface)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null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null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User</w:t>
            </w:r>
          </w:p>
        </w:tc>
        <w:tc>
          <w:tcPr>
     </w:tcPr>
          <w:p>
            <w:pPr>
              <w:pStyle w:val="EMPTY_CELL_STYLE"/>
            </w:pPr>
          </w:p>
        </w:tc>
      </w:tr>
      <w:tr>
        <w:trPr>
          <w:trHeight w:hRule="exact" w:val="3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70</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0" w:name="JR_PAGE_ANCHOR_0_71"/>
            <w:bookmarkEnd w:id="70"/>
            <w:r>
              <w:rPr/>
              <w:drawing>
                <wp:inline distT="0" distB="0" distL="0" distR="0">
                  <wp:extent cx="7556500" cy="635000"/>
                  <wp:effectExtent l="0" t="0" r="0" b="0"/>
                  <wp:docPr id="451530980" name="Picture">
</wp:docPr>
                  <a:graphic>
                    <a:graphicData uri="http://schemas.openxmlformats.org/drawingml/2006/picture">
                      <pic:pic>
                        <pic:nvPicPr>
                          <pic:cNvPr id="45153098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HTTP-Response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Integration Event (Policy)</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Gateway (with Transactional Outbox)</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Flow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Flow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RepositoryImplementation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WriteModel DataBase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Рейтинги не дают представления о компетенциях исполнителя</w:t>
            </w:r>
          </w:p>
        </w:tc>
        <w:tc>
          <w:tcPr>
     </w:tcPr>
          <w:p>
            <w:pPr>
              <w:pStyle w:val="EMPTY_CELL_STYLE"/>
            </w:pPr>
          </w:p>
        </w:tc>
      </w:tr>
      <w:tr>
        <w:trPr>
          <w:trHeight w:hRule="exact" w:val="64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Система рейтингов подрядных бирж отражает не уровень квалификации, а уровень лояльности исполнителя, ибо если бы заказчик был способен оценить компетентность, то он не обращался бы за этой компетентностью на биржу.</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Send Integration Event (Policy)</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CompleteEndorsement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Application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Logging Pipeline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Тестирование основано на сопоставлении с образцом (эталоном) компетентности.</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Тестирование не отражает ни широты, на глубины знаний, ни способности специалиста применять эти знания на практике.</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36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Дросселировать информацию от участников с невысоким уровнем квалификации</w:t>
            </w:r>
          </w:p>
        </w:tc>
        <w:tc>
          <w:tcPr>
     </w:tcPr>
          <w:p>
            <w:pPr>
              <w:pStyle w:val="EMPTY_CELL_STYLE"/>
            </w:pPr>
          </w:p>
        </w:tc>
      </w:tr>
      <w:tr>
        <w:trPr>
          <w:trHeight w:hRule="exact" w:val="14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71</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1" w:name="JR_PAGE_ANCHOR_0_72"/>
            <w:bookmarkEnd w:id="71"/>
            <w:r>
              <w:rPr/>
              <w:drawing>
                <wp:inline distT="0" distB="0" distL="0" distR="0">
                  <wp:extent cx="7556500" cy="635000"/>
                  <wp:effectExtent l="0" t="0" r="0" b="0"/>
                  <wp:docPr id="1471230198" name="Picture">
</wp:docPr>
                  <a:graphic>
                    <a:graphicData uri="http://schemas.openxmlformats.org/drawingml/2006/picture">
                      <pic:pic>
                        <pic:nvPicPr>
                          <pic:cNvPr id="147123019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50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Мотивировать участников к повышению качества публикуемой ими информации</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Identity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Role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Constraint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Команда</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Участники сообщества могут банить спамеров, используя, например, @banofbot</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Спам в пабликах</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SyncGrade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REST-API Hexagonal Adapter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HTTP-Request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Expension Point Pipeline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Mediator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Identity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Group</w:t>
            </w:r>
          </w:p>
        </w:tc>
        <w:tc>
          <w:tcPr>
     </w:tcPr>
          <w:p>
            <w:pPr>
              <w:pStyle w:val="EMPTY_CELL_STYLE"/>
            </w:pPr>
          </w:p>
        </w:tc>
      </w:tr>
      <w:tr>
        <w:trPr>
          <w:trHeight w:hRule="exact" w:val="76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72</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2" w:name="JR_PAGE_ANCHOR_0_73"/>
            <w:bookmarkEnd w:id="72"/>
            <w:r>
              <w:rPr/>
              <w:drawing>
                <wp:inline distT="0" distB="0" distL="0" distR="0">
                  <wp:extent cx="7556500" cy="635000"/>
                  <wp:effectExtent l="0" t="0" r="0" b="0"/>
                  <wp:docPr id="739241900" name="Picture">
</wp:docPr>
                  <a:graphic>
                    <a:graphicData uri="http://schemas.openxmlformats.org/drawingml/2006/picture">
                      <pic:pic>
                        <pic:nvPicPr>
                          <pic:cNvPr id="739241900"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Ухудшение внутреннего качества программы</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Дисбаланс в пользу краткосрочных бизнес-интересов в ущерб долгосрочным техническим интересам (Spaghetti code)</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Publisher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Тестирование основано на сопоставлении с образцом (эталоном) компетентности.</w:t>
            </w:r>
          </w:p>
        </w:tc>
        <w:tc>
          <w:tcPr>
     </w:tcPr>
          <w:p>
            <w:pPr>
              <w:pStyle w:val="EMPTY_CELL_STYLE"/>
            </w:pPr>
          </w:p>
        </w:tc>
      </w:tr>
      <w:tr>
        <w:trPr>
          <w:trHeight w:hRule="exact" w:val="64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Наличие эталона подразумевает монополию на компетентность, что вызывает вопрос доверия к ней. Нередко экзаменуемый демонстрирует большую компетентностью, нежели экзаменатор, что ограничивает развитие остальных уровнем экзаменатора.</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Обеспечить представление о компетенциях (областях знаний) исполнителя</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Новичкам не всегда понятно кого слушать, т.к. у них не сформированы критерии оценки.</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Сотрудники</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Специалисты отрасти</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Запрос</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Модель Чтения</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50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Исключить влияние эффекта Даннинга-Крюгера на качество информационного пространства</w:t>
            </w:r>
          </w:p>
        </w:tc>
        <w:tc>
          <w:tcPr>
     </w:tcPr>
          <w:p>
            <w:pPr>
              <w:pStyle w:val="EMPTY_CELL_STYLE"/>
            </w:pPr>
          </w:p>
        </w:tc>
      </w:tr>
      <w:tr>
        <w:trPr>
          <w:trHeight w:hRule="exact" w:val="8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 "There's a definite Dunning-Kruger effect for authors. The people who hold a ton of knowledge hesitate because they find their insights "obvious" or "nothing special". Then you have people who write a lot but do little real work that they could base their writing on..." -- Gregor Hohpe https://twitter.com/ghohpe/status/1332200805852606470?s=20</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7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73</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3" w:name="JR_PAGE_ANCHOR_0_74"/>
            <w:bookmarkEnd w:id="73"/>
            <w:r>
              <w:rPr/>
              <w:drawing>
                <wp:inline distT="0" distB="0" distL="0" distR="0">
                  <wp:extent cx="7556500" cy="635000"/>
                  <wp:effectExtent l="0" t="0" r="0" b="0"/>
                  <wp:docPr id="1754096028" name="Picture">
</wp:docPr>
                  <a:graphic>
                    <a:graphicData uri="http://schemas.openxmlformats.org/drawingml/2006/picture">
                      <pic:pic>
                        <pic:nvPicPr>
                          <pic:cNvPr id="1754096028"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Tenant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Infrastructure Layer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HTTP-Response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72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@banofbot может быть использован для атаки против ценных участников сообщества и необратимого уничтожения их информации в паблике.</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Участники сообщества могут банить спамеров, используя, например, @banofbot</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null</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REST-API Hexagonal Adapter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Query (Hexagonal Port, Interface)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EndorsementReceived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18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74</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4" w:name="JR_PAGE_ANCHOR_0_75"/>
            <w:bookmarkEnd w:id="74"/>
            <w:r>
              <w:rPr/>
              <w:drawing>
                <wp:inline distT="0" distB="0" distL="0" distR="0">
                  <wp:extent cx="7556500" cy="635000"/>
                  <wp:effectExtent l="0" t="0" r="0" b="0"/>
                  <wp:docPr id="908845261" name="Picture">
</wp:docPr>
                  <a:graphic>
                    <a:graphicData uri="http://schemas.openxmlformats.org/drawingml/2006/picture">
                      <pic:pic>
                        <pic:nvPicPr>
                          <pic:cNvPr id="90884526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AcceptArtifact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Specialization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Specialization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Потребители услуг outsourcing marketplaces</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Заказчики</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GradeAssigned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EndorseArtifact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Junction</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Ухудшение внутреннего качества программы</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"So, design ≈ cost ≈ change ≈ big change ≈ coupling. Transitively, software design ≈ managing coupling." -- Kent Beck</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Mediator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GOF Pattern Mediator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Association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Association relation</w:t>
            </w:r>
          </w:p>
        </w:tc>
        <w:tc>
          <w:tcPr>
     </w:tcPr>
          <w:p>
            <w:pPr>
              <w:pStyle w:val="EMPTY_CELL_STYLE"/>
            </w:pPr>
          </w:p>
        </w:tc>
      </w:tr>
      <w:tr>
        <w:trPr>
          <w:trHeight w:hRule="exact" w:val="72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Грамотные специалисты не всегда спешат ввязываться во флейм с малограмотными оппонентами. Зачастую это приводит к их демотивации и самоустранению из пабликов.</w:t>
            </w: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Захламленность информационного пространства</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Access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Access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CommandHandler</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Aggregate</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Realization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Realization relation</w:t>
            </w:r>
          </w:p>
        </w:tc>
        <w:tc>
          <w:tcPr>
     </w:tcPr>
          <w:p>
            <w:pPr>
              <w:pStyle w:val="EMPTY_CELL_STYLE"/>
            </w:pPr>
          </w:p>
        </w:tc>
      </w:tr>
      <w:tr>
        <w:trPr>
          <w:trHeight w:hRule="exact" w:val="280"/>
        </w:trPr>
        <w:tc>
          <w:tcPr>
     </w:tcPr>
          <w:p>
            <w:pPr>
              <w:pStyle w:val="EMPTY_CELL_STYLE"/>
            </w:pPr>
          </w:p>
        </w:tc>
        <w:tc>
          <w:tcPr>
            <w:vMerge w:val="restart"/>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tcPr>
          <w:p>
            <w:pPr>
              <w:pStyle w:val="EMPTY_CELL_STYLE"/>
            </w:pPr>
          </w:p>
        </w:tc>
      </w:tr>
      <w:tr>
        <w:trPr>
          <w:trHeight w:hRule="exact" w:val="180"/>
        </w:trPr>
        <w:tc>
          <w:tcPr>
     </w:tcPr>
          <w:p>
            <w:pPr>
              <w:pStyle w:val="EMPTY_CELL_STYLE"/>
            </w:pPr>
          </w:p>
        </w:tc>
        <w:tc>
          <w:tcPr>
            <w:vMerge w:val="continue"/>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gridSpan w:val="3"/>
            <w:vMerge w:val="restart"/>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Каждый участник может отдать 20 рекомендаций (признаний) в </w:t>
            </w:r>
          </w:p>
        </w:tc>
        <w:tc>
          <w:tcPr>
     </w:tcPr>
          <w:p>
            <w:pPr>
              <w:pStyle w:val="EMPTY_CELL_STYLE"/>
            </w:pPr>
          </w:p>
        </w:tc>
      </w:tr>
      <w:tr>
        <w:trPr>
          <w:trHeight w:hRule="exact" w:val="320"/>
        </w:trPr>
        <w:tc>
          <w:tcPr>
     </w:tcPr>
          <w:p>
            <w:pPr>
              <w:pStyle w:val="EMPTY_CELL_STYLE"/>
            </w:pPr>
          </w:p>
        </w:tc>
        <w:tc>
          <w:tcPr>
     </w:tcPr>
          <w:p>
            <w:pPr>
              <w:pStyle w:val="EMPTY_CELL_STYLE"/>
            </w:pPr>
          </w:p>
        </w:tc>
        <w:tc>
          <w:tcPr>
            <w:gridSpan w:val="3"/>
            <w:vMerge w:val="continue"/>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75</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5" w:name="JR_PAGE_ANCHOR_0_76"/>
            <w:bookmarkEnd w:id="75"/>
            <w:r>
              <w:rPr/>
              <w:drawing>
                <wp:inline distT="0" distB="0" distL="0" distR="0">
                  <wp:extent cx="7556500" cy="635000"/>
                  <wp:effectExtent l="0" t="0" r="0" b="0"/>
                  <wp:docPr id="1915196011" name="Picture">
</wp:docPr>
                  <a:graphic>
                    <a:graphicData uri="http://schemas.openxmlformats.org/drawingml/2006/picture">
                      <pic:pic>
                        <pic:nvPicPr>
                          <pic:cNvPr id="1915196011"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tcPr>
          <w:p>
            <w:pPr>
              <w:pStyle w:val="EMPTY_CELL_STYLE"/>
            </w:pP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год в пользу других участников.</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Triggering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Triggering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CompleteEndorsement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EndorsementCompleted</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Composition relation</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Identity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Tenant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Anti-Corruption Layer</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Telegram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Identity BC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authors (has many)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Conformist</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Voting BC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creartedBy (has one)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endorser (has one)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Endorser</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has many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Assignment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has one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76</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tbl>
      <w:tblPr>
        <w:tblLayout w:type="fixed"/>
      </w:tblPr>
      <w:tblGrid>
        <w:gridCol w:w="1"/>
        <w:gridCol w:w="3000"/>
        <w:gridCol w:w="5080"/>
        <w:gridCol w:w="1620"/>
        <w:gridCol w:w="600"/>
        <w:gridCol w:w="1"/>
      </w:tblGrid>
      <w:tr>
        <w:trPr>
          <w:trHeight w:hRule="exact" w:val="1000"/>
        </w:trPr>
        <w:tc>
          <w:tcPr>
            <w:gridSpan w:val="6"/>
            <w:tcMar>
              <w:top w:w="0" w:type="dxa"/>
              <w:left w:w="0" w:type="dxa"/>
              <w:bottom w:w="0" w:type="dxa"/>
              <w:right w:w="0" w:type="dxa"/>
            </w:tcMar>
            <w:vAlign w:val="top"/>
          </w:tcPr>
          <w:p>
            <w:pPr>
              <w:pageBreakBefore/>
              <w:jc w:val="left"/>
              <w:spacing w:lineRule="auto" w:line="240" w:after="0" w:before="0"/>
            </w:pPr>
            <w:bookmarkStart w:id="76" w:name="JR_PAGE_ANCHOR_0_77"/>
            <w:bookmarkEnd w:id="76"/>
            <w:r>
              <w:rPr/>
              <w:drawing>
                <wp:inline distT="0" distB="0" distL="0" distR="0">
                  <wp:extent cx="7556500" cy="635000"/>
                  <wp:effectExtent l="0" t="0" r="0" b="0"/>
                  <wp:docPr id="433321645" name="Picture">
</wp:docPr>
                  <a:graphic>
                    <a:graphicData uri="http://schemas.openxmlformats.org/drawingml/2006/picture">
                      <pic:pic>
                        <pic:nvPicPr>
                          <pic:cNvPr id="433321645" name="Picture"/>
                          <pic:cNvPicPr/>
                        </pic:nvPicPr>
                        <pic:blipFill>
                          <a:blip r:embed="img_0_1_0.png"/>
                          <a:srcRect b="79912"/>
                          <a:stretch>
                            <a:fillRect/>
                          </a:stretch>
                        </pic:blipFill>
                        <pic:spPr>
                          <a:xfrm>
                            <a:off x="0" y="0"/>
                            <a:ext cx="7556500" cy="635000"/>
                          </a:xfrm>
                          <a:prstGeom prst="rect"/>
                        </pic:spPr>
                      </pic:pic>
                    </a:graphicData>
                  </a:graphic>
                </wp:inline>
              </w:drawing>
            </w:r>
          </w:p>
        </w:tc>
      </w:tr>
      <w:tr>
        <w:trPr>
          <w:trHeight w:hRule="exact" w:val="2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Artifact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owner (has one)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Aggregation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Competence</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Published Language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Identity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Voting BC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Published Language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Identity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Project Management BC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Published Language</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Serving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Identity BC</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Grade BC</w:t>
            </w:r>
          </w:p>
        </w:tc>
        <w:tc>
          <w:tcPr>
     </w:tcPr>
          <w:p>
            <w:pPr>
              <w:pStyle w:val="EMPTY_CELL_STYLE"/>
            </w:pPr>
          </w:p>
        </w:tc>
      </w:tr>
      <w:tr>
        <w:trPr>
          <w:trHeight w:hRule="exact" w:val="32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320"/>
        </w:trPr>
        <w:tc>
          <w:tcPr>
     </w:tcPr>
          <w:p>
            <w:pPr>
              <w:pStyle w:val="EMPTY_CELL_STYLE"/>
            </w:pPr>
          </w:p>
        </w:tc>
        <w:tc>
          <w:tcPr>
            <w:gridSpan w:val="4"/>
            <w:tcMar>
              <w:top w:w="0" w:type="dxa"/>
              <w:left w:w="0" w:type="dxa"/>
              <w:bottom w:w="0" w:type="dxa"/>
              <w:right w:w="0" w:type="dxa"/>
            </w:tcMar>
            <w:vAlign w:val="top"/>
          </w:tcPr>
          <w:p>
            <w:pPr>
              <w:pStyle w:val="Normal"/>
              <w:ind/>
            </w:pPr>
            <w:r>
              <w:rPr>
                <w:sz w:val="26"/>
              </w:rPr>
              <w:t xml:space="preserve">received_endorsements (has many)</w:t>
            </w:r>
          </w:p>
        </w:tc>
        <w:tc>
          <w:tcPr>
     </w:tcPr>
          <w:p>
            <w:pPr>
              <w:pStyle w:val="EMPTY_CELL_STYLE"/>
            </w:pPr>
          </w:p>
        </w:tc>
      </w:tr>
      <w:tr>
        <w:trPr>
          <w:trHeight w:hRule="exact" w:val="4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Type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Composition relation</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Source</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Specialist</w:t>
            </w:r>
          </w:p>
        </w:tc>
        <w:tc>
          <w:tcPr>
     </w:tcPr>
          <w:p>
            <w:pPr>
              <w:pStyle w:val="EMPTY_CELL_STYLE"/>
            </w:pPr>
          </w:p>
        </w:tc>
      </w:tr>
      <w:tr>
        <w:trPr>
          <w:trHeight w:hRule="exact" w:val="280"/>
        </w:trPr>
        <w:tc>
          <w:tcPr>
     </w:tcPr>
          <w:p>
            <w:pPr>
              <w:pStyle w:val="EMPTY_CELL_STYLE"/>
            </w:pPr>
          </w:p>
        </w:tc>
        <w:tc>
          <w:tcPr>
            <w:shd w:val="clear" w:color="auto" w:fill="A2C7DA"/>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header"/>
              <w:ind/>
            </w:pPr>
            <w:r>
              <w:rPr>
       </w:rPr>
              <w:t xml:space="preserve">Target</w:t>
            </w:r>
          </w:p>
        </w:tc>
        <w:tc>
          <w:tcPr>
            <w:gridSpan w:val="3"/>
            <w:tcBorders>
              <w:top w:val="single" w:sz="4" w:space="0" w:color="7CA9BF"/>
              <w:left w:val="single" w:sz="4" w:space="0" w:color="7CA9BF"/>
              <w:bottom w:val="single" w:sz="4" w:space="0" w:color="7CA9BF"/>
              <w:right w:val="single" w:sz="4" w:space="0" w:color="7CA9BF"/>
            </w:tcBorders>
            <w:tcMar>
              <w:top w:w="40" w:type="dxa"/>
              <w:left w:w="40" w:type="dxa"/>
              <w:bottom w:w="40" w:type="dxa"/>
              <w:right w:w="40" w:type="dxa"/>
            </w:tcMar>
            <w:vAlign w:val="center"/>
          </w:tcPr>
          <w:p>
            <w:pPr>
              <w:pStyle w:val="Table row"/>
              <w:ind/>
            </w:pPr>
            <w:r>
              <w:rPr>
       </w:rPr>
              <w:t xml:space="preserve">Endorsement</w:t>
            </w:r>
          </w:p>
        </w:tc>
        <w:tc>
          <w:tcPr>
     </w:tcPr>
          <w:p>
            <w:pPr>
              <w:pStyle w:val="EMPTY_CELL_STYLE"/>
            </w:pPr>
          </w:p>
        </w:tc>
      </w:tr>
      <w:tr>
        <w:trPr>
          <w:trHeight w:hRule="exact" w:val="5800"/>
        </w:trPr>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c>
          <w:tcPr>
     </w:tcPr>
          <w:p>
            <w:pPr>
              <w:pStyle w:val="EMPTY_CELL_STYLE"/>
            </w:pPr>
          </w:p>
        </w:tc>
      </w:tr>
      <w:tr>
        <w:trPr>
          <w:trHeight w:hRule="exact" w:val="1000"/>
        </w:trPr>
        <w:tc>
          <w:tcPr>
     </w:tcPr>
          <w:p>
            <w:pPr>
              <w:pStyle w:val="EMPTY_CELL_STYLE"/>
            </w:pPr>
          </w:p>
        </w:tc>
        <w:tc>
          <w:tcPr>
            <w:gridSpan w:val="2"/>
            <w:tcMar>
              <w:top w:w="0" w:type="dxa"/>
              <w:left w:w="0" w:type="dxa"/>
              <w:bottom w:w="0" w:type="dxa"/>
              <w:right w:w="0" w:type="dxa"/>
            </w:tcMar>
            <w:vAlign w:val="center"/>
          </w:tcPr>
          <w:p>
            <w:pPr>
              <w:pStyle w:val="Page footer"/>
              <w:ind/>
            </w:pPr>
            <w:r>
              <w:rPr>
       </w:rPr>
              <w:t xml:space="preserve">grade</w:t>
            </w:r>
          </w:p>
        </w:tc>
        <w:tc>
          <w:tcPr>
            <w:tcMar>
              <w:top w:w="0" w:type="dxa"/>
              <w:left w:w="0" w:type="dxa"/>
              <w:bottom w:w="0" w:type="dxa"/>
              <w:right w:w="0" w:type="dxa"/>
            </w:tcMar>
            <w:vAlign w:val="center"/>
          </w:tcPr>
          <w:p>
            <w:pPr>
              <w:pStyle w:val="Page footer"/>
              <w:ind/>
              <w:jc w:val="right"/>
            </w:pPr>
            <w:r>
              <w:rPr>
       </w:rPr>
              <w:t xml:space="preserve">77</w:t>
            </w:r>
          </w:p>
        </w:tc>
        <w:tc>
          <w:tcPr>
            <w:tcMar>
              <w:top w:w="0" w:type="dxa"/>
              <w:left w:w="0" w:type="dxa"/>
              <w:bottom w:w="0" w:type="dxa"/>
              <w:right w:w="0" w:type="dxa"/>
            </w:tcMar>
            <w:vAlign w:val="center"/>
          </w:tcPr>
          <w:p>
            <w:pPr>
              <w:pStyle w:val="Page footer"/>
              <w:ind/>
            </w:pPr>
            <w:r>
              <w:rPr>
       </w:rPr>
              <w:t xml:space="preserve"> / 77</w:t>
            </w:r>
          </w:p>
        </w:tc>
        <w:tc>
          <w:tcPr>
     </w:tcPr>
          <w:p>
            <w:pPr>
              <w:pStyle w:val="EMPTY_CELL_STYLE"/>
            </w:pPr>
          </w:p>
        </w:tc>
      </w:tr>
    </w:tbl>
    <w:sectPr>
      <w:pgSz w:w="11900" w:h="16840" w:orient="portrait"/>
      <w:pgMar w:top="0" w:right="800" w:bottom="0" w:left="0" w:header="0" w:footer="0" w:gutter="0"/>
      <w:docGrid w:linePitch="360"/>
    </w:sectPr>
  </w:body>
</w:document>
</file>

<file path=word/settings.xml><?xml version="1.0" encoding="utf-8"?>
<w:settings xmlns:w="http://schemas.openxmlformats.org/wordprocessingml/2006/main">
  <w:defaultTabStop w:val="800"/>
</w:settings>
</file>

<file path=word/styles.xml><?xml version="1.0" encoding="utf-8"?>
<w:styles xmlns:r="http://schemas.openxmlformats.org/officeDocument/2006/relationships" xmlns:w="http://schemas.openxmlformats.org/wordprocessingml/2006/main">
  <w:docDefaults>
    <w:rPrDefault>
  </w:rPrDefault>
    <w:pPrDefault>
      <w:pPr>
        <w:spacing w:line="240"/>
      </w:pPr>
    </w:pPrDefault>
  </w:docDefaults>
  <w:style w:type="paragraph" w:styleId="EMPTY_CELL_STYLE">
    <w:name w:val="EMPTY_CELL_STYLE"/>
    <w:qFormat/>
    <w:pPr>
      <w:ind/>
    </w:pPr>
    <w:rPr>
      <w:rFonts w:ascii="SansSerif" w:hAnsi="SansSerif" w:eastAsia="SansSerif" w:cs="SansSerif"/>
      <w:color w:val="000000"/>
      <w:sz w:val="1"/>
    </w:rPr>
  </w:style>
  <w:style w:type="paragraph" w:styleId="Normal">
    <w:name w:val="Normal"/>
    <w:qFormat/>
    <w:pPr>
      <w:ind/>
    </w:pPr>
    <w:rPr>
      <w:rFonts w:ascii="DejaVu Sans" w:hAnsi="DejaVu Sans" w:eastAsia="DejaVu Sans" w:cs="DejaVu Sans"/>
      <w:color w:val="000000"/>
      <w:sz w:val="24"/>
    </w:rPr>
  </w:style>
  <w:style w:type="paragraph" w:styleId="Title">
    <w:name w:val="Title"/>
    <w:qFormat/>
    <w:basedOn w:val="Normal"/>
    <w:pPr>
      <w:ind/>
    </w:pPr>
    <w:rPr>
      <w:sz w:val="44"/>
    </w:rPr>
  </w:style>
  <w:style w:type="paragraph" w:styleId="Title Date">
    <w:name w:val="Title Date"/>
    <w:qFormat/>
    <w:basedOn w:val="Normal"/>
    <w:pPr>
      <w:ind/>
    </w:pPr>
    <w:rPr>
      <w:sz w:val="20"/>
    </w:rPr>
  </w:style>
  <w:style w:type="paragraph" w:styleId="Page footer">
    <w:name w:val="Page footer"/>
    <w:qFormat/>
    <w:basedOn w:val="Normal"/>
    <w:pPr>
      <w:ind/>
    </w:pPr>
    <w:rPr>
      <w:color w:val="666666"/>
      <w:sz w:val="16"/>
    </w:rPr>
  </w:style>
  <w:style w:type="paragraph" w:styleId="Title 1">
    <w:name w:val="Title 1"/>
    <w:qFormat/>
    <w:basedOn w:val="Normal"/>
    <w:pPr>
      <w:ind/>
    </w:pPr>
    <w:rPr>
      <w:color w:val="7CA9BF"/>
      <w:sz w:val="40"/>
    </w:rPr>
  </w:style>
  <w:style w:type="paragraph" w:styleId="Title 2">
    <w:name w:val="Title 2"/>
    <w:qFormat/>
    <w:basedOn w:val="Normal"/>
    <w:pPr>
      <w:ind/>
    </w:pPr>
    <w:rPr>
      <w:color w:val="7CA9BF"/>
      <w:sz w:val="32"/>
    </w:rPr>
  </w:style>
  <w:style w:type="paragraph" w:styleId="Table row">
    <w:name w:val="Table row"/>
    <w:qFormat/>
    <w:basedOn w:val="Normal"/>
    <w:pPr>
      <w:ind/>
      <w:jc w:val="left"/>
    </w:pPr>
    <w:rPr>
      <w:sz w:val="20"/>
    </w:rPr>
  </w:style>
  <w:style w:type="paragraph" w:styleId="Table header">
    <w:name w:val="Table header"/>
    <w:qFormat/>
    <w:basedOn w:val="Table row"/>
    <w:pPr>
      <w:ind/>
    </w:pPr>
    <w:rPr>
      <w:b w:val="true"/>
    </w:rPr>
  </w:style>
  <w:style w:type="paragraph" w:styleId="Title 3">
    <w:name w:val="Title 3"/>
    <w:qFormat/>
    <w:basedOn w:val="Normal"/>
    <w:pPr>
      <w:ind/>
    </w:pPr>
    <w:rPr>
      <w:color w:val="7CA9BF"/>
      <w:sz w:val="28"/>
    </w:rPr>
  </w:style>
  <w:style w:type="paragraph" w:styleId="Italic">
    <w:name w:val="Italic"/>
    <w:qFormat/>
    <w:basedOn w:val="Normal"/>
    <w:pPr>
      <w:ind/>
    </w:pPr>
    <w:rPr>
      <w:i w:val="true"/>
    </w:rPr>
  </w:style>
  <w:style w:type="paragraph" w:styleId="Documentation">
    <w:name w:val="Documentation"/>
    <w:qFormat/>
    <w:basedOn w:val="Normal"/>
    <w:pPr>
      <w:ind/>
    </w:pPr>
    <w:rPr>
       </w:rPr>
  </w:style>
</w:styles>
</file>

<file path=word/_rels/document.xml.rels><?xml version="1.0" encoding="UTF-8"?>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img_0_1_0.png" Type="http://schemas.openxmlformats.org/officeDocument/2006/relationships/image" Target="media/img_0_1_0.png"/>
 <Relationship Id="img_0_2_4.png" Type="http://schemas.openxmlformats.org/officeDocument/2006/relationships/image" Target="media/img_0_2_4.png"/>
 <Relationship Id="img_0_3_3.png" Type="http://schemas.openxmlformats.org/officeDocument/2006/relationships/image" Target="media/img_0_3_3.png"/>
 <Relationship Id="img_0_4_3.png" Type="http://schemas.openxmlformats.org/officeDocument/2006/relationships/image" Target="media/img_0_4_3.png"/>
 <Relationship Id="img_0_6_3.png" Type="http://schemas.openxmlformats.org/officeDocument/2006/relationships/image" Target="media/img_0_6_3.png"/>
 <Relationship Id="img_0_9_3.png" Type="http://schemas.openxmlformats.org/officeDocument/2006/relationships/image" Target="media/img_0_9_3.png"/>
 <Relationship Id="img_0_11_3.png" Type="http://schemas.openxmlformats.org/officeDocument/2006/relationships/image" Target="media/img_0_11_3.png"/>
</Relationships>

</file>

<file path=docProps/app.xml><?xml version="1.0" encoding="utf-8"?>
<Properties xmlns="http://schemas.openxmlformats.org/officeDocument/2006/extended-properties">
  <Application>JasperReports Library version 6.7.1</Applicat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coreProperties>
</file>