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Pr>
              <w:t xml:space="preserve">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Pr>
              <w:t xml:space="preserve">21 Feb 2025 18:20:05</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inline distT="0" distB="0" distL="0" distR="0">
                  <wp:extent cx="7556500" cy="635000"/>
                  <wp:effectExtent l="0" t="0" r="0" b="0"/>
                  <wp:docPr id="1982703147" name="Picture">
</wp:docPr>
                  <a:graphic>
                    <a:graphicData uri="http://schemas.openxmlformats.org/drawingml/2006/picture">
                      <pic:pic>
                        <pic:nvPicPr>
                          <pic:cNvPr id="19827031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13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inline distT="0" distB="0" distL="0" distR="0">
                  <wp:extent cx="7556500" cy="635000"/>
                  <wp:effectExtent l="0" t="0" r="0" b="0"/>
                  <wp:docPr id="887814593" name="Picture">
</wp:docPr>
                  <a:graphic>
                    <a:graphicData uri="http://schemas.openxmlformats.org/drawingml/2006/picture">
                      <pic:pic>
                        <pic:nvPicPr>
                          <pic:cNvPr id="88781459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ContextMap</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102100"/>
                  <wp:effectExtent l="0" t="0" r="0" b="0"/>
                  <wp:docPr id="272354463" name="Picture">
</wp:docPr>
                  <a:graphic>
                    <a:graphicData uri="http://schemas.openxmlformats.org/drawingml/2006/picture">
                      <pic:pic>
                        <pic:nvPicPr>
                          <pic:cNvPr id="272354463" name="Picture"/>
                          <pic:cNvPicPr/>
                        </pic:nvPicPr>
                        <pic:blipFill>
                          <a:blip r:embed="img_0_2_4.png"/>
                          <a:srcRect/>
                          <a:stretch>
                            <a:fillRect/>
                          </a:stretch>
                        </pic:blipFill>
                        <pic:spPr>
                          <a:xfrm>
                            <a:off x="0" y="0"/>
                            <a:ext cx="6527800" cy="41021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3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inline distT="0" distB="0" distL="0" distR="0">
                  <wp:extent cx="7556500" cy="635000"/>
                  <wp:effectExtent l="0" t="0" r="0" b="0"/>
                  <wp:docPr id="79044247" name="Picture">
</wp:docPr>
                  <a:graphic>
                    <a:graphicData uri="http://schemas.openxmlformats.org/drawingml/2006/picture">
                      <pic:pic>
                        <pic:nvPicPr>
                          <pic:cNvPr id="7904424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3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905500"/>
                  <wp:effectExtent l="0" t="0" r="0" b="0"/>
                  <wp:docPr id="752679590" name="Picture">
</wp:docPr>
                  <a:graphic>
                    <a:graphicData uri="http://schemas.openxmlformats.org/drawingml/2006/picture">
                      <pic:pic>
                        <pic:nvPicPr>
                          <pic:cNvPr id="752679590" name="Picture"/>
                          <pic:cNvPicPr/>
                        </pic:nvPicPr>
                        <pic:blipFill>
                          <a:blip r:embed="img_0_3_3.png"/>
                          <a:srcRect/>
                          <a:stretch>
                            <a:fillRect/>
                          </a:stretch>
                        </pic:blipFill>
                        <pic:spPr>
                          <a:xfrm>
                            <a:off x="0" y="0"/>
                            <a:ext cx="6527800" cy="59055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inline distT="0" distB="0" distL="0" distR="0">
                  <wp:extent cx="7556500" cy="635000"/>
                  <wp:effectExtent l="0" t="0" r="0" b="0"/>
                  <wp:docPr id="1285933977" name="Picture">
</wp:docPr>
                  <a:graphic>
                    <a:graphicData uri="http://schemas.openxmlformats.org/drawingml/2006/picture">
                      <pic:pic>
                        <pic:nvPicPr>
                          <pic:cNvPr id="1285933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14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inline distT="0" distB="0" distL="0" distR="0">
                  <wp:extent cx="7556500" cy="635000"/>
                  <wp:effectExtent l="0" t="0" r="0" b="0"/>
                  <wp:docPr id="302869695" name="Picture">
</wp:docPr>
                  <a:graphic>
                    <a:graphicData uri="http://schemas.openxmlformats.org/drawingml/2006/picture">
                      <pic:pic>
                        <pic:nvPicPr>
                          <pic:cNvPr id="30286969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DomainModel</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8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600700"/>
                  <wp:effectExtent l="0" t="0" r="0" b="0"/>
                  <wp:docPr id="1790048347" name="Picture">
</wp:docPr>
                  <a:graphic>
                    <a:graphicData uri="http://schemas.openxmlformats.org/drawingml/2006/picture">
                      <pic:pic>
                        <pic:nvPicPr>
                          <pic:cNvPr id="1790048347" name="Picture"/>
                          <pic:cNvPicPr/>
                        </pic:nvPicPr>
                        <pic:blipFill>
                          <a:blip r:embed="img_0_5_3.png"/>
                          <a:srcRect/>
                          <a:stretch>
                            <a:fillRect/>
                          </a:stretch>
                        </pic:blipFill>
                        <pic:spPr>
                          <a:xfrm>
                            <a:off x="0" y="0"/>
                            <a:ext cx="6527800" cy="5600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inline distT="0" distB="0" distL="0" distR="0">
                  <wp:extent cx="7556500" cy="635000"/>
                  <wp:effectExtent l="0" t="0" r="0" b="0"/>
                  <wp:docPr id="1693260012" name="Picture">
</wp:docPr>
                  <a:graphic>
                    <a:graphicData uri="http://schemas.openxmlformats.org/drawingml/2006/picture">
                      <pic:pic>
                        <pic:nvPicPr>
                          <pic:cNvPr id="16932600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EventStorming</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16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5181600"/>
                  <wp:effectExtent l="0" t="0" r="0" b="0"/>
                  <wp:docPr id="1162128198" name="Picture">
</wp:docPr>
                  <a:graphic>
                    <a:graphicData uri="http://schemas.openxmlformats.org/drawingml/2006/picture">
                      <pic:pic>
                        <pic:nvPicPr>
                          <pic:cNvPr id="1162128198" name="Picture"/>
                          <pic:cNvPicPr/>
                        </pic:nvPicPr>
                        <pic:blipFill>
                          <a:blip r:embed="img_0_6_3.png"/>
                          <a:srcRect/>
                          <a:stretch>
                            <a:fillRect/>
                          </a:stretch>
                        </pic:blipFill>
                        <pic:spPr>
                          <a:xfrm>
                            <a:off x="0" y="0"/>
                            <a:ext cx="6527800" cy="51816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inline distT="0" distB="0" distL="0" distR="0">
                  <wp:extent cx="7556500" cy="635000"/>
                  <wp:effectExtent l="0" t="0" r="0" b="0"/>
                  <wp:docPr id="1699794502" name="Picture">
</wp:docPr>
                  <a:graphic>
                    <a:graphicData uri="http://schemas.openxmlformats.org/drawingml/2006/picture">
                      <pic:pic>
                        <pic:nvPicPr>
                          <pic:cNvPr id="169979450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8</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inline distT="0" distB="0" distL="0" distR="0">
                  <wp:extent cx="7556500" cy="635000"/>
                  <wp:effectExtent l="0" t="0" r="0" b="0"/>
                  <wp:docPr id="626562869" name="Picture">
</wp:docPr>
                  <a:graphic>
                    <a:graphicData uri="http://schemas.openxmlformats.org/drawingml/2006/picture">
                      <pic:pic>
                        <pic:nvPicPr>
                          <pic:cNvPr id="62656286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9</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inline distT="0" distB="0" distL="0" distR="0">
                  <wp:extent cx="7556500" cy="635000"/>
                  <wp:effectExtent l="0" t="0" r="0" b="0"/>
                  <wp:docPr id="484258212" name="Picture">
</wp:docPr>
                  <a:graphic>
                    <a:graphicData uri="http://schemas.openxmlformats.org/drawingml/2006/picture">
                      <pic:pic>
                        <pic:nvPicPr>
                          <pic:cNvPr id="48425821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HexagonalArchitecture</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62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4203700"/>
                  <wp:effectExtent l="0" t="0" r="0" b="0"/>
                  <wp:docPr id="48339760" name="Picture">
</wp:docPr>
                  <a:graphic>
                    <a:graphicData uri="http://schemas.openxmlformats.org/drawingml/2006/picture">
                      <pic:pic>
                        <pic:nvPicPr>
                          <pic:cNvPr id="48339760" name="Picture"/>
                          <pic:cNvPicPr/>
                        </pic:nvPicPr>
                        <pic:blipFill>
                          <a:blip r:embed="img_0_9_3.png"/>
                          <a:srcRect/>
                          <a:stretch>
                            <a:fillRect/>
                          </a:stretch>
                        </pic:blipFill>
                        <pic:spPr>
                          <a:xfrm>
                            <a:off x="0" y="0"/>
                            <a:ext cx="6527800" cy="42037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10</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inline distT="0" distB="0" distL="0" distR="0">
                  <wp:extent cx="7556500" cy="635000"/>
                  <wp:effectExtent l="0" t="0" r="0" b="0"/>
                  <wp:docPr id="1627840438" name="Picture">
</wp:docPr>
                  <a:graphic>
                    <a:graphicData uri="http://schemas.openxmlformats.org/drawingml/2006/picture">
                      <pic:pic>
                        <pic:nvPicPr>
                          <pic:cNvPr id="16278404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c>
          <w:tcPr>
     </w:tcPr>
          <w:p>
            <w:pPr>
              <w:pStyle w:val="EMPTY_CELL_STYLE"/>
            </w:pPr>
          </w:p>
        </w:tc>
      </w:tr>
      <w:tr>
        <w:trPr>
          <w:trHeight w:hRule="exact" w:val="5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11</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inline distT="0" distB="0" distL="0" distR="0">
                  <wp:extent cx="7556500" cy="635000"/>
                  <wp:effectExtent l="0" t="0" r="0" b="0"/>
                  <wp:docPr id="2082499348" name="Picture">
</wp:docPr>
                  <a:graphic>
                    <a:graphicData uri="http://schemas.openxmlformats.org/drawingml/2006/picture">
                      <pic:pic>
                        <pic:nvPicPr>
                          <pic:cNvPr id="208249934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Pr>
              <w:t xml:space="preserve">Requirements</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inline distT="0" distB="0" distL="0" distR="0">
                  <wp:extent cx="6527800" cy="2540000"/>
                  <wp:effectExtent l="0" t="0" r="0" b="0"/>
                  <wp:docPr id="1633286972" name="Picture">
</wp:docPr>
                  <a:graphic>
                    <a:graphicData uri="http://schemas.openxmlformats.org/drawingml/2006/picture">
                      <pic:pic>
                        <pic:nvPicPr>
                          <pic:cNvPr id="1633286972" name="Picture"/>
                          <pic:cNvPicPr/>
                        </pic:nvPicPr>
                        <pic:blipFill>
                          <a:blip r:embed="img_0_11_3.png"/>
                          <a:srcRect/>
                          <a:stretch>
                            <a:fillRect/>
                          </a:stretch>
                        </pic:blipFill>
                        <pic:spPr>
                          <a:xfrm>
                            <a:off x="0" y="0"/>
                            <a:ext cx="6527800" cy="2540000"/>
                          </a:xfrm>
                          <a:prstGeom prst="rect"/>
                        </pic:spPr>
                      </pic:pic>
                    </a:graphicData>
                  </a:graphic>
                </wp:inline>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2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12</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inline distT="0" distB="0" distL="0" distR="0">
                  <wp:extent cx="7556500" cy="635000"/>
                  <wp:effectExtent l="0" t="0" r="0" b="0"/>
                  <wp:docPr id="1251232505" name="Picture">
</wp:docPr>
                  <a:graphic>
                    <a:graphicData uri="http://schemas.openxmlformats.org/drawingml/2006/picture">
                      <pic:pic>
                        <pic:nvPicPr>
                          <pic:cNvPr id="125123250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13</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inline distT="0" distB="0" distL="0" distR="0">
                  <wp:extent cx="7556500" cy="635000"/>
                  <wp:effectExtent l="0" t="0" r="0" b="0"/>
                  <wp:docPr id="1813922009" name="Picture">
</wp:docPr>
                  <a:graphic>
                    <a:graphicData uri="http://schemas.openxmlformats.org/drawingml/2006/picture">
                      <pic:pic>
                        <pic:nvPicPr>
                          <pic:cNvPr id="18139220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зарплат)</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14</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inline distT="0" distB="0" distL="0" distR="0">
                  <wp:extent cx="7556500" cy="635000"/>
                  <wp:effectExtent l="0" t="0" r="0" b="0"/>
                  <wp:docPr id="1571615117" name="Picture">
</wp:docPr>
                  <a:graphic>
                    <a:graphicData uri="http://schemas.openxmlformats.org/drawingml/2006/picture">
                      <pic:pic>
                        <pic:nvPicPr>
                          <pic:cNvPr id="157161511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8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15</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inline distT="0" distB="0" distL="0" distR="0">
                  <wp:extent cx="7556500" cy="635000"/>
                  <wp:effectExtent l="0" t="0" r="0" b="0"/>
                  <wp:docPr id="1072267396" name="Picture">
</wp:docPr>
                  <a:graphic>
                    <a:graphicData uri="http://schemas.openxmlformats.org/drawingml/2006/picture">
                      <pic:pic>
                        <pic:nvPicPr>
                          <pic:cNvPr id="107226739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(З-н магического числа 7 ± 2).</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6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14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10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16</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inline distT="0" distB="0" distL="0" distR="0">
                  <wp:extent cx="7556500" cy="635000"/>
                  <wp:effectExtent l="0" t="0" r="0" b="0"/>
                  <wp:docPr id="1873010424" name="Picture">
</wp:docPr>
                  <a:graphic>
                    <a:graphicData uri="http://schemas.openxmlformats.org/drawingml/2006/picture">
                      <pic:pic>
                        <pic:nvPicPr>
                          <pic:cNvPr id="1873010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tcPr>
          <w:p>
            <w:pPr>
              <w:pStyle w:val="EMPTY_CELL_STYLE"/>
            </w:pPr>
          </w:p>
        </w:tc>
        <w:tc>
          <w:tcPr>
     </w:tcPr>
          <w:p>
            <w:pPr>
              <w:pStyle w:val="EMPTY_CELL_STYLE"/>
            </w:pPr>
          </w:p>
        </w:tc>
      </w:tr>
      <w:tr>
        <w:trPr>
          <w:trHeight w:hRule="exact" w:val="96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c>
          <w:tcPr>
     </w:tcPr>
          <w:p>
            <w:pPr>
              <w:pStyle w:val="EMPTY_CELL_STYLE"/>
            </w:pPr>
          </w:p>
        </w:tc>
      </w:tr>
      <w:tr>
        <w:trPr>
          <w:trHeight w:hRule="exact" w:val="72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c>
          <w:tcPr>
     </w:tcPr>
          <w:p>
            <w:pPr>
              <w:pStyle w:val="EMPTY_CELL_STYLE"/>
            </w:pPr>
          </w:p>
        </w:tc>
      </w:tr>
      <w:tr>
        <w:trPr>
          <w:trHeight w:hRule="exact" w:val="19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c>
          <w:tcPr>
     </w:tcPr>
          <w:p>
            <w:pPr>
              <w:pStyle w:val="EMPTY_CELL_STYLE"/>
            </w:pPr>
          </w:p>
        </w:tc>
      </w:tr>
      <w:tr>
        <w:trPr>
          <w:trHeight w:hRule="exact" w:val="78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17</w:t>
            </w:r>
          </w:p>
        </w:tc>
        <w:tc>
          <w:tcPr>
            <w:gridSpan w:val="2"/>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inline distT="0" distB="0" distL="0" distR="0">
                  <wp:extent cx="7556500" cy="635000"/>
                  <wp:effectExtent l="0" t="0" r="0" b="0"/>
                  <wp:docPr id="1949625875" name="Picture">
</wp:docPr>
                  <a:graphic>
                    <a:graphicData uri="http://schemas.openxmlformats.org/drawingml/2006/picture">
                      <pic:pic>
                        <pic:nvPicPr>
                          <pic:cNvPr id="19496258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Business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AcceptArtifact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AnyMember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ArtifactHasAlreadyBeenEndorsedForTheMember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ArtifactIsAccepted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ArtifactIsProposed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AvailableEndorsementsExceeded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Committee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Competence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CompleteEndorsement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EndorsementCompleted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inline distT="0" distB="0" distL="0" distR="0">
                  <wp:extent cx="7556500" cy="635000"/>
                  <wp:effectExtent l="0" t="0" r="0" b="0"/>
                  <wp:docPr id="2018528489" name="Picture">
</wp:docPr>
                  <a:graphic>
                    <a:graphicData uri="http://schemas.openxmlformats.org/drawingml/2006/picture">
                      <pic:pic>
                        <pic:nvPicPr>
                          <pic:cNvPr id="201852848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EndorsementReceived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EndorsementReleased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EndorsementReserved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GradeAssigned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Group</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HigherGradeCan'tBeEndorsed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Member B</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Moderator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PendingArtifacts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ProposeArtifact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19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inline distT="0" distB="0" distL="0" distR="0">
                  <wp:extent cx="7556500" cy="635000"/>
                  <wp:effectExtent l="0" t="0" r="0" b="0"/>
                  <wp:docPr id="2126842086" name="Picture">
</wp:docPr>
                  <a:graphic>
                    <a:graphicData uri="http://schemas.openxmlformats.org/drawingml/2006/picture">
                      <pic:pic>
                        <pic:nvPicPr>
                          <pic:cNvPr id="212684208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RecentArtifacts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ReleaseEndorsement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ReserveEndorsement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Role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SyncGrade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Team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Tenant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Actor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User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Агрегат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Актор</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Role</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inline distT="0" distB="0" distL="0" distR="0">
                  <wp:extent cx="7556500" cy="635000"/>
                  <wp:effectExtent l="0" t="0" r="0" b="0"/>
                  <wp:docPr id="598183031" name="Picture">
</wp:docPr>
                  <a:graphic>
                    <a:graphicData uri="http://schemas.openxmlformats.org/drawingml/2006/picture">
                      <pic:pic>
                        <pic:nvPicPr>
                          <pic:cNvPr id="5981830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Доменное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Запрос</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Function (Query)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Команда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Модель Чтения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Representation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Политика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Business Process (Policy)</w:t>
            </w:r>
          </w:p>
        </w:tc>
        <w:tc>
          <w:tcPr>
     </w:tcPr>
          <w:p>
            <w:pPr>
              <w:pStyle w:val="EMPTY_CELL_STYLE"/>
            </w:pPr>
          </w:p>
        </w:tc>
      </w:tr>
      <w:tr>
        <w:trPr>
          <w:trHeight w:hRule="exact" w:val="9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inline distT="0" distB="0" distL="0" distR="0">
                  <wp:extent cx="7556500" cy="635000"/>
                  <wp:effectExtent l="0" t="0" r="0" b="0"/>
                  <wp:docPr id="1505331921" name="Picture">
</wp:docPr>
                  <a:graphic>
                    <a:graphicData uri="http://schemas.openxmlformats.org/drawingml/2006/picture">
                      <pic:pic>
                        <pic:nvPicPr>
                          <pic:cNvPr id="150533192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Application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Aggregate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Another Service/System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CommandHandler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Expension Point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Front Door Queue using message bus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Gateway (with Transactional Outbox)</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GOF Pattern 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Infrastructure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Component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JSON-RPC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Kafka Subscriber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inline distT="0" distB="0" distL="0" distR="0">
                  <wp:extent cx="7556500" cy="635000"/>
                  <wp:effectExtent l="0" t="0" r="0" b="0"/>
                  <wp:docPr id="216112262" name="Picture">
</wp:docPr>
                  <a:graphic>
                    <a:graphicData uri="http://schemas.openxmlformats.org/drawingml/2006/picture">
                      <pic:pic>
                        <pic:nvPicPr>
                          <pic:cNvPr id="2161122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Logging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Mediator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Projection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 (Hexagonal Port, 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QueryHandler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Data 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RepositoryImplementation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Service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RepositoryInterface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REST-API Hexagonal Adapter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Process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REST-Endpoint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Send Integration Event (Policy)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Function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Validation Pipeline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Interaction</w:t>
            </w: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inline distT="0" distB="0" distL="0" distR="0">
                  <wp:extent cx="7556500" cy="635000"/>
                  <wp:effectExtent l="0" t="0" r="0" b="0"/>
                  <wp:docPr id="464831537" name="Picture">
</wp:docPr>
                  <a:graphic>
                    <a:graphicData uri="http://schemas.openxmlformats.org/drawingml/2006/picture">
                      <pic:pic>
                        <pic:nvPicPr>
                          <pic:cNvPr id="4648315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WebHook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Interface</w:t>
            </w:r>
          </w:p>
        </w:tc>
        <w:tc>
          <w:tcPr>
     </w:tcPr>
          <w:p>
            <w:pPr>
              <w:pStyle w:val="EMPTY_CELL_STYLE"/>
            </w:pPr>
          </w:p>
        </w:tc>
      </w:tr>
      <w:tr>
        <w:trPr>
          <w:trHeight w:hRule="exact" w:val="13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inline distT="0" distB="0" distL="0" distR="0">
                  <wp:extent cx="7556500" cy="635000"/>
                  <wp:effectExtent l="0" t="0" r="0" b="0"/>
                  <wp:docPr id="1051304081" name="Picture">
</wp:docPr>
                  <a:graphic>
                    <a:graphicData uri="http://schemas.openxmlformats.org/drawingml/2006/picture">
                      <pic:pic>
                        <pic:nvPicPr>
                          <pic:cNvPr id="105130408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Technology &amp; Physical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Dead Letter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Message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Queue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Reply Channel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Bus Topic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Path</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Bytes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HTTP-Request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HTTP-Response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Integration Event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JSON-Object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ReadModel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WriteModel DataBase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Node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Интеграционное событие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Technology Event</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inline distT="0" distB="0" distL="0" distR="0">
                  <wp:extent cx="7556500" cy="635000"/>
                  <wp:effectExtent l="0" t="0" r="0" b="0"/>
                  <wp:docPr id="1775746074" name="Picture">
</wp:docPr>
                  <a:graphic>
                    <a:graphicData uri="http://schemas.openxmlformats.org/drawingml/2006/picture">
                      <pic:pic>
                        <pic:nvPicPr>
                          <pic:cNvPr id="177574607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Сообщение Команды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 (Command)</w:t>
            </w:r>
          </w:p>
        </w:tc>
        <w:tc>
          <w:tcPr>
     </w:tcPr>
          <w:p>
            <w:pPr>
              <w:pStyle w:val="EMPTY_CELL_STYLE"/>
            </w:pPr>
          </w:p>
        </w:tc>
      </w:tr>
      <w:tr>
        <w:trPr>
          <w:trHeight w:hRule="exact" w:val="13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inline distT="0" distB="0" distL="0" distR="0">
                  <wp:extent cx="7556500" cy="635000"/>
                  <wp:effectExtent l="0" t="0" r="0" b="0"/>
                  <wp:docPr id="717249075" name="Picture">
</wp:docPr>
                  <a:graphic>
                    <a:graphicData uri="http://schemas.openxmlformats.org/drawingml/2006/picture">
                      <pic:pic>
                        <pic:nvPicPr>
                          <pic:cNvPr id="7172490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"So, design ≈ cost ≈ change ≈ big change ≈ coupling. Transitively, software design ≈ managing coupling." -- Kent Beck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Assessment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Constraint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Driver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Goal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Requirement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Stakeholder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Артефакты должны классифицироваться по компетенциям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В экспертные сообщества нередко обращаются за услугами консалтинга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inline distT="0" distB="0" distL="0" distR="0">
                  <wp:extent cx="7556500" cy="635000"/>
                  <wp:effectExtent l="0" t="0" r="0" b="0"/>
                  <wp:docPr id="289214325" name="Picture">
</wp:docPr>
                  <a:graphic>
                    <a:graphicData uri="http://schemas.openxmlformats.org/drawingml/2006/picture">
                      <pic:pic>
                        <pic:nvPicPr>
                          <pic:cNvPr id="28921432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Ввести внутреннюю систему ценностей в виде квалификационной классности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4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вклад и квалификация члена Организации оцениваются одновременно и неразрывно, как и неразрывны теория с практикой; вклад не обязан быть кем-то оцененным, если он не отражает квалификацию исполнителя в виде конкретной ценности для достижения уставных целей Организации, а без практического вклада оценить отдельно квалификацию система тоже не позволяет; рекомендация означает признание экспертности члена Организации, выраженной на примере конкретного практического опыта,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Восстановить процентное содержание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Высокая стоимость внемения изменения в реализацию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Демотивация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https://dckms.github.io/system-architecture/emacsway/it/sdlc/models/agile/analysis/concerns/balancing-business-technical-concerns.html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8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inline distT="0" distB="0" distL="0" distR="0">
                  <wp:extent cx="7556500" cy="635000"/>
                  <wp:effectExtent l="0" t="0" r="0" b="0"/>
                  <wp:docPr id="1276365319" name="Picture">
</wp:docPr>
                  <a:graphic>
                    <a:graphicData uri="http://schemas.openxmlformats.org/drawingml/2006/picture">
                      <pic:pic>
                        <pic:nvPicPr>
                          <pic:cNvPr id="12763653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Зависимое положение исполнителя от оценки/рекомендации заказчика.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 не осведомлен об объективной квалификации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Заказчики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Захламленность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Защитить ценную информацию и ценных участников от атак.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Исполнители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Квалификационный голод малых компаний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4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29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inline distT="0" distB="0" distL="0" distR="0">
                  <wp:extent cx="7556500" cy="635000"/>
                  <wp:effectExtent l="0" t="0" r="0" b="0"/>
                  <wp:docPr id="259604245" name="Picture">
</wp:docPr>
                  <a:graphic>
                    <a:graphicData uri="http://schemas.openxmlformats.org/drawingml/2006/picture">
                      <pic:pic>
                        <pic:nvPicPr>
                          <pic:cNvPr id="2596042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зарплат)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Максимизировать объективность квалифицирования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inline distT="0" distB="0" distL="0" distR="0">
                  <wp:extent cx="7556500" cy="635000"/>
                  <wp:effectExtent l="0" t="0" r="0" b="0"/>
                  <wp:docPr id="178838760" name="Picture">
</wp:docPr>
                  <a:graphic>
                    <a:graphicData uri="http://schemas.openxmlformats.org/drawingml/2006/picture">
                      <pic:pic>
                        <pic:nvPicPr>
                          <pic:cNvPr id="17883876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Мотивировать участников к повышению качества публикуемой ими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Неизменяемый лог рекомендаций</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Низкая эффективность грейдов на основе матриц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Низкое качество ПО</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inline distT="0" distB="0" distL="0" distR="0">
                  <wp:extent cx="7556500" cy="635000"/>
                  <wp:effectExtent l="0" t="0" r="0" b="0"/>
                  <wp:docPr id="1726032955" name="Picture">
</wp:docPr>
                  <a:graphic>
                    <a:graphicData uri="http://schemas.openxmlformats.org/drawingml/2006/picture">
                      <pic:pic>
                        <pic:nvPicPr>
                          <pic:cNvPr id="172603295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 компетенциях (областях знаний)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представление об уровне квалификации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Principle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Перерасход средств по стоимости разработки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Понижение уровня реиспользования кода, рост дубликатов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Поставщики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Потребители услуг outsourcing marketplaces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inline distT="0" distB="0" distL="0" distR="0">
                  <wp:extent cx="7556500" cy="635000"/>
                  <wp:effectExtent l="0" t="0" r="0" b="0"/>
                  <wp:docPr id="1301228797" name="Picture">
</wp:docPr>
                  <a:graphic>
                    <a:graphicData uri="http://schemas.openxmlformats.org/drawingml/2006/picture">
                      <pic:pic>
                        <pic:nvPicPr>
                          <pic:cNvPr id="130122879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Работодатели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Разные участники организации обладают различным уровнем экспертности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Результат тестирования нередко можно купить или поделать.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Рейтинги не дают представления о компетенциях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Рост когнитивной нагрузки на практикующего специалиста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6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inline distT="0" distB="0" distL="0" distR="0">
                  <wp:extent cx="7556500" cy="635000"/>
                  <wp:effectExtent l="0" t="0" r="0" b="0"/>
                  <wp:docPr id="508397424" name="Picture">
</wp:docPr>
                  <a:graphic>
                    <a:graphicData uri="http://schemas.openxmlformats.org/drawingml/2006/picture">
                      <pic:pic>
                        <pic:nvPicPr>
                          <pic:cNvPr id="50839742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компетентностью на биржу.</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Сложность выбора квалифицированного исполнителя</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Сотрудники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Спам в пабликах</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Специалисты отрасти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Стимулировать развитие участников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9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inline distT="0" distB="0" distL="0" distR="0">
                  <wp:extent cx="7556500" cy="635000"/>
                  <wp:effectExtent l="0" t="0" r="0" b="0"/>
                  <wp:docPr id="347419231" name="Picture">
</wp:docPr>
                  <a:graphic>
                    <a:graphicData uri="http://schemas.openxmlformats.org/drawingml/2006/picture">
                      <pic:pic>
                        <pic:nvPicPr>
                          <pic:cNvPr id="34741923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9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Укрепить репутацию экспертного сообщества</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Ухудшение внутреннего качества программы</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сообщества могут банить спамеров, используя, например, @banofbot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https://github.com/backmeupplz/banofbot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Участники экспертных сообществ</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500"/>
        </w:trPr>
        <w:tc>
          <w:tcPr>
     </w:tcPr>
          <w:p>
            <w:pPr>
              <w:pStyle w:val="EMPTY_CELL_STYLE"/>
            </w:pPr>
          </w:p>
        </w:tc>
        <w:tc>
          <w:tcPr>
            <w:gridSpan w:val="5"/>
            <w:tcMar>
              <w:top w:w="0" w:type="dxa"/>
              <w:left w:w="0" w:type="dxa"/>
              <w:bottom w:w="0" w:type="dxa"/>
              <w:right w:w="0" w:type="dxa"/>
            </w:tcMar>
            <w:vAlign w:val="top"/>
          </w:tcPr>
          <w:p>
            <w:pPr>
              <w:pStyle w:val="Normal"/>
              <w:ind/>
            </w:pPr>
            <w:r>
              <w:rPr>
                <w:sz w:val="26"/>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Pr>
              <w:t xml:space="preserve">- https://twitter.com/ghohpe/status/1332200805852606470?s=20</w:t>
              <w:br/>
              <w:br/>
              <w:t xml:space="preserve">- https://ru.wikipedia.org/wiki/%D0%AD%D1%84%D1%84%D0%B5%D0%BA%D1%82_%D0%94%D0%B0%D0%BD%D0%BD%D0%B8%D0%BD%D0%B3%D0%B0_%E2%80%94_%D0%9A%D1%80%D1%8E%D0%B3%D0%B5%D1%80%D0%B0</w:t>
              <w:br/>
            </w:r>
          </w:p>
        </w:tc>
        <w:tc>
          <w:tcPr>
     </w:tcPr>
          <w:p>
            <w:pPr>
              <w:pStyle w:val="EMPTY_CELL_STYLE"/>
            </w:pPr>
          </w:p>
        </w:tc>
      </w:tr>
      <w:tr>
        <w:trPr>
          <w:trHeight w:hRule="exact" w:val="1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inline distT="0" distB="0" distL="0" distR="0">
                  <wp:extent cx="7556500" cy="635000"/>
                  <wp:effectExtent l="0" t="0" r="0" b="0"/>
                  <wp:docPr id="473030237" name="Picture">
</wp:docPr>
                  <a:graphic>
                    <a:graphicData uri="http://schemas.openxmlformats.org/drawingml/2006/picture">
                      <pic:pic>
                        <pic:nvPicPr>
                          <pic:cNvPr id="4730302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Other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Application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Domain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Grade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Identity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inline distT="0" distB="0" distL="0" distR="0">
                  <wp:extent cx="7556500" cy="635000"/>
                  <wp:effectExtent l="0" t="0" r="0" b="0"/>
                  <wp:docPr id="533053618" name="Picture">
</wp:docPr>
                  <a:graphic>
                    <a:graphicData uri="http://schemas.openxmlformats.org/drawingml/2006/picture">
                      <pic:pic>
                        <pic:nvPicPr>
                          <pic:cNvPr id="53305361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Junction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Project Management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Telegram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Voting BC</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Grouping</w:t>
            </w:r>
          </w:p>
        </w:tc>
        <w:tc>
          <w:tcPr>
     </w:tcPr>
          <w:p>
            <w:pPr>
              <w:pStyle w:val="EMPTY_CELL_STYLE"/>
            </w:pPr>
          </w:p>
        </w:tc>
      </w:tr>
      <w:tr>
        <w:trPr>
          <w:trHeight w:hRule="exact" w:val="10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inline distT="0" distB="0" distL="0" distR="0">
                  <wp:extent cx="7556500" cy="635000"/>
                  <wp:effectExtent l="0" t="0" r="0" b="0"/>
                  <wp:docPr id="1242315432" name="Picture">
</wp:docPr>
                  <a:graphic>
                    <a:graphicData uri="http://schemas.openxmlformats.org/drawingml/2006/picture">
                      <pic:pic>
                        <pic:nvPicPr>
                          <pic:cNvPr id="124231543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Основанием для каждой рекомендации должен служить факт конкретного вклада участника в достижение целей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 Database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inline distT="0" distB="0" distL="0" distR="0">
                  <wp:extent cx="7556500" cy="635000"/>
                  <wp:effectExtent l="0" t="0" r="0" b="0"/>
                  <wp:docPr id="1542792163" name="Picture">
</wp:docPr>
                  <a:graphic>
                    <a:graphicData uri="http://schemas.openxmlformats.org/drawingml/2006/picture">
                      <pic:pic>
                        <pic:nvPicPr>
                          <pic:cNvPr id="15427921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Исключить влияние эффекта Даннинга-Крюгера на качество информационного пространства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39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inline distT="0" distB="0" distL="0" distR="0">
                  <wp:extent cx="7556500" cy="635000"/>
                  <wp:effectExtent l="0" t="0" r="0" b="0"/>
                  <wp:docPr id="971497536" name="Picture">
</wp:docPr>
                  <a:graphic>
                    <a:graphicData uri="http://schemas.openxmlformats.org/drawingml/2006/picture">
                      <pic:pic>
                        <pic:nvPicPr>
                          <pic:cNvPr id="97149753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Интеграционное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Результат тестирования нередко можно купить или поделать.</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Многие системы тестирования слабо защищены технически от обмана (например, допускают вмешательство в работу JavaScript кода web-страницы).</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WriteModel DataBase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9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inline distT="0" distB="0" distL="0" distR="0">
                  <wp:extent cx="7556500" cy="635000"/>
                  <wp:effectExtent l="0" t="0" r="0" b="0"/>
                  <wp:docPr id="1484177113" name="Picture">
</wp:docPr>
                  <a:graphic>
                    <a:graphicData uri="http://schemas.openxmlformats.org/drawingml/2006/picture">
                      <pic:pic>
                        <pic:nvPicPr>
                          <pic:cNvPr id="148417711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Наделить высококвалифицированных специалистов мерами административного воздействия, например, предоставить право установления временного запрета на публикацию сообщений в тг-канале.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inline distT="0" distB="0" distL="0" distR="0">
                  <wp:extent cx="7556500" cy="635000"/>
                  <wp:effectExtent l="0" t="0" r="0" b="0"/>
                  <wp:docPr id="2037835062" name="Picture">
</wp:docPr>
                  <a:graphic>
                    <a:graphicData uri="http://schemas.openxmlformats.org/drawingml/2006/picture">
                      <pic:pic>
                        <pic:nvPicPr>
                          <pic:cNvPr id="2037835062"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Topic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Стесненностью ресурсов времени практикующих специалистов на освоение информации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inline distT="0" distB="0" distL="0" distR="0">
                  <wp:extent cx="7556500" cy="635000"/>
                  <wp:effectExtent l="0" t="0" r="0" b="0"/>
                  <wp:docPr id="1160845977" name="Picture">
</wp:docPr>
                  <a:graphic>
                    <a:graphicData uri="http://schemas.openxmlformats.org/drawingml/2006/picture">
                      <pic:pic>
                        <pic:nvPicPr>
                          <pic:cNvPr id="116084597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Падение velocity. В основу метафоры "технический долг" положено правило "сложного процента", возрастающего в геометрической прогрессии.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inline distT="0" distB="0" distL="0" distR="0">
                  <wp:extent cx="7556500" cy="635000"/>
                  <wp:effectExtent l="0" t="0" r="0" b="0"/>
                  <wp:docPr id="253983463" name="Picture">
</wp:docPr>
                  <a:graphic>
                    <a:graphicData uri="http://schemas.openxmlformats.org/drawingml/2006/picture">
                      <pic:pic>
                        <pic:nvPicPr>
                          <pic:cNvPr id="25398346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Специалисты отрасти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2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inline distT="0" distB="0" distL="0" distR="0">
                  <wp:extent cx="7556500" cy="635000"/>
                  <wp:effectExtent l="0" t="0" r="0" b="0"/>
                  <wp:docPr id="1664738820" name="Picture">
</wp:docPr>
                  <a:graphic>
                    <a:graphicData uri="http://schemas.openxmlformats.org/drawingml/2006/picture">
                      <pic:pic>
                        <pic:nvPicPr>
                          <pic:cNvPr id="166473882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Максимизировать объективность квалифицирования</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inline distT="0" distB="0" distL="0" distR="0">
                  <wp:extent cx="7556500" cy="635000"/>
                  <wp:effectExtent l="0" t="0" r="0" b="0"/>
                  <wp:docPr id="525154553" name="Picture">
</wp:docPr>
                  <a:graphic>
                    <a:graphicData uri="http://schemas.openxmlformats.org/drawingml/2006/picture">
                      <pic:pic>
                        <pic:nvPicPr>
                          <pic:cNvPr id="5251545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Неясные интерфейсы и именования требуют затрат времени на изучение реализации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inline distT="0" distB="0" distL="0" distR="0">
                  <wp:extent cx="7556500" cy="635000"/>
                  <wp:effectExtent l="0" t="0" r="0" b="0"/>
                  <wp:docPr id="1711573700" name="Picture">
</wp:docPr>
                  <a:graphic>
                    <a:graphicData uri="http://schemas.openxmlformats.org/drawingml/2006/picture">
                      <pic:pic>
                        <pic:nvPicPr>
                          <pic:cNvPr id="17115737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Компенсировать зависимость исполнителя от оценки заказчика (на краткосрочном горизонте) введением зависимости от перспектив (на долгосрочном горизонте).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inline distT="0" distB="0" distL="0" distR="0">
                  <wp:extent cx="7556500" cy="635000"/>
                  <wp:effectExtent l="0" t="0" r="0" b="0"/>
                  <wp:docPr id="1214850053" name="Picture">
</wp:docPr>
                  <a:graphic>
                    <a:graphicData uri="http://schemas.openxmlformats.org/drawingml/2006/picture">
                      <pic:pic>
                        <pic:nvPicPr>
                          <pic:cNvPr id="121485005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Демотивация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Поставщики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Исполнители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inline distT="0" distB="0" distL="0" distR="0">
                  <wp:extent cx="7556500" cy="635000"/>
                  <wp:effectExtent l="0" t="0" r="0" b="0"/>
                  <wp:docPr id="256167987" name="Picture">
</wp:docPr>
                  <a:graphic>
                    <a:graphicData uri="http://schemas.openxmlformats.org/drawingml/2006/picture">
                      <pic:pic>
                        <pic:nvPicPr>
                          <pic:cNvPr id="25616798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Конфликт интересов сертификационных организаций, финансирование которых находится в зависимости от количества претендентов и проданных курсов подготовки.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Количество голосов, требуемых для блокирования участника, должно учитывать уровень его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Неизменяемый лог рекомендаций</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прозрачность происхождения уровня квалификации и её аудируемость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Send Integration Event (Policy)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7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49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inline distT="0" distB="0" distL="0" distR="0">
                  <wp:extent cx="7556500" cy="635000"/>
                  <wp:effectExtent l="0" t="0" r="0" b="0"/>
                  <wp:docPr id="1715781109" name="Picture">
</wp:docPr>
                  <a:graphic>
                    <a:graphicData uri="http://schemas.openxmlformats.org/drawingml/2006/picture">
                      <pic:pic>
                        <pic:nvPicPr>
                          <pic:cNvPr id="17157811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CompleteEndorsement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Запрос</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inline distT="0" distB="0" distL="0" distR="0">
                  <wp:extent cx="7556500" cy="635000"/>
                  <wp:effectExtent l="0" t="0" r="0" b="0"/>
                  <wp:docPr id="832248951" name="Picture">
</wp:docPr>
                  <a:graphic>
                    <a:graphicData uri="http://schemas.openxmlformats.org/drawingml/2006/picture">
                      <pic:pic>
                        <pic:nvPicPr>
                          <pic:cNvPr id="8322489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ArtifactIsProposed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inline distT="0" distB="0" distL="0" distR="0">
                  <wp:extent cx="7556500" cy="635000"/>
                  <wp:effectExtent l="0" t="0" r="0" b="0"/>
                  <wp:docPr id="1471364137" name="Picture">
</wp:docPr>
                  <a:graphic>
                    <a:graphicData uri="http://schemas.openxmlformats.org/drawingml/2006/picture">
                      <pic:pic>
                        <pic:nvPicPr>
                          <pic:cNvPr id="1471364137"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Committee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Голос участника опроса должен учитываться с учетом весового коэффициента его квалификационного класса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ценную информацию и ценных участников от атак.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ArtifactHasAlreadyBeenEndorsedForTheMember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Конкуренция сертификационных организаций склоняет их к достижению рыночной гегемонии путем формирования приоритета на количество выпущенных сертификатов в ущерб качеству.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inline distT="0" distB="0" distL="0" distR="0">
                  <wp:extent cx="7556500" cy="635000"/>
                  <wp:effectExtent l="0" t="0" r="0" b="0"/>
                  <wp:docPr id="1956095316" name="Picture">
</wp:docPr>
                  <a:graphic>
                    <a:graphicData uri="http://schemas.openxmlformats.org/drawingml/2006/picture">
                      <pic:pic>
                        <pic:nvPicPr>
                          <pic:cNvPr id="195609531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Стоимость дорогих изменений образуется стоимостью каскадных изменений, которые образуются High Coupling</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Защитить социальное положение грамотных специалистов как источников качественной информации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inline distT="0" distB="0" distL="0" distR="0">
                  <wp:extent cx="7556500" cy="635000"/>
                  <wp:effectExtent l="0" t="0" r="0" b="0"/>
                  <wp:docPr id="694103323" name="Picture">
</wp:docPr>
                  <a:graphic>
                    <a:graphicData uri="http://schemas.openxmlformats.org/drawingml/2006/picture">
                      <pic:pic>
                        <pic:nvPicPr>
                          <pic:cNvPr id="69410332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2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процессе конструирования кода, 91% времени (в лучшем случае) занимает именно чтение кода и борьба со сложностью (каждым разработчиком постоянно), и только 9% времени (1:10) занимает ввод символов с клавиатуры (одним разработчиком единократно)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inline distT="0" distB="0" distL="0" distR="0">
                  <wp:extent cx="7556500" cy="635000"/>
                  <wp:effectExtent l="0" t="0" r="0" b="0"/>
                  <wp:docPr id="685428529" name="Picture">
</wp:docPr>
                  <a:graphic>
                    <a:graphicData uri="http://schemas.openxmlformats.org/drawingml/2006/picture">
                      <pic:pic>
                        <pic:nvPicPr>
                          <pic:cNvPr id="68542852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Артефакты должны классифицироваться по компетенциям</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Group</w:t>
            </w:r>
          </w:p>
        </w:tc>
        <w:tc>
          <w:tcPr>
     </w:tcPr>
          <w:p>
            <w:pPr>
              <w:pStyle w:val="EMPTY_CELL_STYLE"/>
            </w:pPr>
          </w:p>
        </w:tc>
      </w:tr>
      <w:tr>
        <w:trPr>
          <w:trHeight w:hRule="exact" w:val="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5" w:name="JR_PAGE_ANCHOR_0_56"/>
            <w:bookmarkEnd w:id="55"/>
            <w:r>
              <w:rPr/>
              <w:drawing>
                <wp:inline distT="0" distB="0" distL="0" distR="0">
                  <wp:extent cx="7556500" cy="635000"/>
                  <wp:effectExtent l="0" t="0" r="0" b="0"/>
                  <wp:docPr id="1777591638" name="Picture">
</wp:docPr>
                  <a:graphic>
                    <a:graphicData uri="http://schemas.openxmlformats.org/drawingml/2006/picture">
                      <pic:pic>
                        <pic:nvPicPr>
                          <pic:cNvPr id="177759163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Projection (Policy)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Требуемые количества рекомендаций по квалификационным классам: эксперт - 20 рекомендаций Экспертов; кандидат в эксперты - 10 рекомендаций Кандидатов в эксперты; 1 класс - 7 рекомендаций 1-го класса; 2 класс - 5 рекомендаций 2-го класса; 3 класс - 3 рекомендации 3-го класса; без класса - по умолчанию.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Спам в пабликах</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EndorsementCompleted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4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6" w:name="JR_PAGE_ANCHOR_0_57"/>
            <w:bookmarkEnd w:id="56"/>
            <w:r>
              <w:rPr/>
              <w:drawing>
                <wp:inline distT="0" distB="0" distL="0" distR="0">
                  <wp:extent cx="7556500" cy="635000"/>
                  <wp:effectExtent l="0" t="0" r="0" b="0"/>
                  <wp:docPr id="665390309" name="Picture">
</wp:docPr>
                  <a:graphic>
                    <a:graphicData uri="http://schemas.openxmlformats.org/drawingml/2006/picture">
                      <pic:pic>
                        <pic:nvPicPr>
                          <pic:cNvPr id="66539030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Logging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JSON-RPC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AnyMember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7" w:name="JR_PAGE_ANCHOR_0_58"/>
            <w:bookmarkEnd w:id="57"/>
            <w:r>
              <w:rPr/>
              <w:drawing>
                <wp:inline distT="0" distB="0" distL="0" distR="0">
                  <wp:extent cx="7556500" cy="635000"/>
                  <wp:effectExtent l="0" t="0" r="0" b="0"/>
                  <wp:docPr id="1135930380" name="Picture">
</wp:docPr>
                  <a:graphic>
                    <a:graphicData uri="http://schemas.openxmlformats.org/drawingml/2006/picture">
                      <pic:pic>
                        <pic:nvPicPr>
                          <pic:cNvPr id="11359303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представление нанимателю данных об уровне экспертности члена Организации (по его желанию), выраженного конкретным опытом, ценность которого подтверждена другими членами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96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Система рейтингов подрядных бирж отражает не уровень квалификации, а уровень лояльности исполнителя, ибо если бы заказчик был способен оценить компетентность, то он не обращался бы за этой компетентностью на биржу.</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Зависимое положение исполнителя от оценки/рекомендации заказчика.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Квалифицировать должно лицо, обладающее способностями объективной квалификации, т.е. квалифицировать должен специалист с известным/подтвержденным уровнем квалификации не ниже уровня квалифицируемого, а не заказчик.</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8" w:name="JR_PAGE_ANCHOR_0_59"/>
            <w:bookmarkEnd w:id="58"/>
            <w:r>
              <w:rPr/>
              <w:drawing>
                <wp:inline distT="0" distB="0" distL="0" distR="0">
                  <wp:extent cx="7556500" cy="635000"/>
                  <wp:effectExtent l="0" t="0" r="0" b="0"/>
                  <wp:docPr id="1046396414" name="Picture">
</wp:docPr>
                  <a:graphic>
                    <a:graphicData uri="http://schemas.openxmlformats.org/drawingml/2006/picture">
                      <pic:pic>
                        <pic:nvPicPr>
                          <pic:cNvPr id="10463964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предлагаемые артефакты могут проходить процедуру одобрения Комитетом Организации по его усмотрению.</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Driver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Stakeholder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не отражает ни широты, на глубины знаний, ни способности специалиста применять эти знания на практике.</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5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59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9" w:name="JR_PAGE_ANCHOR_0_60"/>
            <w:bookmarkEnd w:id="59"/>
            <w:r>
              <w:rPr/>
              <w:drawing>
                <wp:inline distT="0" distB="0" distL="0" distR="0">
                  <wp:extent cx="7556500" cy="635000"/>
                  <wp:effectExtent l="0" t="0" r="0" b="0"/>
                  <wp:docPr id="1706505865" name="Picture">
</wp:docPr>
                  <a:graphic>
                    <a:graphicData uri="http://schemas.openxmlformats.org/drawingml/2006/picture">
                      <pic:pic>
                        <pic:nvPicPr>
                          <pic:cNvPr id="170650586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 не осведомлен об объективной квалификации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Каждый участник может отдать 20 рекомендаций (признаний) в год в пользу других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Reply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Удовлетворение квалификационного голода малых компаний на основе нерегулярной частичной форме занятости высококвалифицированных специалистов (консалтинг).</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0" w:name="JR_PAGE_ANCHOR_0_61"/>
            <w:bookmarkEnd w:id="60"/>
            <w:r>
              <w:rPr/>
              <w:drawing>
                <wp:inline distT="0" distB="0" distL="0" distR="0">
                  <wp:extent cx="7556500" cy="635000"/>
                  <wp:effectExtent l="0" t="0" r="0" b="0"/>
                  <wp:docPr id="1180245656" name="Picture">
</wp:docPr>
                  <a:graphic>
                    <a:graphicData uri="http://schemas.openxmlformats.org/drawingml/2006/picture">
                      <pic:pic>
                        <pic:nvPicPr>
                          <pic:cNvPr id="118024565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REST-API Hexagonal Adapter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ReadModel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Сообщение Команды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RepositoryImplementation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Квалифицированные кадры не видят репутационной и карьерной привлекательности в вакансиях малых компаний на постоянной форме занятости (по причине повышенных финансовых рисков, невысокой карьерной целесообразности и недостаточной конкурентноспособности зарплат)</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96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Адресовать запросы в первую очередь к участникам, обладающим наивысшим уровнем экспертности, выраженной конкретным опытом, ценность которого подтверждена другими членами организации.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1" w:name="JR_PAGE_ANCHOR_0_62"/>
            <w:bookmarkEnd w:id="61"/>
            <w:r>
              <w:rPr/>
              <w:drawing>
                <wp:inline distT="0" distB="0" distL="0" distR="0">
                  <wp:extent cx="7556500" cy="635000"/>
                  <wp:effectExtent l="0" t="0" r="0" b="0"/>
                  <wp:docPr id="102564126" name="Picture">
</wp:docPr>
                  <a:graphic>
                    <a:graphicData uri="http://schemas.openxmlformats.org/drawingml/2006/picture">
                      <pic:pic>
                        <pic:nvPicPr>
                          <pic:cNvPr id="102564126"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B</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9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2" w:name="JR_PAGE_ANCHOR_0_63"/>
            <w:bookmarkEnd w:id="62"/>
            <w:r>
              <w:rPr/>
              <w:drawing>
                <wp:inline distT="0" distB="0" distL="0" distR="0">
                  <wp:extent cx="7556500" cy="635000"/>
                  <wp:effectExtent l="0" t="0" r="0" b="0"/>
                  <wp:docPr id="209890594" name="Picture">
</wp:docPr>
                  <a:graphic>
                    <a:graphicData uri="http://schemas.openxmlformats.org/drawingml/2006/picture">
                      <pic:pic>
                        <pic:nvPicPr>
                          <pic:cNvPr id="20989059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Мотивировать участников к повышению качества публикуемой ими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HigherGradeCan'tBeEndorsed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Рост когнитивной нагрузки на практикующего специалиста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AcceptArtifact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ArtifactIsAccepted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2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4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3" w:name="JR_PAGE_ANCHOR_0_64"/>
            <w:bookmarkEnd w:id="63"/>
            <w:r>
              <w:rPr/>
              <w:drawing>
                <wp:inline distT="0" distB="0" distL="0" distR="0">
                  <wp:extent cx="7556500" cy="635000"/>
                  <wp:effectExtent l="0" t="0" r="0" b="0"/>
                  <wp:docPr id="481577519" name="Picture">
</wp:docPr>
                  <a:graphic>
                    <a:graphicData uri="http://schemas.openxmlformats.org/drawingml/2006/picture">
                      <pic:pic>
                        <pic:nvPicPr>
                          <pic:cNvPr id="481577519"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Низкое качество ПО</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Самообразование и обретение опыта требуют затрат времени, поэтому грамотные специалисты стеснены в свободным времени, что зачастую приводит к гегемонии бескомпетентности в информационном пространстве экспертных сообществ - от этого страдает большинство технических пабликов.</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ReserveEndorsement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Квалификационный голод малых компаний</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7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4" w:name="JR_PAGE_ANCHOR_0_65"/>
            <w:bookmarkEnd w:id="64"/>
            <w:r>
              <w:rPr/>
              <w:drawing>
                <wp:inline distT="0" distB="0" distL="0" distR="0">
                  <wp:extent cx="7556500" cy="635000"/>
                  <wp:effectExtent l="0" t="0" r="0" b="0"/>
                  <wp:docPr id="556677614" name="Picture">
</wp:docPr>
                  <a:graphic>
                    <a:graphicData uri="http://schemas.openxmlformats.org/drawingml/2006/picture">
                      <pic:pic>
                        <pic:nvPicPr>
                          <pic:cNvPr id="55667761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Gateway (with Transactional Outbox)</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Понижение уровня реиспользования кода, рост дубликатов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Mediator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GOF Pattern Mediator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REST-Endpoint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Bytes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Kafka Subscriber Hexagonal Adapter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EndorsementReceived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RepositoryInterface</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5" w:name="JR_PAGE_ANCHOR_0_66"/>
            <w:bookmarkEnd w:id="65"/>
            <w:r>
              <w:rPr/>
              <w:drawing>
                <wp:inline distT="0" distB="0" distL="0" distR="0">
                  <wp:extent cx="7556500" cy="635000"/>
                  <wp:effectExtent l="0" t="0" r="0" b="0"/>
                  <wp:docPr id="427645575" name="Picture">
</wp:docPr>
                  <a:graphic>
                    <a:graphicData uri="http://schemas.openxmlformats.org/drawingml/2006/picture">
                      <pic:pic>
                        <pic:nvPicPr>
                          <pic:cNvPr id="42764557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Стимулировать развитие участников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Модель Чтения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Агрегат</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7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6" w:name="JR_PAGE_ANCHOR_0_67"/>
            <w:bookmarkEnd w:id="66"/>
            <w:r>
              <w:rPr/>
              <w:drawing>
                <wp:inline distT="0" distB="0" distL="0" distR="0">
                  <wp:extent cx="7556500" cy="635000"/>
                  <wp:effectExtent l="0" t="0" r="0" b="0"/>
                  <wp:docPr id="1016064173" name="Picture">
</wp:docPr>
                  <a:graphic>
                    <a:graphicData uri="http://schemas.openxmlformats.org/drawingml/2006/picture">
                      <pic:pic>
                        <pic:nvPicPr>
                          <pic:cNvPr id="1016064173"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Системы тестирования зачастую обросли шпаргалками, которые специалист может выучить за один-два вечера.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AvailableEndorsementsExceeded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 (Hexagonal Port, Interface)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"So, design ≈ cost ≈ change ≈ big change ≈ coupling. Transitively, software design ≈ managing coupling." -- Kent Beck</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Новичкам не всегда понятно кого слушать, т.к. у них не сформированы критерии оценки.</w:t>
            </w:r>
          </w:p>
        </w:tc>
        <w:tc>
          <w:tcPr>
     </w:tcPr>
          <w:p>
            <w:pPr>
              <w:pStyle w:val="EMPTY_CELL_STYLE"/>
            </w:pPr>
          </w:p>
        </w:tc>
      </w:tr>
      <w:tr>
        <w:trPr>
          <w:trHeight w:hRule="exact" w:val="8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 "There's a definite Dunning-Kruger effect for authors. The people who hold a ton of knowledge hesitate because they find their insights "obvious" or "nothing special". Then you have people who write a lot but do little real work that they could base their writing on..." -- Gregor Hohpe https://twitter.com/ghohpe/status/1332200805852606470?s=20</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7" w:name="JR_PAGE_ANCHOR_0_68"/>
            <w:bookmarkEnd w:id="67"/>
            <w:r>
              <w:rPr/>
              <w:drawing>
                <wp:inline distT="0" distB="0" distL="0" distR="0">
                  <wp:extent cx="7556500" cy="635000"/>
                  <wp:effectExtent l="0" t="0" r="0" b="0"/>
                  <wp:docPr id="2068191651" name="Picture">
</wp:docPr>
                  <a:graphic>
                    <a:graphicData uri="http://schemas.openxmlformats.org/drawingml/2006/picture">
                      <pic:pic>
                        <pic:nvPicPr>
                          <pic:cNvPr id="206819165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RecentArtifacts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Role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Specialization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Потребители услуг outsourcing marketplaces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Заказчики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Publisher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Дросселировать информацию от участников с невысоким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Восстановить процентное содержание качественной информации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Доменное событие</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Политика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14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об уровне квалификации участников</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68</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8" w:name="JR_PAGE_ANCHOR_0_69"/>
            <w:bookmarkEnd w:id="68"/>
            <w:r>
              <w:rPr/>
              <w:drawing>
                <wp:inline distT="0" distB="0" distL="0" distR="0">
                  <wp:extent cx="7556500" cy="635000"/>
                  <wp:effectExtent l="0" t="0" r="0" b="0"/>
                  <wp:docPr id="354980344" name="Picture">
</wp:docPr>
                  <a:graphic>
                    <a:graphicData uri="http://schemas.openxmlformats.org/drawingml/2006/picture">
                      <pic:pic>
                        <pic:nvPicPr>
                          <pic:cNvPr id="354980344"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Queue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Message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Актор</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Закоммерциализированные сертификаты зачастую не отражают реальный уровень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Работодатели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Традиционные методы голосования не позволяют в полной мере отразить отразить экспертность в рекомендациях добровольных совещательных органов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экспертных сообществ</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QueryHandler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Дисбаланс в пользу краткосрочных бизнес-интересов в ущерб долгосрочным техническим интересам (Spaghetti code)</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69</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69" w:name="JR_PAGE_ANCHOR_0_70"/>
            <w:bookmarkEnd w:id="69"/>
            <w:r>
              <w:rPr/>
              <w:drawing>
                <wp:inline distT="0" distB="0" distL="0" distR="0">
                  <wp:extent cx="7556500" cy="635000"/>
                  <wp:effectExtent l="0" t="0" r="0" b="0"/>
                  <wp:docPr id="1512060385" name="Picture">
</wp:docPr>
                  <a:graphic>
                    <a:graphicData uri="http://schemas.openxmlformats.org/drawingml/2006/picture">
                      <pic:pic>
                        <pic:nvPicPr>
                          <pic:cNvPr id="151206038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Наличие эталона подразумевает монополию на компетентность, что вызывает вопрос доверия к ней. Нередко экзаменуемый демонстрирует большую компетентностью, нежели экзаменатор, что ограничивает развитие остальных уровнем экзаменатора.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Bus Dead Letter Channel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Team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Рекомендации от участников более низкого квалификационного класса не допускаются.</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Укрепить репутацию экспертного сообщества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GradeAssigned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представление о компетенциях (областях знаний) исполнителя</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Рейтинги не дают представления о компетенциях исполнителя</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70</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0" w:name="JR_PAGE_ANCHOR_0_71"/>
            <w:bookmarkEnd w:id="70"/>
            <w:r>
              <w:rPr/>
              <w:drawing>
                <wp:inline distT="0" distB="0" distL="0" distR="0">
                  <wp:extent cx="7556500" cy="635000"/>
                  <wp:effectExtent l="0" t="0" r="0" b="0"/>
                  <wp:docPr id="451530980" name="Picture">
</wp:docPr>
                  <a:graphic>
                    <a:graphicData uri="http://schemas.openxmlformats.org/drawingml/2006/picture">
                      <pic:pic>
                        <pic:nvPicPr>
                          <pic:cNvPr id="45153098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Integration Event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ReleaseEndorsement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EndorsementReleased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Assignment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 A</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50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Тестирование основано на сопоставлении с образцом (эталоном) компетентности.</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Любой эталон является планкой (барьером), очерчивающей горизонт развития. Взятие планки останавливает развитие, а не стимулирует. Это неприемлемо для таких наукоемких и постоянно эволюционирующих отраслей, как ИТ.</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Tenant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HTTP-Request</w:t>
            </w:r>
          </w:p>
        </w:tc>
        <w:tc>
          <w:tcPr>
     </w:tcPr>
          <w:p>
            <w:pPr>
              <w:pStyle w:val="EMPTY_CELL_STYLE"/>
            </w:pPr>
          </w:p>
        </w:tc>
      </w:tr>
      <w:tr>
        <w:trPr>
          <w:trHeight w:hRule="exact" w:val="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71</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1" w:name="JR_PAGE_ANCHOR_0_72"/>
            <w:bookmarkEnd w:id="71"/>
            <w:r>
              <w:rPr/>
              <w:drawing>
                <wp:inline distT="0" distB="0" distL="0" distR="0">
                  <wp:extent cx="7556500" cy="635000"/>
                  <wp:effectExtent l="0" t="0" r="0" b="0"/>
                  <wp:docPr id="1471230198" name="Picture">
</wp:docPr>
                  <a:graphic>
                    <a:graphicData uri="http://schemas.openxmlformats.org/drawingml/2006/picture">
                      <pic:pic>
                        <pic:nvPicPr>
                          <pic:cNvPr id="147123019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EndorsementReserved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Отвлечение ресурсов времени специалистов на нерелевантные аспекты знаний в ущерб релевантным.</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Низкая эффективность грейдов на основе матриц компетентности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Infrastructure Layer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Application Layer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User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HTTP-Response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Front Door Queue using message bus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максимальную полноту передачи (на основе принципа соразмерности) экспертности своих участников в представлениях экспертно-рекомендательных органов Организации.</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Разные участники организации обладают различным уровнем экспертности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Influence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Influence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Constraint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Грамотные специалисты не всегда спешат ввязываться во флейм с малограмотными оппонентами. Зачастую это приводит к их демотивации и самоустранению из пабликов.</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Захламленность информационного пространства</w:t>
            </w:r>
          </w:p>
        </w:tc>
        <w:tc>
          <w:tcPr>
     </w:tcPr>
          <w:p>
            <w:pPr>
              <w:pStyle w:val="EMPTY_CELL_STYLE"/>
            </w:pP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72</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2" w:name="JR_PAGE_ANCHOR_0_73"/>
            <w:bookmarkEnd w:id="72"/>
            <w:r>
              <w:rPr/>
              <w:drawing>
                <wp:inline distT="0" distB="0" distL="0" distR="0">
                  <wp:extent cx="7556500" cy="635000"/>
                  <wp:effectExtent l="0" t="0" r="0" b="0"/>
                  <wp:docPr id="739241900" name="Picture">
</wp:docPr>
                  <a:graphic>
                    <a:graphicData uri="http://schemas.openxmlformats.org/drawingml/2006/picture">
                      <pic:pic>
                        <pic:nvPicPr>
                          <pic:cNvPr id="739241900"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Допускается одна рекомендация рекомендующего за один конкретный артефакт рекомендуемого.</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Уровень зарплаты специалиста зачастую не коррелирует с реальным уровнем квалификации</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Сотрудники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Moderator</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Flow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Flow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WebHook</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null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Triggering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Triggering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Command (Hexagonal Port, Interface)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Junction</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ProposeArtifact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рекомендуемая трудоемкость одного артефакта на каждого его исполнителя должна составлять от 20 до 80 часов; маленькие артефакты рекомендуется группировать, большие - декомпозировать;</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73</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3" w:name="JR_PAGE_ANCHOR_0_74"/>
            <w:bookmarkEnd w:id="73"/>
            <w:r>
              <w:rPr/>
              <w:drawing>
                <wp:inline distT="0" distB="0" distL="0" distR="0">
                  <wp:extent cx="7556500" cy="635000"/>
                  <wp:effectExtent l="0" t="0" r="0" b="0"/>
                  <wp:docPr id="1754096028" name="Picture">
</wp:docPr>
                  <a:graphic>
                    <a:graphicData uri="http://schemas.openxmlformats.org/drawingml/2006/picture">
                      <pic:pic>
                        <pic:nvPicPr>
                          <pic:cNvPr id="1754096028"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Policy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Высокая стоимость внемения изменения в реализацию</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Member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Ухудшение внутреннего качества программы</w:t>
            </w:r>
          </w:p>
        </w:tc>
        <w:tc>
          <w:tcPr>
     </w:tcPr>
          <w:p>
            <w:pPr>
              <w:pStyle w:val="EMPTY_CELL_STYLE"/>
            </w:pPr>
          </w:p>
        </w:tc>
      </w:tr>
      <w:tr>
        <w:trPr>
          <w:trHeight w:hRule="exact" w:val="40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Рассматриваемый единовременно уровень сложности (Coupling) должен быть меньше ограничения краткосрочной памяти человека (З-н магического числа 7 ± 2).</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PendingArtifacts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Сложность выбора квалифицированного исполнителя</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Перерасход средств по стоимости разработки</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50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 экспертные сообщества нередко обращаются за услугами консалтинга</w:t>
            </w:r>
          </w:p>
        </w:tc>
        <w:tc>
          <w:tcPr>
     </w:tcPr>
          <w:p>
            <w:pPr>
              <w:pStyle w:val="EMPTY_CELL_STYLE"/>
            </w:pPr>
          </w:p>
        </w:tc>
      </w:tr>
      <w:tr>
        <w:trPr>
          <w:trHeight w:hRule="exact" w:val="280"/>
        </w:trPr>
        <w:tc>
          <w:tcPr>
     </w:tcPr>
          <w:p>
            <w:pPr>
              <w:pStyle w:val="EMPTY_CELL_STYLE"/>
            </w:pPr>
          </w:p>
        </w:tc>
        <w:tc>
          <w:tcPr>
     </w:tcPr>
          <w:p>
            <w:pPr>
              <w:pStyle w:val="EMPTY_CELL_STYLE"/>
            </w:pP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Консалтинг</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74</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4" w:name="JR_PAGE_ANCHOR_0_75"/>
            <w:bookmarkEnd w:id="74"/>
            <w:r>
              <w:rPr/>
              <w:drawing>
                <wp:inline distT="0" distB="0" distL="0" distR="0">
                  <wp:extent cx="7556500" cy="635000"/>
                  <wp:effectExtent l="0" t="0" r="0" b="0"/>
                  <wp:docPr id="908845261" name="Picture">
</wp:docPr>
                  <a:graphic>
                    <a:graphicData uri="http://schemas.openxmlformats.org/drawingml/2006/picture">
                      <pic:pic>
                        <pic:nvPicPr>
                          <pic:cNvPr id="90884526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SyncGrade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DomainEvent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64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Одна рекомендация от участника претендуемого (или более высокого) квалификационного класса равноценна двум рекомендациям от участников текущего квалификационного класса.</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Goal</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Assessment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14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Обеспечить квалификационную классификацию на основе хорошо зарекомендовавшего себя на практике алгоритма спортивной разрядности, где уровень мастерства спортсмена определяется относительно известного (т.е. доказанного) уровня мастерства других спортсменов.Т.е., по сути, методом сравнительного анализа.</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Ввести внутреннюю систему ценностей в виде квалификационной классности</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Validation Pipeline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Expension Point Pipeline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Association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Association relation</w:t>
            </w:r>
          </w:p>
        </w:tc>
        <w:tc>
          <w:tcPr>
     </w:tcPr>
          <w:p>
            <w:pPr>
              <w:pStyle w:val="EMPTY_CELL_STYLE"/>
            </w:pPr>
          </w:p>
        </w:tc>
      </w:tr>
      <w:tr>
        <w:trPr>
          <w:trHeight w:hRule="exact" w:val="720"/>
        </w:trPr>
        <w:tc>
          <w:tcPr>
     </w:tcPr>
          <w:p>
            <w:pPr>
              <w:pStyle w:val="EMPTY_CELL_STYLE"/>
            </w:pPr>
          </w:p>
        </w:tc>
        <w:tc>
          <w:tcPr>
            <w:vMerge w:val="restart"/>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@banofbot может быть использован для атаки против ценных участников сообщества и необратимого уничтожения их информации в паблике.</w:t>
            </w:r>
          </w:p>
        </w:tc>
        <w:tc>
          <w:tcPr>
     </w:tcPr>
          <w:p>
            <w:pPr>
              <w:pStyle w:val="EMPTY_CELL_STYLE"/>
            </w:pPr>
          </w:p>
        </w:tc>
      </w:tr>
      <w:tr>
        <w:trPr>
          <w:trHeight w:hRule="exact" w:val="180"/>
        </w:trPr>
        <w:tc>
          <w:tcPr>
     </w:tcPr>
          <w:p>
            <w:pPr>
              <w:pStyle w:val="EMPTY_CELL_STYLE"/>
            </w:pPr>
          </w:p>
        </w:tc>
        <w:tc>
          <w:tcPr>
            <w:vMerge w:val="continue"/>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gridSpan w:val="3"/>
            <w:vMerge w:val="restart"/>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Участники сообщества могут банить спамеров, используя, например, @banofbot</w:t>
            </w:r>
          </w:p>
        </w:tc>
        <w:tc>
          <w:tcPr>
     </w:tcPr>
          <w:p>
            <w:pPr>
              <w:pStyle w:val="EMPTY_CELL_STYLE"/>
            </w:pPr>
          </w:p>
        </w:tc>
      </w:tr>
      <w:tr>
        <w:trPr>
          <w:trHeight w:hRule="exact" w:val="320"/>
        </w:trPr>
        <w:tc>
          <w:tcPr>
     </w:tcPr>
          <w:p>
            <w:pPr>
              <w:pStyle w:val="EMPTY_CELL_STYLE"/>
            </w:pPr>
          </w:p>
        </w:tc>
        <w:tc>
          <w:tcPr>
     </w:tcPr>
          <w:p>
            <w:pPr>
              <w:pStyle w:val="EMPTY_CELL_STYLE"/>
            </w:pPr>
          </w:p>
        </w:tc>
        <w:tc>
          <w:tcPr>
            <w:gridSpan w:val="3"/>
            <w:vMerge w:val="continue"/>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Composition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Domain Layer</w:t>
            </w:r>
          </w:p>
        </w:tc>
        <w:tc>
          <w:tcPr>
     </w:tcPr>
          <w:p>
            <w:pPr>
              <w:pStyle w:val="EMPTY_CELL_STYLE"/>
            </w:pPr>
          </w:p>
        </w:tc>
      </w:tr>
      <w:tr>
        <w:trPr>
          <w:trHeight w:hRule="exact" w:val="1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75</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5" w:name="JR_PAGE_ANCHOR_0_76"/>
            <w:bookmarkEnd w:id="75"/>
            <w:r>
              <w:rPr/>
              <w:drawing>
                <wp:inline distT="0" distB="0" distL="0" distR="0">
                  <wp:extent cx="7556500" cy="635000"/>
                  <wp:effectExtent l="0" t="0" r="0" b="0"/>
                  <wp:docPr id="1915196011" name="Picture">
</wp:docPr>
                  <a:graphic>
                    <a:graphicData uri="http://schemas.openxmlformats.org/drawingml/2006/picture">
                      <pic:pic>
                        <pic:nvPicPr>
                          <pic:cNvPr id="1915196011"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Aggregate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Access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Access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Another Service/System</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JSON-Object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Realization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Realization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Команда</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Requirement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Anti-Corruption Layer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Telegram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authors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Conformist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creartedBy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endorser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Assignment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76</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76" w:name="JR_PAGE_ANCHOR_0_77"/>
            <w:bookmarkEnd w:id="76"/>
            <w:r>
              <w:rPr/>
              <w:drawing>
                <wp:inline distT="0" distB="0" distL="0" distR="0">
                  <wp:extent cx="7556500" cy="635000"/>
                  <wp:effectExtent l="0" t="0" r="0" b="0"/>
                  <wp:docPr id="433321645" name="Picture">
</wp:docPr>
                  <a:graphic>
                    <a:graphicData uri="http://schemas.openxmlformats.org/drawingml/2006/picture">
                      <pic:pic>
                        <pic:nvPicPr>
                          <pic:cNvPr id="433321645" name="Picture"/>
                          <pic:cNvPicPr/>
                        </pic:nvPicPr>
                        <pic:blipFill>
                          <a:blip r:embed="img_0_1_0.png"/>
                          <a:srcRect b="79912"/>
                          <a:stretch>
                            <a:fillRect/>
                          </a:stretch>
                        </pic:blipFill>
                        <pic:spPr>
                          <a:xfrm>
                            <a:off x="0" y="0"/>
                            <a:ext cx="7556500" cy="635000"/>
                          </a:xfrm>
                          <a:prstGeom prst="rect"/>
                        </pic:spPr>
                      </pic:pic>
                    </a:graphicData>
                  </a:graphic>
                </wp:inline>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Artifact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owner (has one)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Competence</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Grade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Voting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Published Language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Serving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Identity BC</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Project Management BC</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sz w:val="26"/>
              </w:rPr>
              <w:t xml:space="preserve">received_endorsements (has many)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Composition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Specialist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Pr>
              <w:t xml:space="preserve">Endorsement</w:t>
            </w:r>
          </w:p>
        </w:tc>
        <w:tc>
          <w:tcPr>
     </w:tcPr>
          <w:p>
            <w:pPr>
              <w:pStyle w:val="EMPTY_CELL_STYLE"/>
            </w:pPr>
          </w:p>
        </w:tc>
      </w:tr>
      <w:tr>
        <w:trPr>
          <w:trHeight w:hRule="exact" w:val="58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Pr>
              <w:t xml:space="preserve">grade</w:t>
            </w:r>
          </w:p>
        </w:tc>
        <w:tc>
          <w:tcPr>
            <w:tcMar>
              <w:top w:w="0" w:type="dxa"/>
              <w:left w:w="0" w:type="dxa"/>
              <w:bottom w:w="0" w:type="dxa"/>
              <w:right w:w="0" w:type="dxa"/>
            </w:tcMar>
            <w:vAlign w:val="center"/>
          </w:tcPr>
          <w:p>
            <w:pPr>
              <w:pStyle w:val="Page footer"/>
              <w:ind/>
              <w:jc w:val="right"/>
            </w:pPr>
            <w:r>
              <w:rPr>
       </w:rPr>
              <w:t xml:space="preserve">77</w:t>
            </w:r>
          </w:p>
        </w:tc>
        <w:tc>
          <w:tcPr>
            <w:tcMar>
              <w:top w:w="0" w:type="dxa"/>
              <w:left w:w="0" w:type="dxa"/>
              <w:bottom w:w="0" w:type="dxa"/>
              <w:right w:w="0" w:type="dxa"/>
            </w:tcMar>
            <w:vAlign w:val="center"/>
          </w:tcPr>
          <w:p>
            <w:pPr>
              <w:pStyle w:val="Page footer"/>
              <w:ind/>
            </w:pPr>
            <w:r>
              <w:rPr>
       </w:rPr>
              <w:t xml:space="preserve"> / 77</w:t>
            </w:r>
          </w:p>
        </w:tc>
        <w:tc>
          <w:tcPr>
     </w:tcPr>
          <w:p>
            <w:pPr>
              <w:pStyle w:val="EMPTY_CELL_STYLE"/>
            </w:pPr>
          </w:p>
        </w:tc>
      </w:tr>
    </w:tbl>
    <w:sectPr>
      <w:pgSz w:w="11900" w:h="16840" w:orient="portrait"/>
      <w:pgMar w:top="0" w:right="800" w:bottom="0" w:left="0" w:header="0" w:footer="0" w:gutter="0"/>
      <w:docGrid w:linePitch="360"/>
    </w:sectPr>
  </w:body>
</w:document>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sz w:val="44"/>
    </w:rPr>
  </w:style>
  <w:style w:type="paragraph" w:styleId="Title Date">
    <w:name w:val="Title Date"/>
    <w:qFormat/>
    <w:basedOn w:val="Normal"/>
    <w:pPr>
      <w:ind/>
    </w:pPr>
    <w:rPr>
      <w:sz w:val="20"/>
    </w:rPr>
  </w:style>
  <w:style w:type="paragraph" w:styleId="Page footer">
    <w:name w:val="Page footer"/>
    <w:qFormat/>
    <w:basedOn w:val="Normal"/>
    <w:pPr>
      <w:ind/>
    </w:pPr>
    <w:rPr>
      <w:color w:val="666666"/>
      <w:sz w:val="16"/>
    </w:rPr>
  </w:style>
  <w:style w:type="paragraph" w:styleId="Title 1">
    <w:name w:val="Title 1"/>
    <w:qFormat/>
    <w:basedOn w:val="Normal"/>
    <w:pPr>
      <w:ind/>
    </w:pPr>
    <w:rPr>
      <w:color w:val="7CA9BF"/>
      <w:sz w:val="40"/>
    </w:rPr>
  </w:style>
  <w:style w:type="paragraph" w:styleId="Title 2">
    <w:name w:val="Title 2"/>
    <w:qFormat/>
    <w:basedOn w:val="Normal"/>
    <w:pPr>
      <w:ind/>
    </w:pPr>
    <w:rPr>
      <w:color w:val="7CA9BF"/>
      <w:sz w:val="32"/>
    </w:rPr>
  </w:style>
  <w:style w:type="paragraph" w:styleId="Table row">
    <w:name w:val="Table row"/>
    <w:qFormat/>
    <w:basedOn w:val="Normal"/>
    <w:pPr>
      <w:ind/>
      <w:jc w:val="left"/>
    </w:pPr>
    <w:rPr>
      <w:sz w:val="20"/>
    </w:rPr>
  </w:style>
  <w:style w:type="paragraph" w:styleId="Table header">
    <w:name w:val="Table header"/>
    <w:qFormat/>
    <w:basedOn w:val="Table row"/>
    <w:pPr>
      <w:ind/>
    </w:pPr>
    <w:rPr>
      <w:b w:val="true"/>
    </w:rPr>
  </w:style>
  <w:style w:type="paragraph" w:styleId="Title 3">
    <w:name w:val="Title 3"/>
    <w:qFormat/>
    <w:basedOn w:val="Normal"/>
    <w:pPr>
      <w:ind/>
    </w:pPr>
    <w:rPr>
      <w:color w:val="7CA9BF"/>
      <w:sz w:val="28"/>
    </w:rPr>
  </w:style>
  <w:style w:type="paragraph" w:styleId="Italic">
    <w:name w:val="Italic"/>
    <w:qFormat/>
    <w:basedOn w:val="Normal"/>
    <w:pPr>
      <w:ind/>
    </w:pPr>
    <w:rPr>
      <w:i w:val="true"/>
    </w:rPr>
  </w:style>
  <w:style w:type="paragraph" w:styleId="Documentation">
    <w:name w:val="Documentation"/>
    <w:qFormat/>
    <w:basedOn w:val="Normal"/>
    <w:pPr>
      <w:ind/>
    </w:pPr>
    <w:rPr>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img_0_1_0.png" Type="http://schemas.openxmlformats.org/officeDocument/2006/relationships/image" Target="media/img_0_1_0.png"/>
 <Relationship Id="img_0_2_4.png" Type="http://schemas.openxmlformats.org/officeDocument/2006/relationships/image" Target="media/img_0_2_4.png"/>
 <Relationship Id="img_0_3_3.png" Type="http://schemas.openxmlformats.org/officeDocument/2006/relationships/image" Target="media/img_0_3_3.png"/>
 <Relationship Id="img_0_5_3.png" Type="http://schemas.openxmlformats.org/officeDocument/2006/relationships/image" Target="media/img_0_5_3.png"/>
 <Relationship Id="img_0_6_3.png" Type="http://schemas.openxmlformats.org/officeDocument/2006/relationships/image" Target="media/img_0_6_3.png"/>
 <Relationship Id="img_0_9_3.png" Type="http://schemas.openxmlformats.org/officeDocument/2006/relationships/image" Target="media/img_0_9_3.png"/>
 <Relationship Id="img_0_11_3.png" Type="http://schemas.openxmlformats.org/officeDocument/2006/relationships/image" Target="media/img_0_11_3.png"/>
</Relationships>

</file>

<file path=docProps/app.xml><?xml version="1.0" encoding="utf-8"?>
<Properties xmlns="http://schemas.openxmlformats.org/officeDocument/2006/extended-properties">
  <Application>JasperReports Library version 6.7.1</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