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Base conceitual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acatech Industrie 4.0 Maturity Index</w:t>
      </w:r>
      <w:r w:rsidDel="00000000" w:rsidR="00000000" w:rsidRPr="00000000">
        <w:rPr>
          <w:rtl w:val="0"/>
        </w:rPr>
        <w:t xml:space="preserve"> (2017; update 2020) — seis estágios e a área estrutural </w:t>
      </w:r>
      <w:r w:rsidDel="00000000" w:rsidR="00000000" w:rsidRPr="00000000">
        <w:rPr>
          <w:b w:val="1"/>
          <w:bCs w:val="1"/>
          <w:rtl w:val="0"/>
        </w:rPr>
        <w:t xml:space="preserve">Sistemas de Informação</w:t>
      </w:r>
      <w:r w:rsidDel="00000000" w:rsidR="00000000" w:rsidRPr="00000000">
        <w:rPr>
          <w:rtl w:val="0"/>
        </w:rPr>
        <w:t xml:space="preserve"> como eixo da integração.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ISA‑95 / IEC 62264</w:t>
      </w:r>
      <w:r w:rsidDel="00000000" w:rsidR="00000000" w:rsidRPr="00000000">
        <w:rPr>
          <w:rtl w:val="0"/>
        </w:rPr>
        <w:t xml:space="preserve"> — referência para </w:t>
      </w:r>
      <w:r w:rsidDel="00000000" w:rsidR="00000000" w:rsidRPr="00000000">
        <w:rPr>
          <w:b w:val="1"/>
          <w:bCs w:val="1"/>
          <w:rtl w:val="0"/>
        </w:rPr>
        <w:t xml:space="preserve">integração empresa‑chão de fábrica</w:t>
      </w:r>
      <w:r w:rsidDel="00000000" w:rsidR="00000000" w:rsidRPr="00000000">
        <w:rPr>
          <w:rtl w:val="0"/>
        </w:rPr>
        <w:t xml:space="preserve"> (ERP–MES–Controle), modelos de atividades do MOM e transações B2M.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isa.org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web-material3.yokogawa.com</w:t>
          <w:br w:type="textWrapping"/>
        </w:r>
      </w:hyperlink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RAMI 4.0</w:t>
      </w:r>
      <w:r w:rsidDel="00000000" w:rsidR="00000000" w:rsidRPr="00000000">
        <w:rPr>
          <w:rtl w:val="0"/>
        </w:rPr>
        <w:t xml:space="preserve"> — hierarquia (pirâmide de automação) e camadas que organizam a </w:t>
      </w:r>
      <w:r w:rsidDel="00000000" w:rsidR="00000000" w:rsidRPr="00000000">
        <w:rPr>
          <w:b w:val="1"/>
          <w:bCs w:val="1"/>
          <w:rtl w:val="0"/>
        </w:rPr>
        <w:t xml:space="preserve">integração vertical</w:t>
      </w:r>
      <w:r w:rsidDel="00000000" w:rsidR="00000000" w:rsidRPr="00000000">
        <w:rPr>
          <w:rtl w:val="0"/>
        </w:rPr>
        <w:t xml:space="preserve"> ao longo do ciclo de vida e do stack informacional.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European Commission</w:t>
          <w:br w:type="textWrapping"/>
        </w:r>
      </w:hyperlink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OPC UA (PubSub) + TSN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B2MML</w:t>
      </w:r>
      <w:r w:rsidDel="00000000" w:rsidR="00000000" w:rsidRPr="00000000">
        <w:rPr>
          <w:rtl w:val="0"/>
        </w:rPr>
        <w:t xml:space="preserve"> — tecnologias/ontologias que viabilizam a interoperabilidade segura e determinística na vertical.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IEEE 802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mesa.org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kxldgeaxjsix" w:id="0"/>
      <w:bookmarkEnd w:id="0"/>
      <w:r w:rsidDel="00000000" w:rsidR="00000000" w:rsidRPr="00000000">
        <w:rPr>
          <w:sz w:val="34"/>
          <w:szCs w:val="34"/>
          <w:rtl w:val="0"/>
        </w:rPr>
        <w:t xml:space="preserve">🧩 Questionário — Integração Vertical (acatech, 6 níveis)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Como ler as respostas (válido para todas as perguntas):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N1 – Computerization:</w:t>
      </w:r>
      <w:r w:rsidDel="00000000" w:rsidR="00000000" w:rsidRPr="00000000">
        <w:rPr>
          <w:rtl w:val="0"/>
        </w:rPr>
        <w:t xml:space="preserve"> sistemas isolados; trocas manuais. </w:t>
      </w:r>
      <w:r w:rsidDel="00000000" w:rsidR="00000000" w:rsidRPr="00000000">
        <w:rPr>
          <w:b w:val="1"/>
          <w:bCs w:val="1"/>
          <w:rtl w:val="0"/>
        </w:rPr>
        <w:t xml:space="preserve">N2 – Connectivity:</w:t>
      </w:r>
      <w:r w:rsidDel="00000000" w:rsidR="00000000" w:rsidRPr="00000000">
        <w:rPr>
          <w:rtl w:val="0"/>
        </w:rPr>
        <w:t xml:space="preserve"> integrações pontuais/arquivos; P2P. </w:t>
      </w:r>
      <w:r w:rsidDel="00000000" w:rsidR="00000000" w:rsidRPr="00000000">
        <w:rPr>
          <w:b w:val="1"/>
          <w:bCs w:val="1"/>
          <w:rtl w:val="0"/>
        </w:rPr>
        <w:t xml:space="preserve">N3 – Visibility:</w:t>
      </w:r>
      <w:r w:rsidDel="00000000" w:rsidR="00000000" w:rsidRPr="00000000">
        <w:rPr>
          <w:rtl w:val="0"/>
        </w:rPr>
        <w:t xml:space="preserve"> status unificado (dashboards/KPIs). </w:t>
      </w:r>
      <w:r w:rsidDel="00000000" w:rsidR="00000000" w:rsidRPr="00000000">
        <w:rPr>
          <w:b w:val="1"/>
          <w:bCs w:val="1"/>
          <w:rtl w:val="0"/>
        </w:rPr>
        <w:t xml:space="preserve">N4 – Transparency:</w:t>
      </w:r>
      <w:r w:rsidDel="00000000" w:rsidR="00000000" w:rsidRPr="00000000">
        <w:rPr>
          <w:rtl w:val="0"/>
        </w:rPr>
        <w:t xml:space="preserve"> modelo semântico comum; causa‑raiz e contexto; </w:t>
      </w:r>
      <w:r w:rsidDel="00000000" w:rsidR="00000000" w:rsidRPr="00000000">
        <w:rPr>
          <w:b w:val="1"/>
          <w:bCs w:val="1"/>
          <w:rtl w:val="0"/>
        </w:rPr>
        <w:t xml:space="preserve">fonte única de verdade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N5 – Predictive:</w:t>
      </w:r>
      <w:r w:rsidDel="00000000" w:rsidR="00000000" w:rsidRPr="00000000">
        <w:rPr>
          <w:rtl w:val="0"/>
        </w:rPr>
        <w:t xml:space="preserve"> fluxos verticais alimentam </w:t>
      </w:r>
      <w:r w:rsidDel="00000000" w:rsidR="00000000" w:rsidRPr="00000000">
        <w:rPr>
          <w:b w:val="1"/>
          <w:bCs w:val="1"/>
          <w:rtl w:val="0"/>
        </w:rPr>
        <w:t xml:space="preserve">previsões/simulações</w:t>
      </w:r>
      <w:r w:rsidDel="00000000" w:rsidR="00000000" w:rsidRPr="00000000">
        <w:rPr>
          <w:rtl w:val="0"/>
        </w:rPr>
        <w:t xml:space="preserve"> e decisões preventivas. </w:t>
      </w:r>
      <w:r w:rsidDel="00000000" w:rsidR="00000000" w:rsidRPr="00000000">
        <w:rPr>
          <w:b w:val="1"/>
          <w:bCs w:val="1"/>
          <w:rtl w:val="0"/>
        </w:rPr>
        <w:t xml:space="preserve">N6 – Adaptability: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closed loop</w:t>
      </w:r>
      <w:r w:rsidDel="00000000" w:rsidR="00000000" w:rsidRPr="00000000">
        <w:rPr>
          <w:rtl w:val="0"/>
        </w:rPr>
        <w:t xml:space="preserve"> quase em tempo real; replanejamento/autonomia.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2r7yiwme0f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1) ERP ↔ MES (ordens, materiais, roteiros)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pedidos/ordens e dados mestre fluem entre ERP e MES?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exporta/importa manual (planilha/e‑mail).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integração pontual (arquivo/API simples) sem validações consistentes.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ordens e status de execução visíveis em dashboards; reconciliação ainda manual.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transações padronizadas (p.ex., ISA‑95/B2MML)</w:t>
      </w:r>
      <w:r w:rsidDel="00000000" w:rsidR="00000000" w:rsidRPr="00000000">
        <w:rPr>
          <w:rtl w:val="0"/>
        </w:rPr>
        <w:t xml:space="preserve">; roteiros, listas de materiais e apontamentos sincronizados com rastreabilidade.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</w:t>
      </w:r>
      <w:r w:rsidDel="00000000" w:rsidR="00000000" w:rsidRPr="00000000">
        <w:rPr>
          <w:b w:val="1"/>
          <w:bCs w:val="1"/>
          <w:rtl w:val="0"/>
        </w:rPr>
        <w:t xml:space="preserve">planejamento com cenários</w:t>
      </w:r>
      <w:r w:rsidDel="00000000" w:rsidR="00000000" w:rsidRPr="00000000">
        <w:rPr>
          <w:rtl w:val="0"/>
        </w:rPr>
        <w:t xml:space="preserve"> (capacidade/lead time) e </w:t>
      </w:r>
      <w:r w:rsidDel="00000000" w:rsidR="00000000" w:rsidRPr="00000000">
        <w:rPr>
          <w:b w:val="1"/>
          <w:bCs w:val="1"/>
          <w:rtl w:val="0"/>
        </w:rPr>
        <w:t xml:space="preserve">ajustes preventivos</w:t>
      </w:r>
      <w:r w:rsidDel="00000000" w:rsidR="00000000" w:rsidRPr="00000000">
        <w:rPr>
          <w:rtl w:val="0"/>
        </w:rPr>
        <w:t xml:space="preserve"> baseados em previsões de demanda e chão de fábrica.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replanejamento </w:t>
      </w:r>
      <w:r w:rsidDel="00000000" w:rsidR="00000000" w:rsidRPr="00000000">
        <w:rPr>
          <w:b w:val="1"/>
          <w:bCs w:val="1"/>
          <w:rtl w:val="0"/>
        </w:rPr>
        <w:t xml:space="preserve">autônomo</w:t>
      </w:r>
      <w:r w:rsidDel="00000000" w:rsidR="00000000" w:rsidRPr="00000000">
        <w:rPr>
          <w:rtl w:val="0"/>
        </w:rPr>
        <w:t xml:space="preserve"> (capacidade/alternativas) com políticas e restrições.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web-material3.yokogawa.com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mesa.org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mxg88mfg7c3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2) MES ↔ SCADA/PLC (despacho e coleta de dados)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instruções de produção e dados de processo circulam entre MES e controle?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operadores digitam/relatam manualmente.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interfaces ponto‑a‑ponto por protocolo legado.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coleta automática para </w:t>
      </w:r>
      <w:r w:rsidDel="00000000" w:rsidR="00000000" w:rsidRPr="00000000">
        <w:rPr>
          <w:b w:val="1"/>
          <w:bCs w:val="1"/>
          <w:rtl w:val="0"/>
        </w:rPr>
        <w:t xml:space="preserve">monitoramento</w:t>
      </w:r>
      <w:r w:rsidDel="00000000" w:rsidR="00000000" w:rsidRPr="00000000">
        <w:rPr>
          <w:rtl w:val="0"/>
        </w:rPr>
        <w:t xml:space="preserve"> (OEE, paradas) sem padronização semântica.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modelo de informação unificado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(tags ↔ parâmetros de receita); </w:t>
      </w:r>
      <w:r w:rsidDel="00000000" w:rsidR="00000000" w:rsidRPr="00000000">
        <w:rPr>
          <w:b w:val="1"/>
          <w:bCs w:val="1"/>
          <w:rtl w:val="0"/>
        </w:rPr>
        <w:t xml:space="preserve">OPC UA</w:t>
      </w:r>
      <w:r w:rsidDel="00000000" w:rsidR="00000000" w:rsidRPr="00000000">
        <w:rPr>
          <w:rtl w:val="0"/>
        </w:rPr>
        <w:t xml:space="preserve"> como camada semântica.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</w:t>
      </w:r>
      <w:r w:rsidDel="00000000" w:rsidR="00000000" w:rsidRPr="00000000">
        <w:rPr>
          <w:b w:val="1"/>
          <w:bCs w:val="1"/>
          <w:rtl w:val="0"/>
        </w:rPr>
        <w:t xml:space="preserve">publicação de eventos (PubSub)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alertas preditivos</w:t>
      </w:r>
      <w:r w:rsidDel="00000000" w:rsidR="00000000" w:rsidRPr="00000000">
        <w:rPr>
          <w:rtl w:val="0"/>
        </w:rPr>
        <w:t xml:space="preserve"> dirigidos ao papel certo.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malha </w:t>
      </w:r>
      <w:r w:rsidDel="00000000" w:rsidR="00000000" w:rsidRPr="00000000">
        <w:rPr>
          <w:b w:val="1"/>
          <w:bCs w:val="1"/>
          <w:rtl w:val="0"/>
        </w:rPr>
        <w:t xml:space="preserve">event‑driven</w:t>
      </w:r>
      <w:r w:rsidDel="00000000" w:rsidR="00000000" w:rsidRPr="00000000">
        <w:rPr>
          <w:rtl w:val="0"/>
        </w:rPr>
        <w:t xml:space="preserve"> com determinismo (</w:t>
      </w:r>
      <w:r w:rsidDel="00000000" w:rsidR="00000000" w:rsidRPr="00000000">
        <w:rPr>
          <w:b w:val="1"/>
          <w:bCs w:val="1"/>
          <w:rtl w:val="0"/>
        </w:rPr>
        <w:t xml:space="preserve">TSN</w:t>
      </w:r>
      <w:r w:rsidDel="00000000" w:rsidR="00000000" w:rsidRPr="00000000">
        <w:rPr>
          <w:rtl w:val="0"/>
        </w:rPr>
        <w:t xml:space="preserve">) para ajustes automáticos.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IEEE 802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adheo15k1g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3) PLM/Engenharia ↔ MES (BOM/BOP, alterações de engenharia)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Quão fluida é a passagem de projeto/engenharia para produção?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mBOM/roteiros reescritos manualmente.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envio de PDFs/planilhas; retrabalho frequente.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N3: sincronização parcial de eBOM→mBOM e roteiros com visibilidade do status.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encadeamento digital</w:t>
      </w:r>
      <w:r w:rsidDel="00000000" w:rsidR="00000000" w:rsidRPr="00000000">
        <w:rPr>
          <w:rtl w:val="0"/>
        </w:rPr>
        <w:t xml:space="preserve"> (digital thread) com controle de versões e </w:t>
      </w:r>
      <w:r w:rsidDel="00000000" w:rsidR="00000000" w:rsidRPr="00000000">
        <w:rPr>
          <w:b w:val="1"/>
          <w:bCs w:val="1"/>
          <w:rtl w:val="0"/>
        </w:rPr>
        <w:t xml:space="preserve">propagação rastreável</w:t>
      </w:r>
      <w:r w:rsidDel="00000000" w:rsidR="00000000" w:rsidRPr="00000000">
        <w:rPr>
          <w:rtl w:val="0"/>
        </w:rPr>
        <w:t xml:space="preserve"> de ECR/ECO.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simulações de capacidade/qualidade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liberação; alterações validadas com </w:t>
      </w:r>
      <w:r w:rsidDel="00000000" w:rsidR="00000000" w:rsidRPr="00000000">
        <w:rPr>
          <w:b w:val="1"/>
          <w:bCs w:val="1"/>
          <w:rtl w:val="0"/>
        </w:rPr>
        <w:t xml:space="preserve">impacto previsto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liberação </w:t>
      </w:r>
      <w:r w:rsidDel="00000000" w:rsidR="00000000" w:rsidRPr="00000000">
        <w:rPr>
          <w:b w:val="1"/>
          <w:bCs w:val="1"/>
          <w:rtl w:val="0"/>
        </w:rPr>
        <w:t xml:space="preserve">orquestrada</w:t>
      </w:r>
      <w:r w:rsidDel="00000000" w:rsidR="00000000" w:rsidRPr="00000000">
        <w:rPr>
          <w:rtl w:val="0"/>
        </w:rPr>
        <w:t xml:space="preserve"> por políticas; troca dinâmica de variante/rota conforme contexto.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European Commission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9120dnp5510" w:id="4"/>
      <w:bookmarkEnd w:id="4"/>
      <w:r w:rsidDel="00000000" w:rsidR="00000000" w:rsidRPr="00000000">
        <w:rPr>
          <w:sz w:val="26"/>
          <w:szCs w:val="26"/>
          <w:rtl w:val="0"/>
        </w:rPr>
        <w:t xml:space="preserve">4) Modelo de dados e semântica comuns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Existe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vocabulário</w:t>
      </w:r>
      <w:r w:rsidDel="00000000" w:rsidR="00000000" w:rsidRPr="00000000">
        <w:rPr>
          <w:i w:val="1"/>
          <w:iCs w:val="1"/>
          <w:rtl w:val="0"/>
        </w:rPr>
        <w:t xml:space="preserve"> corporativo para ativos, materiais, ordens, medições?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cada sistema usa sua própria nomenclatura/IDs.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glossários locais; mapeamentos ad hoc.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dicionário corporativo com cobertura parcial.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modelo canônico</w:t>
      </w:r>
      <w:r w:rsidDel="00000000" w:rsidR="00000000" w:rsidRPr="00000000">
        <w:rPr>
          <w:rtl w:val="0"/>
        </w:rPr>
        <w:t xml:space="preserve"> (ISA‑95/B2MML ou equivalente) com </w:t>
      </w:r>
      <w:r w:rsidDel="00000000" w:rsidR="00000000" w:rsidRPr="00000000">
        <w:rPr>
          <w:b w:val="1"/>
          <w:bCs w:val="1"/>
          <w:rtl w:val="0"/>
        </w:rPr>
        <w:t xml:space="preserve">master data</w:t>
      </w:r>
      <w:r w:rsidDel="00000000" w:rsidR="00000000" w:rsidRPr="00000000">
        <w:rPr>
          <w:rtl w:val="0"/>
        </w:rPr>
        <w:t xml:space="preserve"> governado.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ontologias/</w:t>
      </w:r>
      <w:r w:rsidDel="00000000" w:rsidR="00000000" w:rsidRPr="00000000">
        <w:rPr>
          <w:b w:val="1"/>
          <w:bCs w:val="1"/>
          <w:rtl w:val="0"/>
        </w:rPr>
        <w:t xml:space="preserve">information models</w:t>
      </w:r>
      <w:r w:rsidDel="00000000" w:rsidR="00000000" w:rsidRPr="00000000">
        <w:rPr>
          <w:rtl w:val="0"/>
        </w:rPr>
        <w:t xml:space="preserve"> enriquecidos (p.ex., </w:t>
      </w:r>
      <w:r w:rsidDel="00000000" w:rsidR="00000000" w:rsidRPr="00000000">
        <w:rPr>
          <w:b w:val="1"/>
          <w:bCs w:val="1"/>
          <w:rtl w:val="0"/>
        </w:rPr>
        <w:t xml:space="preserve">OPC UA Companion Specs</w:t>
      </w:r>
      <w:r w:rsidDel="00000000" w:rsidR="00000000" w:rsidRPr="00000000">
        <w:rPr>
          <w:rtl w:val="0"/>
        </w:rPr>
        <w:t xml:space="preserve">) para inferências.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semântica </w:t>
      </w:r>
      <w:r w:rsidDel="00000000" w:rsidR="00000000" w:rsidRPr="00000000">
        <w:rPr>
          <w:b w:val="1"/>
          <w:bCs w:val="1"/>
          <w:rtl w:val="0"/>
        </w:rPr>
        <w:t xml:space="preserve">auto‑evolutiva</w:t>
      </w:r>
      <w:r w:rsidDel="00000000" w:rsidR="00000000" w:rsidRPr="00000000">
        <w:rPr>
          <w:rtl w:val="0"/>
        </w:rPr>
        <w:t xml:space="preserve"> via feedback de uso e novos ativos.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mesa.org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8unujc5xinv" w:id="5"/>
      <w:bookmarkEnd w:id="5"/>
      <w:r w:rsidDel="00000000" w:rsidR="00000000" w:rsidRPr="00000000">
        <w:rPr>
          <w:sz w:val="26"/>
          <w:szCs w:val="26"/>
          <w:rtl w:val="0"/>
        </w:rPr>
        <w:t xml:space="preserve">5) Rastreabilidade vertical (genealogia &amp; conformidade)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Até que ponto é possível reconstruir “quem/onde/quando/como” em toda a hierarquia?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registros locais; lacunas frequentes.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lotes/seriais armazenados em sistemas distintos.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genealogia </w:t>
      </w:r>
      <w:r w:rsidDel="00000000" w:rsidR="00000000" w:rsidRPr="00000000">
        <w:rPr>
          <w:b w:val="1"/>
          <w:bCs w:val="1"/>
          <w:rtl w:val="0"/>
        </w:rPr>
        <w:t xml:space="preserve">descritiva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(ordem↔lote↔equipamento) com gaps.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genealogia </w:t>
      </w:r>
      <w:r w:rsidDel="00000000" w:rsidR="00000000" w:rsidRPr="00000000">
        <w:rPr>
          <w:b w:val="1"/>
          <w:bCs w:val="1"/>
          <w:rtl w:val="0"/>
        </w:rPr>
        <w:t xml:space="preserve">completa e contextualizada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(ERP↔MES↔SCADA) com </w:t>
      </w:r>
      <w:r w:rsidDel="00000000" w:rsidR="00000000" w:rsidRPr="00000000">
        <w:rPr>
          <w:b w:val="1"/>
          <w:bCs w:val="1"/>
          <w:rtl w:val="0"/>
        </w:rPr>
        <w:t xml:space="preserve">fonte única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rastreabilidade inclui </w:t>
      </w:r>
      <w:r w:rsidDel="00000000" w:rsidR="00000000" w:rsidRPr="00000000">
        <w:rPr>
          <w:b w:val="1"/>
          <w:bCs w:val="1"/>
          <w:rtl w:val="0"/>
        </w:rPr>
        <w:t xml:space="preserve">fatores de risco previstos</w:t>
      </w:r>
      <w:r w:rsidDel="00000000" w:rsidR="00000000" w:rsidRPr="00000000">
        <w:rPr>
          <w:rtl w:val="0"/>
        </w:rPr>
        <w:t xml:space="preserve"> (qualidade, recall).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trilhas automáticas</w:t>
      </w:r>
      <w:r w:rsidDel="00000000" w:rsidR="00000000" w:rsidRPr="00000000">
        <w:rPr>
          <w:rtl w:val="0"/>
        </w:rPr>
        <w:t xml:space="preserve"> e alertas de conformidade </w:t>
      </w:r>
      <w:r w:rsidDel="00000000" w:rsidR="00000000" w:rsidRPr="00000000">
        <w:rPr>
          <w:b w:val="1"/>
          <w:bCs w:val="1"/>
          <w:rtl w:val="0"/>
        </w:rPr>
        <w:t xml:space="preserve">proativos</w:t>
      </w:r>
      <w:r w:rsidDel="00000000" w:rsidR="00000000" w:rsidRPr="00000000">
        <w:rPr>
          <w:rtl w:val="0"/>
        </w:rPr>
        <w:t xml:space="preserve">.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axrswytnhav" w:id="6"/>
      <w:bookmarkEnd w:id="6"/>
      <w:r w:rsidDel="00000000" w:rsidR="00000000" w:rsidRPr="00000000">
        <w:rPr>
          <w:sz w:val="26"/>
          <w:szCs w:val="26"/>
          <w:rtl w:val="0"/>
        </w:rPr>
        <w:t xml:space="preserve">6) KPIs de ponta‑a‑ponta (OEE, OTIF, custo, energia)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os KPIs se formam a partir dos dados do chão de fábrica até o nível de negócio?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cálculo manual e tardio.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consolidação semiautomática com divergências.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</w:t>
      </w:r>
      <w:r w:rsidDel="00000000" w:rsidR="00000000" w:rsidRPr="00000000">
        <w:rPr>
          <w:b w:val="1"/>
          <w:bCs w:val="1"/>
          <w:rtl w:val="0"/>
        </w:rPr>
        <w:t xml:space="preserve">dashboards unificados</w:t>
      </w:r>
      <w:r w:rsidDel="00000000" w:rsidR="00000000" w:rsidRPr="00000000">
        <w:rPr>
          <w:rtl w:val="0"/>
        </w:rPr>
        <w:t xml:space="preserve"> (descritivo).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KPIs com </w:t>
      </w:r>
      <w:r w:rsidDel="00000000" w:rsidR="00000000" w:rsidRPr="00000000">
        <w:rPr>
          <w:b w:val="1"/>
          <w:bCs w:val="1"/>
          <w:rtl w:val="0"/>
        </w:rPr>
        <w:t xml:space="preserve">explicabilidade causal</w:t>
      </w:r>
      <w:r w:rsidDel="00000000" w:rsidR="00000000" w:rsidRPr="00000000">
        <w:rPr>
          <w:rtl w:val="0"/>
        </w:rPr>
        <w:t xml:space="preserve"> (perdas por causa, energia por equipamento).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KPIs </w:t>
      </w:r>
      <w:r w:rsidDel="00000000" w:rsidR="00000000" w:rsidRPr="00000000">
        <w:rPr>
          <w:b w:val="1"/>
          <w:bCs w:val="1"/>
          <w:rtl w:val="0"/>
        </w:rPr>
        <w:t xml:space="preserve">preditivos</w:t>
      </w:r>
      <w:r w:rsidDel="00000000" w:rsidR="00000000" w:rsidRPr="00000000">
        <w:rPr>
          <w:rtl w:val="0"/>
        </w:rPr>
        <w:t xml:space="preserve"> (violação de meta, risco de atraso) com recomendações.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malha de controle</w:t>
      </w:r>
      <w:r w:rsidDel="00000000" w:rsidR="00000000" w:rsidRPr="00000000">
        <w:rPr>
          <w:rtl w:val="0"/>
        </w:rPr>
        <w:t xml:space="preserve"> por KPI: metas se ajustam automaticamente.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r7ns29t2tlz" w:id="7"/>
      <w:bookmarkEnd w:id="7"/>
      <w:r w:rsidDel="00000000" w:rsidR="00000000" w:rsidRPr="00000000">
        <w:rPr>
          <w:sz w:val="26"/>
          <w:szCs w:val="26"/>
          <w:rtl w:val="0"/>
        </w:rPr>
        <w:t xml:space="preserve">7) Agendamento e replanejamento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planejamento considera dados reais do chão de fábrica em tempo hábil?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plano fixo e replanejamento manual.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atualizações em lote (fim de turno).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ajuste diário via dashboards.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replanejamento </w:t>
      </w:r>
      <w:r w:rsidDel="00000000" w:rsidR="00000000" w:rsidRPr="00000000">
        <w:rPr>
          <w:b w:val="1"/>
          <w:bCs w:val="1"/>
          <w:rtl w:val="0"/>
        </w:rPr>
        <w:t xml:space="preserve">orientado a causas</w:t>
      </w:r>
      <w:r w:rsidDel="00000000" w:rsidR="00000000" w:rsidRPr="00000000">
        <w:rPr>
          <w:rtl w:val="0"/>
        </w:rPr>
        <w:t xml:space="preserve"> (restrições, gargalos) com dados confiáveis.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</w:t>
      </w:r>
      <w:r w:rsidDel="00000000" w:rsidR="00000000" w:rsidRPr="00000000">
        <w:rPr>
          <w:b w:val="1"/>
          <w:bCs w:val="1"/>
          <w:rtl w:val="0"/>
        </w:rPr>
        <w:t xml:space="preserve">simulações/what‑if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previsões</w:t>
      </w:r>
      <w:r w:rsidDel="00000000" w:rsidR="00000000" w:rsidRPr="00000000">
        <w:rPr>
          <w:rtl w:val="0"/>
        </w:rPr>
        <w:t xml:space="preserve"> (tempo de fila, falhas) para planos preventivos.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replanejamento </w:t>
      </w:r>
      <w:r w:rsidDel="00000000" w:rsidR="00000000" w:rsidRPr="00000000">
        <w:rPr>
          <w:b w:val="1"/>
          <w:bCs w:val="1"/>
          <w:rtl w:val="0"/>
        </w:rPr>
        <w:t xml:space="preserve">autônomo/event‑driven</w:t>
      </w:r>
      <w:r w:rsidDel="00000000" w:rsidR="00000000" w:rsidRPr="00000000">
        <w:rPr>
          <w:rtl w:val="0"/>
        </w:rPr>
        <w:t xml:space="preserve"> conforme prioridades e SLAs.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j3kvh847ntf" w:id="8"/>
      <w:bookmarkEnd w:id="8"/>
      <w:r w:rsidDel="00000000" w:rsidR="00000000" w:rsidRPr="00000000">
        <w:rPr>
          <w:sz w:val="26"/>
          <w:szCs w:val="26"/>
          <w:rtl w:val="0"/>
        </w:rPr>
        <w:t xml:space="preserve">8) Qualidade integrada (SPC, CAQ, liberação)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medições/defeitos fluem para liberação e decisão?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apontamentos manuais; inspeção final somente.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coleta parcial em sistemas de qualidade.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painéis com </w:t>
      </w:r>
      <w:r w:rsidDel="00000000" w:rsidR="00000000" w:rsidRPr="00000000">
        <w:rPr>
          <w:b w:val="1"/>
          <w:bCs w:val="1"/>
          <w:rtl w:val="0"/>
        </w:rPr>
        <w:t xml:space="preserve">tendências</w:t>
      </w:r>
      <w:r w:rsidDel="00000000" w:rsidR="00000000" w:rsidRPr="00000000">
        <w:rPr>
          <w:rtl w:val="0"/>
        </w:rPr>
        <w:t xml:space="preserve"> e limites; ações manuais.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fechamento de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causas (parâmetro↔defeito) e bloqueios sistêmicos.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</w:t>
      </w:r>
      <w:r w:rsidDel="00000000" w:rsidR="00000000" w:rsidRPr="00000000">
        <w:rPr>
          <w:b w:val="1"/>
          <w:bCs w:val="1"/>
          <w:rtl w:val="0"/>
        </w:rPr>
        <w:t xml:space="preserve">SPC preditivo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classificação de risco</w:t>
      </w:r>
      <w:r w:rsidDel="00000000" w:rsidR="00000000" w:rsidRPr="00000000">
        <w:rPr>
          <w:rtl w:val="0"/>
        </w:rPr>
        <w:t xml:space="preserve">; planos de amostragem adaptativos.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controle adaptativo</w:t>
      </w:r>
      <w:r w:rsidDel="00000000" w:rsidR="00000000" w:rsidRPr="00000000">
        <w:rPr>
          <w:rtl w:val="0"/>
        </w:rPr>
        <w:t xml:space="preserve"> que ajusta processos e liberações em tempo quase real.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u0pkk91kpkp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9) Manutenção integrada (EAM/CMMS↔MES/SCADA)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estado dos ativos influencia plano/execução de forma integrada?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planos fixos por calendário.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avisos manuais de falha/parada.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monitoração de condição para </w:t>
      </w:r>
      <w:r w:rsidDel="00000000" w:rsidR="00000000" w:rsidRPr="00000000">
        <w:rPr>
          <w:b w:val="1"/>
          <w:bCs w:val="1"/>
          <w:rtl w:val="0"/>
        </w:rPr>
        <w:t xml:space="preserve">visibilidade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ordens de manutenção </w:t>
      </w:r>
      <w:r w:rsidDel="00000000" w:rsidR="00000000" w:rsidRPr="00000000">
        <w:rPr>
          <w:b w:val="1"/>
          <w:bCs w:val="1"/>
          <w:rtl w:val="0"/>
        </w:rPr>
        <w:t xml:space="preserve">contextualizadas</w:t>
      </w:r>
      <w:r w:rsidDel="00000000" w:rsidR="00000000" w:rsidRPr="00000000">
        <w:rPr>
          <w:rtl w:val="0"/>
        </w:rPr>
        <w:t xml:space="preserve"> ao ativo/processo com causa provável.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</w:t>
      </w:r>
      <w:r w:rsidDel="00000000" w:rsidR="00000000" w:rsidRPr="00000000">
        <w:rPr>
          <w:b w:val="1"/>
          <w:bCs w:val="1"/>
          <w:rtl w:val="0"/>
        </w:rPr>
        <w:t xml:space="preserve">PdM</w:t>
      </w:r>
      <w:r w:rsidDel="00000000" w:rsidR="00000000" w:rsidRPr="00000000">
        <w:rPr>
          <w:rtl w:val="0"/>
        </w:rPr>
        <w:t xml:space="preserve"> (RUL/probabilidade de falha) impacta plano de produção e materiais.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manutenção e produção</w:t>
      </w:r>
      <w:r w:rsidDel="00000000" w:rsidR="00000000" w:rsidRPr="00000000">
        <w:rPr>
          <w:rtl w:val="0"/>
        </w:rPr>
        <w:t xml:space="preserve"> otimizadas de forma </w:t>
      </w:r>
      <w:r w:rsidDel="00000000" w:rsidR="00000000" w:rsidRPr="00000000">
        <w:rPr>
          <w:b w:val="1"/>
          <w:bCs w:val="1"/>
          <w:rtl w:val="0"/>
        </w:rPr>
        <w:t xml:space="preserve">autônoma</w:t>
      </w:r>
      <w:r w:rsidDel="00000000" w:rsidR="00000000" w:rsidRPr="00000000">
        <w:rPr>
          <w:rtl w:val="0"/>
        </w:rPr>
        <w:t xml:space="preserve"> (janelas dinâmicas).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IEEE 802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jcg3mtejnqm" w:id="10"/>
      <w:bookmarkEnd w:id="10"/>
      <w:r w:rsidDel="00000000" w:rsidR="00000000" w:rsidRPr="00000000">
        <w:rPr>
          <w:sz w:val="26"/>
          <w:szCs w:val="26"/>
          <w:rtl w:val="0"/>
        </w:rPr>
        <w:t xml:space="preserve">10) Arquitetura de integração e mensageria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Qual é o padrão arquitetural da integração vertical?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scripts/pontos diretos.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ESB/local; conectores proprietários.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APIs e </w:t>
      </w:r>
      <w:r w:rsidDel="00000000" w:rsidR="00000000" w:rsidRPr="00000000">
        <w:rPr>
          <w:i w:val="1"/>
          <w:i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descritivo.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serviços padronizados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semântica comum</w:t>
      </w:r>
      <w:r w:rsidDel="00000000" w:rsidR="00000000" w:rsidRPr="00000000">
        <w:rPr>
          <w:rtl w:val="0"/>
        </w:rPr>
        <w:t xml:space="preserve"> (ISA‑95/B2MML; </w:t>
      </w:r>
      <w:r w:rsidDel="00000000" w:rsidR="00000000" w:rsidRPr="00000000">
        <w:rPr>
          <w:b w:val="1"/>
          <w:bCs w:val="1"/>
          <w:rtl w:val="0"/>
        </w:rPr>
        <w:t xml:space="preserve">OPC UA</w:t>
      </w:r>
      <w:r w:rsidDel="00000000" w:rsidR="00000000" w:rsidRPr="00000000">
        <w:rPr>
          <w:rtl w:val="0"/>
        </w:rPr>
        <w:t xml:space="preserve"> no OT).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</w:t>
      </w:r>
      <w:r w:rsidDel="00000000" w:rsidR="00000000" w:rsidRPr="00000000">
        <w:rPr>
          <w:b w:val="1"/>
          <w:bCs w:val="1"/>
          <w:rtl w:val="0"/>
        </w:rPr>
        <w:t xml:space="preserve">event‑driven (PubSub)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priorização/risco</w:t>
      </w:r>
      <w:r w:rsidDel="00000000" w:rsidR="00000000" w:rsidRPr="00000000">
        <w:rPr>
          <w:rtl w:val="0"/>
        </w:rPr>
        <w:t xml:space="preserve"> e simulações.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OPC UA + TSN</w:t>
      </w:r>
      <w:r w:rsidDel="00000000" w:rsidR="00000000" w:rsidRPr="00000000">
        <w:rPr>
          <w:rtl w:val="0"/>
        </w:rPr>
        <w:t xml:space="preserve"> e políticas de </w:t>
      </w:r>
      <w:r w:rsidDel="00000000" w:rsidR="00000000" w:rsidRPr="00000000">
        <w:rPr>
          <w:b w:val="1"/>
          <w:bCs w:val="1"/>
          <w:rtl w:val="0"/>
        </w:rPr>
        <w:t xml:space="preserve">QoS</w:t>
      </w:r>
      <w:r w:rsidDel="00000000" w:rsidR="00000000" w:rsidRPr="00000000">
        <w:rPr>
          <w:rtl w:val="0"/>
        </w:rPr>
        <w:t xml:space="preserve"> para laços determinísticos.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mesa.org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IEEE 802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h0fgo5zylyk" w:id="11"/>
      <w:bookmarkEnd w:id="11"/>
      <w:r w:rsidDel="00000000" w:rsidR="00000000" w:rsidRPr="00000000">
        <w:rPr>
          <w:sz w:val="26"/>
          <w:szCs w:val="26"/>
          <w:rtl w:val="0"/>
        </w:rPr>
        <w:t xml:space="preserve">11) Segurança e governança na vertical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identidades, políticas e segregação de domínios são aplicadas?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contas compartilhadas; redes planas.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firewalls básicos; senhas locais.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IAM parcial; trilhas descritivas.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 de dados e </w:t>
      </w:r>
      <w:r w:rsidDel="00000000" w:rsidR="00000000" w:rsidRPr="00000000">
        <w:rPr>
          <w:b w:val="1"/>
          <w:bCs w:val="1"/>
          <w:rtl w:val="0"/>
        </w:rPr>
        <w:t xml:space="preserve">segregação</w:t>
      </w:r>
      <w:r w:rsidDel="00000000" w:rsidR="00000000" w:rsidRPr="00000000">
        <w:rPr>
          <w:rtl w:val="0"/>
        </w:rPr>
        <w:t xml:space="preserve"> por camadas (ERP/MES/OT) com fluxo controlado.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políticas </w:t>
      </w:r>
      <w:r w:rsidDel="00000000" w:rsidR="00000000" w:rsidRPr="00000000">
        <w:rPr>
          <w:b w:val="1"/>
          <w:bCs w:val="1"/>
          <w:rtl w:val="0"/>
        </w:rPr>
        <w:t xml:space="preserve">dinâmicas por risco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conformidade preditiva</w:t>
      </w:r>
      <w:r w:rsidDel="00000000" w:rsidR="00000000" w:rsidRPr="00000000">
        <w:rPr>
          <w:rtl w:val="0"/>
        </w:rPr>
        <w:t xml:space="preserve"> (ex.: anomalias de tráfego).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autoadaptação</w:t>
      </w:r>
      <w:r w:rsidDel="00000000" w:rsidR="00000000" w:rsidRPr="00000000">
        <w:rPr>
          <w:rtl w:val="0"/>
        </w:rPr>
        <w:t xml:space="preserve"> de políticas e isolamento determinístico para manter laços fechados seguros.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vay7p5k37xc" w:id="12"/>
      <w:bookmarkEnd w:id="12"/>
      <w:r w:rsidDel="00000000" w:rsidR="00000000" w:rsidRPr="00000000">
        <w:rPr>
          <w:sz w:val="26"/>
          <w:szCs w:val="26"/>
          <w:rtl w:val="0"/>
        </w:rPr>
        <w:t xml:space="preserve">12) Entrega contextualizada de informação (papel/tempo/objeto)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informações sobem/descem a hierarquia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contextualizadas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N1: relatórios genéricos.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N2: listas/grupos por área.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N3: contexto básico (ordem/ativo).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N4: </w:t>
      </w:r>
      <w:r w:rsidDel="00000000" w:rsidR="00000000" w:rsidRPr="00000000">
        <w:rPr>
          <w:b w:val="1"/>
          <w:bCs w:val="1"/>
          <w:rtl w:val="0"/>
        </w:rPr>
        <w:t xml:space="preserve">contexto rico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(ordem⇄operação⇄ativo⇄lote) e </w:t>
      </w:r>
      <w:r w:rsidDel="00000000" w:rsidR="00000000" w:rsidRPr="00000000">
        <w:rPr>
          <w:b w:val="1"/>
          <w:bCs w:val="1"/>
          <w:rtl w:val="0"/>
        </w:rPr>
        <w:t xml:space="preserve">perfil de acesso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N5: alertas com </w:t>
      </w:r>
      <w:r w:rsidDel="00000000" w:rsidR="00000000" w:rsidRPr="00000000">
        <w:rPr>
          <w:b w:val="1"/>
          <w:bCs w:val="1"/>
          <w:rtl w:val="0"/>
        </w:rPr>
        <w:t xml:space="preserve">previsão/impacto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recomendação</w:t>
      </w:r>
      <w:r w:rsidDel="00000000" w:rsidR="00000000" w:rsidRPr="00000000">
        <w:rPr>
          <w:rtl w:val="0"/>
        </w:rPr>
        <w:t xml:space="preserve"> por papel.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N6: </w:t>
      </w:r>
      <w:r w:rsidDel="00000000" w:rsidR="00000000" w:rsidRPr="00000000">
        <w:rPr>
          <w:b w:val="1"/>
          <w:bCs w:val="1"/>
          <w:rtl w:val="0"/>
        </w:rPr>
        <w:t xml:space="preserve">orquestração automática</w:t>
      </w:r>
      <w:r w:rsidDel="00000000" w:rsidR="00000000" w:rsidRPr="00000000">
        <w:rPr>
          <w:rtl w:val="0"/>
        </w:rPr>
        <w:t xml:space="preserve">: a informação certa chega ao papel certo </w:t>
      </w:r>
      <w:r w:rsidDel="00000000" w:rsidR="00000000" w:rsidRPr="00000000">
        <w:rPr>
          <w:b w:val="1"/>
          <w:bCs w:val="1"/>
          <w:rtl w:val="0"/>
        </w:rPr>
        <w:t xml:space="preserve">na hora certa</w:t>
      </w:r>
      <w:r w:rsidDel="00000000" w:rsidR="00000000" w:rsidRPr="00000000">
        <w:rPr>
          <w:rtl w:val="0"/>
        </w:rPr>
        <w:t xml:space="preserve">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lvcwq39w8m9j" w:id="13"/>
      <w:bookmarkEnd w:id="13"/>
      <w:r w:rsidDel="00000000" w:rsidR="00000000" w:rsidRPr="00000000">
        <w:rPr>
          <w:sz w:val="34"/>
          <w:szCs w:val="34"/>
          <w:rtl w:val="0"/>
        </w:rPr>
        <w:t xml:space="preserve">🔍 Evidências (checklist para auditoria)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Adoção de referenciais</w:t>
      </w:r>
      <w:r w:rsidDel="00000000" w:rsidR="00000000" w:rsidRPr="00000000">
        <w:rPr>
          <w:rtl w:val="0"/>
        </w:rPr>
        <w:t xml:space="preserve"> (ISA‑95/IEC 62264, RAMI 4.0) e uso de </w:t>
      </w:r>
      <w:r w:rsidDel="00000000" w:rsidR="00000000" w:rsidRPr="00000000">
        <w:rPr>
          <w:b w:val="1"/>
          <w:bCs w:val="1"/>
          <w:rtl w:val="0"/>
        </w:rPr>
        <w:t xml:space="preserve">B2MML</w:t>
      </w:r>
      <w:r w:rsidDel="00000000" w:rsidR="00000000" w:rsidRPr="00000000">
        <w:rPr>
          <w:rtl w:val="0"/>
        </w:rPr>
        <w:t xml:space="preserve"> em interfaces ERP–MES.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web-material3.yokogawa.com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European Commission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mesa.org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Interoperabilidade OT/IT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OPC UA</w:t>
      </w:r>
      <w:r w:rsidDel="00000000" w:rsidR="00000000" w:rsidRPr="00000000">
        <w:rPr>
          <w:rtl w:val="0"/>
        </w:rPr>
        <w:t xml:space="preserve"> (modelos de informação, </w:t>
      </w:r>
      <w:r w:rsidDel="00000000" w:rsidR="00000000" w:rsidRPr="00000000">
        <w:rPr>
          <w:i w:val="1"/>
          <w:iCs w:val="1"/>
          <w:rtl w:val="0"/>
        </w:rPr>
        <w:t xml:space="preserve">Companion Specs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PubSub</w:t>
      </w:r>
      <w:r w:rsidDel="00000000" w:rsidR="00000000" w:rsidRPr="00000000">
        <w:rPr>
          <w:rtl w:val="0"/>
        </w:rPr>
        <w:t xml:space="preserve"> e, quando necessário, </w:t>
      </w:r>
      <w:r w:rsidDel="00000000" w:rsidR="00000000" w:rsidRPr="00000000">
        <w:rPr>
          <w:b w:val="1"/>
          <w:bCs w:val="1"/>
          <w:rtl w:val="0"/>
        </w:rPr>
        <w:t xml:space="preserve">TSN</w:t>
      </w:r>
      <w:r w:rsidDel="00000000" w:rsidR="00000000" w:rsidRPr="00000000">
        <w:rPr>
          <w:rtl w:val="0"/>
        </w:rPr>
        <w:t xml:space="preserve"> para determinismo.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IEEE 802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Modelo semântico canônico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fonte única de verdade</w:t>
      </w:r>
      <w:r w:rsidDel="00000000" w:rsidR="00000000" w:rsidRPr="00000000">
        <w:rPr>
          <w:rtl w:val="0"/>
        </w:rPr>
        <w:t xml:space="preserve"> (IDs consistentes; versões; contexto) para reduzir retrabalho e ambiguidade.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um94dumlrmyp" w:id="14"/>
      <w:bookmarkEnd w:id="14"/>
      <w:r w:rsidDel="00000000" w:rsidR="00000000" w:rsidRPr="00000000">
        <w:rPr>
          <w:sz w:val="34"/>
          <w:szCs w:val="34"/>
          <w:rtl w:val="0"/>
        </w:rPr>
        <w:t xml:space="preserve">📈 Pontuação sugerida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N1=1 … N6=6 por pergunta.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Índice de Integração Vertical</w:t>
      </w:r>
      <w:r w:rsidDel="00000000" w:rsidR="00000000" w:rsidRPr="00000000">
        <w:rPr>
          <w:rtl w:val="0"/>
        </w:rPr>
        <w:t xml:space="preserve"> = média das 12 perguntas.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Leitura rápida: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1.0–2.0: Integração </w:t>
      </w:r>
      <w:r w:rsidDel="00000000" w:rsidR="00000000" w:rsidRPr="00000000">
        <w:rPr>
          <w:b w:val="1"/>
          <w:bCs w:val="1"/>
          <w:rtl w:val="0"/>
        </w:rPr>
        <w:t xml:space="preserve">reativa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(priorize ERP↔MES e coleta automática).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2.1–3.5: </w:t>
      </w:r>
      <w:r w:rsidDel="00000000" w:rsidR="00000000" w:rsidRPr="00000000">
        <w:rPr>
          <w:b w:val="1"/>
          <w:bCs w:val="1"/>
          <w:rtl w:val="0"/>
        </w:rPr>
        <w:t xml:space="preserve">Descritiva</w:t>
      </w:r>
      <w:r w:rsidDel="00000000" w:rsidR="00000000" w:rsidRPr="00000000">
        <w:rPr>
          <w:rtl w:val="0"/>
        </w:rPr>
        <w:t xml:space="preserve"> (construa semântica e rastreabilidade).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3.6–4.5: </w:t>
      </w:r>
      <w:r w:rsidDel="00000000" w:rsidR="00000000" w:rsidRPr="00000000">
        <w:rPr>
          <w:b w:val="1"/>
          <w:bCs w:val="1"/>
          <w:rtl w:val="0"/>
        </w:rPr>
        <w:t xml:space="preserve">Explicativa</w:t>
      </w:r>
      <w:r w:rsidDel="00000000" w:rsidR="00000000" w:rsidRPr="00000000">
        <w:rPr>
          <w:rtl w:val="0"/>
        </w:rPr>
        <w:t xml:space="preserve"> (expanda preditivo e resiliência).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4.6–6.0: </w:t>
      </w:r>
      <w:r w:rsidDel="00000000" w:rsidR="00000000" w:rsidRPr="00000000">
        <w:rPr>
          <w:b w:val="1"/>
          <w:bCs w:val="1"/>
          <w:rtl w:val="0"/>
        </w:rPr>
        <w:t xml:space="preserve">Preventiva/Adaptável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(loops fechados, evento→ação).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y8nhcb7ilk2t" w:id="15"/>
      <w:bookmarkEnd w:id="15"/>
      <w:r w:rsidDel="00000000" w:rsidR="00000000" w:rsidRPr="00000000">
        <w:rPr>
          <w:sz w:val="34"/>
          <w:szCs w:val="34"/>
          <w:rtl w:val="0"/>
        </w:rPr>
        <w:t xml:space="preserve">📚 Referências essenciais (técnicas e acadêmicas)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Industrie 4.0 Maturity Index</w:t>
      </w:r>
      <w:r w:rsidDel="00000000" w:rsidR="00000000" w:rsidRPr="00000000">
        <w:rPr>
          <w:b w:val="1"/>
          <w:bCs w:val="1"/>
          <w:rtl w:val="0"/>
        </w:rPr>
        <w:t xml:space="preserve"> (2017; Update 2020):</w:t>
      </w:r>
      <w:r w:rsidDel="00000000" w:rsidR="00000000" w:rsidRPr="00000000">
        <w:rPr>
          <w:rtl w:val="0"/>
        </w:rPr>
        <w:t xml:space="preserve"> estágios 1–6 e papel de </w:t>
      </w:r>
      <w:r w:rsidDel="00000000" w:rsidR="00000000" w:rsidRPr="00000000">
        <w:rPr>
          <w:b w:val="1"/>
          <w:bCs w:val="1"/>
          <w:rtl w:val="0"/>
        </w:rPr>
        <w:t xml:space="preserve">Sistemas de Informação</w:t>
      </w:r>
      <w:r w:rsidDel="00000000" w:rsidR="00000000" w:rsidRPr="00000000">
        <w:rPr>
          <w:rtl w:val="0"/>
        </w:rPr>
        <w:t xml:space="preserve"> na transformação.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acatech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ISA – ISA‑95 / IEC 62264 (Enterprise‑Control System Integration):</w:t>
      </w:r>
      <w:r w:rsidDel="00000000" w:rsidR="00000000" w:rsidRPr="00000000">
        <w:rPr>
          <w:rtl w:val="0"/>
        </w:rPr>
        <w:t xml:space="preserve"> modelos do MOM, objetos/atributos e transações B2M.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isa.org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web-material3.yokogawa.com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RAMI 4.0 (Plattform I4.0/UE):</w:t>
      </w:r>
      <w:r w:rsidDel="00000000" w:rsidR="00000000" w:rsidRPr="00000000">
        <w:rPr>
          <w:rtl w:val="0"/>
        </w:rPr>
        <w:t xml:space="preserve"> camadas e níveis hierárquicos que estruturam a integração vertical ao longo do ciclo de vida.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European Commission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OPC Foundation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OPC UA Interoperability for Industrie 4.0 and IoT</w:t>
      </w:r>
      <w:r w:rsidDel="00000000" w:rsidR="00000000" w:rsidRPr="00000000">
        <w:rPr>
          <w:b w:val="1"/>
          <w:bCs w:val="1"/>
          <w:rtl w:val="0"/>
        </w:rPr>
        <w:t xml:space="preserve"> (2024):</w:t>
      </w:r>
      <w:r w:rsidDel="00000000" w:rsidR="00000000" w:rsidRPr="00000000">
        <w:rPr>
          <w:rtl w:val="0"/>
        </w:rPr>
        <w:t xml:space="preserve"> padrão de interoperabilidade e </w:t>
      </w:r>
      <w:r w:rsidDel="00000000" w:rsidR="00000000" w:rsidRPr="00000000">
        <w:rPr>
          <w:b w:val="1"/>
          <w:bCs w:val="1"/>
          <w:rtl w:val="0"/>
        </w:rPr>
        <w:t xml:space="preserve">modelos de informação</w:t>
      </w:r>
      <w:r w:rsidDel="00000000" w:rsidR="00000000" w:rsidRPr="00000000">
        <w:rPr>
          <w:rtl w:val="0"/>
        </w:rPr>
        <w:t xml:space="preserve"> para integração OT/IT.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OPC Foundation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Labs Network Industrie 4.0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OPC UA over TSN</w:t>
      </w:r>
      <w:r w:rsidDel="00000000" w:rsidR="00000000" w:rsidRPr="00000000">
        <w:rPr>
          <w:b w:val="1"/>
          <w:bCs w:val="1"/>
          <w:rtl w:val="0"/>
        </w:rPr>
        <w:t xml:space="preserve"> (2023):</w:t>
      </w:r>
      <w:r w:rsidDel="00000000" w:rsidR="00000000" w:rsidRPr="00000000">
        <w:rPr>
          <w:rtl w:val="0"/>
        </w:rPr>
        <w:t xml:space="preserve"> PubSub + </w:t>
      </w:r>
      <w:r w:rsidDel="00000000" w:rsidR="00000000" w:rsidRPr="00000000">
        <w:rPr>
          <w:b w:val="1"/>
          <w:bCs w:val="1"/>
          <w:rtl w:val="0"/>
        </w:rPr>
        <w:t xml:space="preserve">TSN</w:t>
      </w:r>
      <w:r w:rsidDel="00000000" w:rsidR="00000000" w:rsidRPr="00000000">
        <w:rPr>
          <w:rtl w:val="0"/>
        </w:rPr>
        <w:t xml:space="preserve"> para comunicação determinística, habilitando loops verticais de baixa latência.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IEEE 802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MESA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B2MML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implementação do ISA‑95 em XML para integrar ERP/SCM com MES/MOM.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cfoundation.org/wp-content/uploads/2023/05/OPC-UA-Interoperability-For-Industrie4-and-IoT-EN.pdf?utm_source=chatgpt.com" TargetMode="External"/><Relationship Id="rId42" Type="http://schemas.openxmlformats.org/officeDocument/2006/relationships/hyperlink" Target="https://mesa.org/topics-resources/b2mml/?utm_source=chatgpt.com" TargetMode="External"/><Relationship Id="rId41" Type="http://schemas.openxmlformats.org/officeDocument/2006/relationships/hyperlink" Target="https://www.ieee802.org/1/files/public/docs2023/liaison-LNI40-WhitepaperOPCUAoverTSNv17-0423.pdf?utm_source=chatgpt.com" TargetMode="External"/><Relationship Id="rId44" Type="http://schemas.openxmlformats.org/officeDocument/2006/relationships/hyperlink" Target="https://opcfoundation.org/wp-content/uploads/2023/05/OPC-UA-Interoperability-For-Industrie4-and-IoT-EN.pdf?utm_source=chatgpt.com" TargetMode="External"/><Relationship Id="rId43" Type="http://schemas.openxmlformats.org/officeDocument/2006/relationships/hyperlink" Target="https://mesa.org/topics-resources/b2mml/?utm_source=chatgpt.com" TargetMode="External"/><Relationship Id="rId46" Type="http://schemas.openxmlformats.org/officeDocument/2006/relationships/hyperlink" Target="https://en.acatech.de/publication/industrie-4-0-maturity-index-update-2020/download-pdf/?lang=en&amp;utm_source=chatgpt.com" TargetMode="External"/><Relationship Id="rId45" Type="http://schemas.openxmlformats.org/officeDocument/2006/relationships/hyperlink" Target="https://www.ieee802.org/1/files/public/docs2023/liaison-LNI40-WhitepaperOPCUAoverTSNv17-0423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a.org/standards-and-publications/isa-standards/isa-95-standard?utm_source=chatgpt.com" TargetMode="External"/><Relationship Id="rId48" Type="http://schemas.openxmlformats.org/officeDocument/2006/relationships/hyperlink" Target="https://en.acatech.de/publication/industrie-4-0-maturity-index-update-2020/download-pdf/?lang=en&amp;utm_source=chatgpt.com" TargetMode="External"/><Relationship Id="rId47" Type="http://schemas.openxmlformats.org/officeDocument/2006/relationships/hyperlink" Target="https://en.acatech.de/publication/industrie-4-0-maturity-index-update-2020/download-pdf/?lang=en&amp;utm_source=chatgpt.com" TargetMode="External"/><Relationship Id="rId49" Type="http://schemas.openxmlformats.org/officeDocument/2006/relationships/hyperlink" Target="https://en.acatech.de/publication/industrie-4-0-maturity-index-update-2020/download-pdf/?lang=en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catech.de/wp-content/uploads/2018/03/acatech_STUDIE_Maturity_Index_eng_WEB.pdf?utm_source=chatgpt.com" TargetMode="External"/><Relationship Id="rId7" Type="http://schemas.openxmlformats.org/officeDocument/2006/relationships/hyperlink" Target="https://www.acatech.de/wp-content/uploads/2018/03/acatech_STUDIE_Maturity_Index_eng_WEB.pdf?utm_source=chatgpt.com" TargetMode="External"/><Relationship Id="rId8" Type="http://schemas.openxmlformats.org/officeDocument/2006/relationships/hyperlink" Target="https://en.acatech.de/publication/industrie-4-0-maturity-index-update-2020/download-pdf/?lang=en&amp;utm_source=chatgpt.com" TargetMode="External"/><Relationship Id="rId31" Type="http://schemas.openxmlformats.org/officeDocument/2006/relationships/hyperlink" Target="https://en.acatech.de/publication/industrie-4-0-maturity-index-update-2020/download-pdf/?lang=en&amp;utm_source=chatgpt.com" TargetMode="External"/><Relationship Id="rId30" Type="http://schemas.openxmlformats.org/officeDocument/2006/relationships/hyperlink" Target="https://opcfoundation.org/wp-content/uploads/2023/05/OPC-UA-Interoperability-For-Industrie4-and-IoT-EN.pdf?utm_source=chatgpt.com" TargetMode="External"/><Relationship Id="rId33" Type="http://schemas.openxmlformats.org/officeDocument/2006/relationships/hyperlink" Target="https://en.acatech.de/publication/industrie-4-0-maturity-index-update-2020/download-pdf/?lang=en&amp;utm_source=chatgpt.com" TargetMode="External"/><Relationship Id="rId32" Type="http://schemas.openxmlformats.org/officeDocument/2006/relationships/hyperlink" Target="https://en.acatech.de/publication/industrie-4-0-maturity-index-update-2020/download-pdf/?lang=en&amp;utm_source=chatgpt.com" TargetMode="External"/><Relationship Id="rId35" Type="http://schemas.openxmlformats.org/officeDocument/2006/relationships/hyperlink" Target="https://en.acatech.de/publication/industrie-4-0-maturity-index-update-2020/download-pdf/?lang=en&amp;utm_source=chatgpt.com" TargetMode="External"/><Relationship Id="rId34" Type="http://schemas.openxmlformats.org/officeDocument/2006/relationships/hyperlink" Target="https://en.acatech.de/publication/industrie-4-0-maturity-index-update-2020/download-pdf/?lang=en&amp;utm_source=chatgpt.com" TargetMode="External"/><Relationship Id="rId70" Type="http://schemas.openxmlformats.org/officeDocument/2006/relationships/hyperlink" Target="https://www.ieee802.org/1/files/public/docs2023/liaison-LNI40-WhitepaperOPCUAoverTSNv17-0423.pdf?utm_source=chatgpt.com" TargetMode="External"/><Relationship Id="rId37" Type="http://schemas.openxmlformats.org/officeDocument/2006/relationships/hyperlink" Target="https://en.acatech.de/publication/industrie-4-0-maturity-index-update-2020/download-pdf/?lang=en&amp;utm_source=chatgpt.com" TargetMode="External"/><Relationship Id="rId36" Type="http://schemas.openxmlformats.org/officeDocument/2006/relationships/hyperlink" Target="https://en.acatech.de/publication/industrie-4-0-maturity-index-update-2020/download-pdf/?lang=en&amp;utm_source=chatgpt.com" TargetMode="External"/><Relationship Id="rId39" Type="http://schemas.openxmlformats.org/officeDocument/2006/relationships/hyperlink" Target="https://opcfoundation.org/wp-content/uploads/2023/05/OPC-UA-Interoperability-For-Industrie4-and-IoT-EN.pdf?utm_source=chatgpt.com" TargetMode="External"/><Relationship Id="rId38" Type="http://schemas.openxmlformats.org/officeDocument/2006/relationships/hyperlink" Target="https://en.acatech.de/publication/industrie-4-0-maturity-index-update-2020/download-pdf/?lang=en&amp;utm_source=chatgpt.com" TargetMode="External"/><Relationship Id="rId62" Type="http://schemas.openxmlformats.org/officeDocument/2006/relationships/hyperlink" Target="https://www.isa.org/standards-and-publications/isa-standards/isa-95-standard?utm_source=chatgpt.com" TargetMode="External"/><Relationship Id="rId61" Type="http://schemas.openxmlformats.org/officeDocument/2006/relationships/hyperlink" Target="https://en.acatech.de/publication/industrie-4-0-maturity-index-update-2020/download-pdf/?lang=en&amp;utm_source=chatgpt.com" TargetMode="External"/><Relationship Id="rId20" Type="http://schemas.openxmlformats.org/officeDocument/2006/relationships/hyperlink" Target="https://web-material3.yokogawa.com/2/11821/tabs/document_11744.pdf?utm_source=chatgpt.com" TargetMode="External"/><Relationship Id="rId64" Type="http://schemas.openxmlformats.org/officeDocument/2006/relationships/hyperlink" Target="https://web-material3.yokogawa.com/2/11821/tabs/document_11744.pdf?utm_source=chatgpt.com" TargetMode="External"/><Relationship Id="rId63" Type="http://schemas.openxmlformats.org/officeDocument/2006/relationships/hyperlink" Target="https://www.isa.org/standards-and-publications/isa-standards/isa-95-standard?utm_source=chatgpt.com" TargetMode="External"/><Relationship Id="rId22" Type="http://schemas.openxmlformats.org/officeDocument/2006/relationships/hyperlink" Target="https://mesa.org/topics-resources/b2mml/?utm_source=chatgpt.com" TargetMode="External"/><Relationship Id="rId66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21" Type="http://schemas.openxmlformats.org/officeDocument/2006/relationships/hyperlink" Target="https://web-material3.yokogawa.com/2/11821/tabs/document_11744.pdf?utm_source=chatgpt.com" TargetMode="External"/><Relationship Id="rId65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24" Type="http://schemas.openxmlformats.org/officeDocument/2006/relationships/hyperlink" Target="https://opcfoundation.org/wp-content/uploads/2023/05/OPC-UA-Interoperability-For-Industrie4-and-IoT-EN.pdf?utm_source=chatgpt.com" TargetMode="External"/><Relationship Id="rId68" Type="http://schemas.openxmlformats.org/officeDocument/2006/relationships/hyperlink" Target="https://opcfoundation.org/wp-content/uploads/2023/05/OPC-UA-Interoperability-For-Industrie4-and-IoT-EN.pdf?utm_source=chatgpt.com" TargetMode="External"/><Relationship Id="rId23" Type="http://schemas.openxmlformats.org/officeDocument/2006/relationships/hyperlink" Target="https://opcfoundation.org/wp-content/uploads/2023/05/OPC-UA-Interoperability-For-Industrie4-and-IoT-EN.pdf?utm_source=chatgpt.com" TargetMode="External"/><Relationship Id="rId67" Type="http://schemas.openxmlformats.org/officeDocument/2006/relationships/hyperlink" Target="https://opcfoundation.org/wp-content/uploads/2023/05/OPC-UA-Interoperability-For-Industrie4-and-IoT-EN.pdf?utm_source=chatgpt.com" TargetMode="External"/><Relationship Id="rId60" Type="http://schemas.openxmlformats.org/officeDocument/2006/relationships/hyperlink" Target="https://www.acatech.de/wp-content/uploads/2018/03/acatech_STUDIE_Maturity_Index_eng_WEB.pdf?utm_source=chatgpt.com" TargetMode="External"/><Relationship Id="rId26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25" Type="http://schemas.openxmlformats.org/officeDocument/2006/relationships/hyperlink" Target="https://www.ieee802.org/1/files/public/docs2023/liaison-LNI40-WhitepaperOPCUAoverTSNv17-0423.pdf?utm_source=chatgpt.com" TargetMode="External"/><Relationship Id="rId69" Type="http://schemas.openxmlformats.org/officeDocument/2006/relationships/hyperlink" Target="https://www.ieee802.org/1/files/public/docs2023/liaison-LNI40-WhitepaperOPCUAoverTSNv17-0423.pdf?utm_source=chatgpt.com" TargetMode="External"/><Relationship Id="rId28" Type="http://schemas.openxmlformats.org/officeDocument/2006/relationships/hyperlink" Target="https://mesa.org/topics-resources/b2mml/?utm_source=chatgpt.com" TargetMode="External"/><Relationship Id="rId27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29" Type="http://schemas.openxmlformats.org/officeDocument/2006/relationships/hyperlink" Target="https://mesa.org/topics-resources/b2mml/?utm_source=chatgpt.com" TargetMode="External"/><Relationship Id="rId51" Type="http://schemas.openxmlformats.org/officeDocument/2006/relationships/hyperlink" Target="https://web-material3.yokogawa.com/2/11821/tabs/document_11744.pdf?utm_source=chatgpt.com" TargetMode="External"/><Relationship Id="rId50" Type="http://schemas.openxmlformats.org/officeDocument/2006/relationships/hyperlink" Target="https://web-material3.yokogawa.com/2/11821/tabs/document_11744.pdf?utm_source=chatgpt.com" TargetMode="External"/><Relationship Id="rId53" Type="http://schemas.openxmlformats.org/officeDocument/2006/relationships/hyperlink" Target="https://mesa.org/topics-resources/b2mml/?utm_source=chatgpt.com" TargetMode="External"/><Relationship Id="rId52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11" Type="http://schemas.openxmlformats.org/officeDocument/2006/relationships/hyperlink" Target="https://web-material3.yokogawa.com/2/11821/tabs/document_11744.pdf?utm_source=chatgpt.com" TargetMode="External"/><Relationship Id="rId55" Type="http://schemas.openxmlformats.org/officeDocument/2006/relationships/hyperlink" Target="https://opcfoundation.org/wp-content/uploads/2023/05/OPC-UA-Interoperability-For-Industrie4-and-IoT-EN.pdf?utm_source=chatgpt.com" TargetMode="External"/><Relationship Id="rId10" Type="http://schemas.openxmlformats.org/officeDocument/2006/relationships/hyperlink" Target="https://www.isa.org/standards-and-publications/isa-standards/isa-95-standard?utm_source=chatgpt.com" TargetMode="External"/><Relationship Id="rId54" Type="http://schemas.openxmlformats.org/officeDocument/2006/relationships/hyperlink" Target="https://opcfoundation.org/wp-content/uploads/2023/05/OPC-UA-Interoperability-For-Industrie4-and-IoT-EN.pdf?utm_source=chatgpt.com" TargetMode="External"/><Relationship Id="rId13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57" Type="http://schemas.openxmlformats.org/officeDocument/2006/relationships/hyperlink" Target="https://en.acatech.de/publication/industrie-4-0-maturity-index-update-2020/download-pdf/?lang=en&amp;utm_source=chatgpt.com" TargetMode="External"/><Relationship Id="rId12" Type="http://schemas.openxmlformats.org/officeDocument/2006/relationships/hyperlink" Target="https://ec.europa.eu/futurium/en/system/files/ged/a2-schweichhart-reference_architectural_model_industrie_4.0_rami_4.0.pdf?utm_source=chatgpt.com" TargetMode="External"/><Relationship Id="rId56" Type="http://schemas.openxmlformats.org/officeDocument/2006/relationships/hyperlink" Target="https://www.ieee802.org/1/files/public/docs2023/liaison-LNI40-WhitepaperOPCUAoverTSNv17-0423.pdf?utm_source=chatgpt.com" TargetMode="External"/><Relationship Id="rId15" Type="http://schemas.openxmlformats.org/officeDocument/2006/relationships/hyperlink" Target="https://opcfoundation.org/wp-content/uploads/2023/05/OPC-UA-Interoperability-For-Industrie4-and-IoT-EN.pdf?utm_source=chatgpt.com" TargetMode="External"/><Relationship Id="rId59" Type="http://schemas.openxmlformats.org/officeDocument/2006/relationships/hyperlink" Target="https://www.acatech.de/wp-content/uploads/2018/03/acatech_STUDIE_Maturity_Index_eng_WEB.pdf?utm_source=chatgpt.com" TargetMode="External"/><Relationship Id="rId14" Type="http://schemas.openxmlformats.org/officeDocument/2006/relationships/hyperlink" Target="https://opcfoundation.org/wp-content/uploads/2023/05/OPC-UA-Interoperability-For-Industrie4-and-IoT-EN.pdf?utm_source=chatgpt.com" TargetMode="External"/><Relationship Id="rId58" Type="http://schemas.openxmlformats.org/officeDocument/2006/relationships/hyperlink" Target="https://en.acatech.de/publication/industrie-4-0-maturity-index-update-2020/download-pdf/?lang=en&amp;utm_source=chatgpt.com" TargetMode="External"/><Relationship Id="rId17" Type="http://schemas.openxmlformats.org/officeDocument/2006/relationships/hyperlink" Target="https://mesa.org/topics-resources/b2mml/?utm_source=chatgpt.com" TargetMode="External"/><Relationship Id="rId16" Type="http://schemas.openxmlformats.org/officeDocument/2006/relationships/hyperlink" Target="https://www.ieee802.org/1/files/public/docs2023/liaison-LNI40-WhitepaperOPCUAoverTSNv17-0423.pdf?utm_source=chatgpt.com" TargetMode="External"/><Relationship Id="rId19" Type="http://schemas.openxmlformats.org/officeDocument/2006/relationships/hyperlink" Target="https://en.acatech.de/publication/industrie-4-0-maturity-index-update-2020/download-pdf/?lang=en&amp;utm_source=chatgpt.com" TargetMode="External"/><Relationship Id="rId18" Type="http://schemas.openxmlformats.org/officeDocument/2006/relationships/hyperlink" Target="https://en.acatech.de/publication/industrie-4-0-maturity-index-update-2020/download-pdf/?lang=en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