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25"/>
        <w:tblGridChange w:id="0">
          <w:tblGrid>
            <w:gridCol w:w="38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Dimensão: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Colaboração Inter e Intraempresarial</w:t>
            </w:r>
          </w:p>
        </w:tc>
      </w:tr>
    </w:tbl>
    <w:p w:rsidR="00000000" w:rsidDel="00000000" w:rsidP="00000000" w:rsidRDefault="00000000" w:rsidRPr="00000000" w14:paraId="0000000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130"/>
        <w:tblGridChange w:id="0">
          <w:tblGrid>
            <w:gridCol w:w="1500"/>
            <w:gridCol w:w="213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Bloco/Pilar: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Bloco: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Organização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Pilar: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Estrutura &amp; Gestão</w:t>
            </w:r>
          </w:p>
        </w:tc>
      </w:tr>
    </w:tbl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Resumo Descritivo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 Colaboração Inter e Intraempresarial refere-se ao processo de trabalhar em conjunto, por meio de equipes multifuncionais e com parceiros externos, para alcançar uma visão e propósito compartilhados. A comunicação aberta estabelece canais formais e transparentes que permitem o compartilhamento efetivo de informações, ideias e conhecimento entre diferentes áreas, níveis hierárquicos e organizações, promovendo a cooperação, coordenação e integração necessárias para a transformação digital.</w:t>
            </w:r>
          </w:p>
        </w:tc>
      </w:tr>
    </w:tbl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6735"/>
        <w:tblGridChange w:id="0">
          <w:tblGrid>
            <w:gridCol w:w="2205"/>
            <w:gridCol w:w="673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Capacidades Relacionadas: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Estilo de liderança democrático Cultura de confiança Compartilhamento de conhecimento Transparência organizacional Trabalho em equipe multifuncional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n4lz3kovfsr1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2kok7lu8mz4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Questão 1 - Comunicação aberta</w:t>
      </w:r>
    </w:p>
    <w:tbl>
      <w:tblPr>
        <w:tblStyle w:val="Table5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0"/>
        <w:gridCol w:w="2490"/>
        <w:tblGridChange w:id="0">
          <w:tblGrid>
            <w:gridCol w:w="6450"/>
            <w:gridCol w:w="249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Como a comunicação e o compartilhamento de informações acontecem entre diferentes equipes, áreas e parceiros externos na sua organização?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Capacidade em medição: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Comunicação aberta</w:t>
            </w:r>
          </w:p>
        </w:tc>
      </w:tr>
    </w:tbl>
    <w:p w:rsidR="00000000" w:rsidDel="00000000" w:rsidP="00000000" w:rsidRDefault="00000000" w:rsidRPr="00000000" w14:paraId="0000001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7050"/>
        <w:tblGridChange w:id="0">
          <w:tblGrid>
            <w:gridCol w:w="1875"/>
            <w:gridCol w:w="705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Item de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 comunicação acontece de forma informal e ad hoc. Equipes trabalham em silos, e o compartilhamento de informações ocorre apenas casualmente, sem estrutura ou registro.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Canais formais são estabelecidos para comunicação e compartilhamento de informações entre equipes. Existem procedimentos definidos, mas a comunicação ainda é limitada e reativa.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Canais formais permitem que equipes cooperem em tarefas e projetos pontuais. Há instrumentos visíveis para compartilhamento de informações, mas a colaboração depende de mediação da liderança.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Equipes têm autonomia para fazer ajustes que facilitam a cooperação. A comunicação é mais proativa, com reuniões regulares e compartilhamento estruturado de informações entre áreas.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Equipes compartilham recursos, responsabilidades e riscos em projetos discretos e de longo prazo. A comunicação é bidirecional, transparente e baseada em dados quantificáveis.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Canais formais permitem a formação dinâmica de equipes para trabalhar em projetos multifuncionais com metas, recursos e KPIs compartilhados. A comunicação é totalmente transparente e integrada.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 organização opera como uma rede altamente adaptável com comunicação em tempo real. Equipes se formam e se ajustam dinamicamente, com total transparência de informações e decisões distribuídas.</w:t>
            </w:r>
          </w:p>
        </w:tc>
      </w:tr>
    </w:tbl>
    <w:p w:rsidR="00000000" w:rsidDel="00000000" w:rsidP="00000000" w:rsidRDefault="00000000" w:rsidRPr="00000000" w14:paraId="0000002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Possíveis fontes de evidências: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A) Artefatos e onde buscar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Calendário de rituais interfuncionais (cadência, pauta e presença).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Atas de reuniões com lista de participantes e decisões.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Plataformas de comunicação (Slack, Teams, Confluence) com histórico de canais e threads.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RAACIs/matrizes de responsabilidade compartilhadas.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Portais de conhecimento e wikis corporativos com métricas de acesso.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Documentos de governança de comunicação e protocolos de compartilhamento de informação.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Acordos de colaboração e parcerias com stakeholders externos.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B) Métricas/KPIs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Taxa de participação em canais de comunicação por função/área.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Número de interações entre áreas (mensagens, reuniões, documentos compartilhados).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Tempo de resposta médio entre áreas.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Taxa de retrabalho ou falhas de comunicação.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Número de projetos/iniciativas interáreas concluídos por período.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Índice de transparência (% de decisões e informações documentadas e acessíveis).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NPS interno de comunicação e colaboração.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C) Sinais por 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N0: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Comunicação informal e verbal; silos organizacionais; ausência de documentação; handoffs não estruturados.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N1: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Canais formais existem mas pouco utilizados; comunicação predominantemente top-down; informações concentradas em poucos indivíduos.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N2: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Procedimentos de comunicação definidos; compartilhamento reativo; colaboração pontual mediada pela liderança; baixa autonomia das equipes.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N3: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Reuniões regulares interfuncionais; equipes têm autonomia para ajustar processos de comunicação; início de compartilhamento proativo de informações.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N4: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Comunicação bidirecional e transparente; dados quantitativos suportam discussões; responsabilidades e riscos parcialmente compartilhados; rotinas de comunicação bem estabelecidas.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N5: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Canais integrados e transparentes; equipes multifuncionais se formam dinamicamente; metas e KPIs compartilhados; alta colaboração baseada em dados preditivos.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N6: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Rede adaptativa com comunicação em tempo real; transparência total; decisões distribuídas; ajustes dinâmicos e autônomos; cultura de compartilhamento arraigada.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D) Amostragem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Selecionar 3-5 iniciativas recentes que exigiram colaboração entre áreas ou com parceiros externos e mapear o fluxo de comunicação (frequência, canais, participantes, tempo de resposta, qualidade das informações compartilhadas).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Entrevistar representantes de diferentes áreas sobre a efetividade dos canais de comunicação.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Analisar atas de reuniões interfuncionais dos últimos 90 dias.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Glossário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Ad hoc: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Algo feito especificamente para uma situação particular, sem planejamento prévio ou estrutura formal.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Canais formais de comunicação: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Meios estruturados e oficialmente estabelecidos pela organização para troca de informações (e-mail corporativo, plataformas de colaboração, reuniões regulares, sistemas de gestão).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Colaboração inter e intraempresarial: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Trabalho conjunto dentro da organização (intra) e com parceiros externos (inter) para alcançar objetivos comuns.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Comunicação aberta: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Prática organizacional que promove transparência, acessibilidade e bidirecionalidade no compartilhamento de informações.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Comunicação bidirecional: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Fluxo de informações que ocorre em ambas as direções, permitindo feedback e diálogo entre partes.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Equipes multifuncionais: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Grupos compostos por membros de diferentes áreas ou especialidades trabalhando juntos em objetivos comuns.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Handoff: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Processo de transferência de trabalho, informação ou responsabilidade entre pessoas, equipes ou áreas.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KPI (Key Performance Indicator):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Indicador-chave de desempenho usado para medir o progresso em relação aos objetivos organizacionais.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NPS interno: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Net Promoter Score aplicado internamente para medir a satisfação dos colaboradores com processos, ferramentas ou áreas da organização.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RAACI/RACI: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Matriz que define papéis e responsabilidades (Responsible, Accountable, Consulted, Informed, ou variações).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Rede adaptativa: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Estrutura organizacional flexível que se reconfigura dinamicamente conforme as necessidades e contextos mudam.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Silos organizacionais: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Situação em que áreas ou departamentos operam isoladamente, com pouca comunicação ou colaboração entre si.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Stakeholders externos: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Partes interessadas fora da organização (fornecedores, clientes, parceiros, instituições).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Tempo real: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Informação ou comunicação que acontece instantaneamente ou com atraso mínimo.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Transparência organizacional: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Prática de tornar informações, decisões e processos visíveis e acessíveis aos membros relevantes da organização.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Referências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ACATECH.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Industrie 4.0 Maturity Index. Managing the Digital Transformation of Companies – UPDATE 2020 - acatech - National Academy of Science and Engineering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Disponível em: </w:t>
            </w:r>
            <w:hyperlink r:id="rId6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https://en.acatech.de/publication/industrie-4-0-maturity-index-update-2020/download-pdf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. Acesso em: 3 out. 2025.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ALAGIRI GOVINDASAMY; ARIVARASI ARULARASAN. Readiness and Maturity Assessment Model to Measure the Industry 4.0 Ecosystem.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Lecture notes in electrical engineering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p. 57–67, 1 jan. 2021.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BONINI, A. et al. The relationship between leadership and adaptive performance: A systematic review and meta-analysis.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PLOS ONE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19, p. 1–29, out. 2024.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DECUYPERE, A.; SCHAUFELI, W. Exploring the Leadership–Engagement Nexus: A Moderated Meta-Analysis and Review of Explaining Mechanisms.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International Journal of Environmental Research and Public Health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18, n. 16, p. 8592, 2021.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EDB.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THE SMART INDUSTRY READINESS INDEX - Catalysing the transformation of manufacturing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[s.l: s.n.]. Disponível em: </w:t>
            </w:r>
            <w:hyperlink r:id="rId7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https://www.edb.gov.sg/content/dam/edb-en/about-edb/media-releases/news/the-smart-industry-readiness-index/the-sg-smart-industry-readiness-index-whitepaper (1).pdf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INCIT.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The Global Smart Industry Readiness Index Initiative: Manufacturing Transformation Insights Report 2025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[s.l: s.n.]. Disponível em: </w:t>
            </w:r>
            <w:hyperlink r:id="rId8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https://assets.incit.org/large-documents/manual/The_global_smart_industry_readiness_index_initiative_2025-manual.pdf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. Acesso em: 3 out. 2025.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KASAPOĞLU, C. et al. Industry 4.0 maturity assessment in manufacturing enterprises: a mixed-methods approach for SMEs.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Central European Management Journal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abr. 2025.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KHASSAWNEH, O.; ELREHAIL, H. The Effect of Participative Leadership Style on Employees' Performance: The Contingent Role of Institutional Theory.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Administrative Sciences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12, n. 4, p. 195, 15 dez. 2022.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LIN, W. D. et al. Application of SIRI for Industry 4.0 Maturity Assessment and Analysis.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2021 IEEE International Conference on Industrial Engineering and Engineering Management (IEEM)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1 dez. 2019.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SEMERARO, C. et al. A maturity model for evaluating the impact of Industry 4.0 technologies and principles in SMEs.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Manufacturing Letters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37, p. 61–65, 1 set. 2023.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TOUFIGHI, S. P. et al. Participative leadership, cultural factors, and speaking-up behaviour: An examination of intra-organisational knowledge sharing.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Journal of Innovation &amp; Knowledge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9, n. 3, p. 100548–100548, 1 jul. 2024.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WEF.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The Global Smart Industry Readiness Index Initiative: Manufacturing Transformation Insights Report 2022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[s.l: s.n.]. Disponível em: </w:t>
            </w:r>
            <w:hyperlink r:id="rId9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https://www3.weforum.org/docs/WEF_The_Global_Smart_Industry_Readiness_Index_Initiative_2022.pdf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3.weforum.org/docs/WEF_The_Global_Smart_Industry_Readiness_Index_Initiative_2022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acatech.de/publication/industrie-4-0-maturity-index-update-2020/download-pdf" TargetMode="External"/><Relationship Id="rId7" Type="http://schemas.openxmlformats.org/officeDocument/2006/relationships/hyperlink" Target="https://www.edb.gov.sg/content/dam/edb-en/about-edb/media-releases/news/the-smart-industry-readiness-index/the-sg-smart-industry-readiness-index-whitepaper%20(1).pdf" TargetMode="External"/><Relationship Id="rId8" Type="http://schemas.openxmlformats.org/officeDocument/2006/relationships/hyperlink" Target="https://assets.incit.org/large-documents/manual/The_global_smart_industry_readiness_index_initiative_2025-manu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