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277E6A" w14:textId="77777777" w:rsidR="003854B9" w:rsidRPr="003854B9" w:rsidRDefault="003854B9" w:rsidP="003854B9">
      <w:pPr>
        <w:tabs>
          <w:tab w:val="left" w:pos="3740"/>
        </w:tabs>
        <w:spacing w:after="0" w:line="240" w:lineRule="auto"/>
        <w:ind w:left="4536"/>
        <w:jc w:val="both"/>
        <w:rPr>
          <w:b/>
          <w:sz w:val="24"/>
          <w:szCs w:val="24"/>
          <w:lang w:val="es-ES_tradnl"/>
        </w:rPr>
      </w:pPr>
      <w:r w:rsidRPr="003854B9">
        <w:rPr>
          <w:b/>
          <w:sz w:val="24"/>
          <w:szCs w:val="24"/>
          <w:lang w:val="es-ES_tradnl"/>
        </w:rPr>
        <w:t>A.I. 71/2023 y su acumulada 75/2023</w:t>
      </w:r>
    </w:p>
    <w:p w14:paraId="622969B2" w14:textId="77777777" w:rsidR="003854B9" w:rsidRPr="003854B9" w:rsidRDefault="003854B9" w:rsidP="003854B9">
      <w:pPr>
        <w:tabs>
          <w:tab w:val="left" w:pos="3740"/>
        </w:tabs>
        <w:spacing w:after="0" w:line="240" w:lineRule="auto"/>
        <w:ind w:left="4536"/>
        <w:jc w:val="both"/>
        <w:rPr>
          <w:b/>
          <w:sz w:val="24"/>
          <w:szCs w:val="24"/>
          <w:lang w:val="es-ES_tradnl"/>
        </w:rPr>
      </w:pPr>
    </w:p>
    <w:p w14:paraId="69C8AC8D" w14:textId="77777777" w:rsidR="003854B9" w:rsidRPr="003854B9" w:rsidRDefault="003854B9" w:rsidP="003854B9">
      <w:pPr>
        <w:tabs>
          <w:tab w:val="left" w:pos="3740"/>
        </w:tabs>
        <w:spacing w:after="0" w:line="240" w:lineRule="auto"/>
        <w:ind w:left="4536"/>
        <w:jc w:val="both"/>
        <w:rPr>
          <w:b/>
          <w:sz w:val="24"/>
          <w:szCs w:val="24"/>
          <w:lang w:val="es-ES_tradnl"/>
        </w:rPr>
      </w:pPr>
      <w:r w:rsidRPr="003854B9">
        <w:rPr>
          <w:b/>
          <w:sz w:val="24"/>
          <w:szCs w:val="24"/>
          <w:lang w:val="es-ES_tradnl"/>
        </w:rPr>
        <w:t xml:space="preserve">ACTORES: Movimiento Ciudadano en la A.I. 71/2023 y Partido de la Revolución Democrática en la A.I. 75/2023 </w:t>
      </w:r>
    </w:p>
    <w:p w14:paraId="11134554" w14:textId="26FCCFBE" w:rsidR="00DC6856" w:rsidRPr="003854B9" w:rsidRDefault="00DC6856" w:rsidP="00DC6856">
      <w:pPr>
        <w:tabs>
          <w:tab w:val="left" w:pos="3740"/>
        </w:tabs>
        <w:spacing w:after="0" w:line="240" w:lineRule="auto"/>
        <w:ind w:left="4536"/>
        <w:jc w:val="both"/>
        <w:rPr>
          <w:b/>
          <w:sz w:val="24"/>
          <w:szCs w:val="24"/>
          <w:lang w:val="es-ES_tradnl"/>
        </w:rPr>
      </w:pPr>
      <w:r w:rsidRPr="003854B9">
        <w:rPr>
          <w:sz w:val="24"/>
          <w:szCs w:val="24"/>
          <w:lang w:val="es-ES_tradnl"/>
        </w:rPr>
        <w:t>-------------------------------</w:t>
      </w:r>
      <w:r w:rsidR="008520DB">
        <w:rPr>
          <w:sz w:val="24"/>
          <w:szCs w:val="24"/>
          <w:lang w:val="es-ES_tradnl"/>
        </w:rPr>
        <w:t>-------</w:t>
      </w:r>
      <w:r w:rsidRPr="003854B9">
        <w:rPr>
          <w:sz w:val="24"/>
          <w:szCs w:val="24"/>
          <w:lang w:val="es-ES_tradnl"/>
        </w:rPr>
        <w:t>---------------</w:t>
      </w:r>
    </w:p>
    <w:p w14:paraId="74462F60" w14:textId="4245FF41" w:rsidR="00DC6856" w:rsidRPr="003854B9" w:rsidRDefault="00DC6856" w:rsidP="0094253C">
      <w:pPr>
        <w:tabs>
          <w:tab w:val="left" w:pos="3600"/>
        </w:tabs>
        <w:spacing w:after="0" w:line="240" w:lineRule="auto"/>
        <w:ind w:left="4536"/>
        <w:jc w:val="both"/>
        <w:rPr>
          <w:b/>
          <w:sz w:val="24"/>
          <w:szCs w:val="24"/>
          <w:lang w:val="es-ES_tradnl"/>
        </w:rPr>
      </w:pPr>
      <w:r w:rsidRPr="003854B9">
        <w:rPr>
          <w:b/>
          <w:sz w:val="24"/>
          <w:szCs w:val="24"/>
          <w:lang w:val="es-ES_tradnl"/>
        </w:rPr>
        <w:t>SE PRESENTA AMICUS CURIAE para el análisis constitucional de las reformas político electorales 2022-2023</w:t>
      </w:r>
    </w:p>
    <w:p w14:paraId="00000001" w14:textId="77777777" w:rsidR="002A374E" w:rsidRPr="005B03F9" w:rsidRDefault="002A374E" w:rsidP="005B3C6F">
      <w:pPr>
        <w:spacing w:after="0"/>
        <w:jc w:val="both"/>
        <w:rPr>
          <w:b/>
          <w:sz w:val="24"/>
          <w:szCs w:val="24"/>
          <w:lang w:val="es-ES_tradnl"/>
        </w:rPr>
      </w:pPr>
    </w:p>
    <w:p w14:paraId="04DB3A89" w14:textId="6D2112DA" w:rsidR="005B3C6F" w:rsidRPr="005B03F9" w:rsidRDefault="005B3C6F" w:rsidP="00C150CB">
      <w:pPr>
        <w:spacing w:line="240" w:lineRule="auto"/>
        <w:ind w:right="3593"/>
        <w:jc w:val="both"/>
        <w:rPr>
          <w:rFonts w:eastAsia="Times New Roman"/>
          <w:color w:val="000000"/>
          <w:sz w:val="24"/>
          <w:szCs w:val="24"/>
          <w:lang w:val="es-ES"/>
        </w:rPr>
      </w:pPr>
      <w:r w:rsidRPr="005B03F9">
        <w:rPr>
          <w:rFonts w:eastAsia="Times New Roman"/>
          <w:color w:val="000000"/>
          <w:sz w:val="24"/>
          <w:szCs w:val="24"/>
          <w:lang w:val="es-ES"/>
        </w:rPr>
        <w:t>H.H.</w:t>
      </w:r>
      <w:r w:rsidR="00C150CB" w:rsidRPr="005B03F9">
        <w:rPr>
          <w:rFonts w:eastAsia="Times New Roman"/>
          <w:color w:val="000000"/>
          <w:sz w:val="24"/>
          <w:szCs w:val="24"/>
          <w:lang w:val="es-ES"/>
        </w:rPr>
        <w:t xml:space="preserve"> </w:t>
      </w:r>
      <w:r w:rsidRPr="005B03F9">
        <w:rPr>
          <w:rFonts w:eastAsia="Times New Roman"/>
          <w:color w:val="000000"/>
          <w:sz w:val="24"/>
          <w:szCs w:val="24"/>
          <w:lang w:val="es-ES"/>
        </w:rPr>
        <w:t>Ministras y Ministros integrantes del Tribunal Pleno de la Suprema Corte de Justicia de la Nación</w:t>
      </w:r>
    </w:p>
    <w:p w14:paraId="19A66C1B" w14:textId="0D9533FB" w:rsidR="00C150CB" w:rsidRPr="005B03F9" w:rsidRDefault="005B3C6F" w:rsidP="005B3C6F">
      <w:pPr>
        <w:spacing w:line="240" w:lineRule="auto"/>
        <w:jc w:val="both"/>
        <w:rPr>
          <w:rFonts w:eastAsia="Times New Roman"/>
          <w:color w:val="000000"/>
          <w:sz w:val="24"/>
          <w:szCs w:val="24"/>
          <w:lang w:val="es-ES"/>
        </w:rPr>
      </w:pPr>
      <w:r w:rsidRPr="005B03F9">
        <w:rPr>
          <w:rFonts w:eastAsia="Times New Roman"/>
          <w:color w:val="000000"/>
          <w:sz w:val="24"/>
          <w:szCs w:val="24"/>
          <w:lang w:val="es-ES"/>
        </w:rPr>
        <w:t>PRESENTE.</w:t>
      </w:r>
    </w:p>
    <w:p w14:paraId="2FF7E7EC" w14:textId="77777777" w:rsidR="00DC6856" w:rsidRPr="005B03F9" w:rsidRDefault="00DC6856" w:rsidP="005B3C6F">
      <w:pPr>
        <w:spacing w:line="240" w:lineRule="auto"/>
        <w:jc w:val="both"/>
        <w:rPr>
          <w:rFonts w:eastAsia="Times New Roman"/>
          <w:color w:val="000000"/>
          <w:sz w:val="24"/>
          <w:szCs w:val="24"/>
          <w:lang w:val="es-ES"/>
        </w:rPr>
      </w:pPr>
    </w:p>
    <w:p w14:paraId="70062048" w14:textId="77777777" w:rsidR="005B3C6F" w:rsidRPr="005B03F9" w:rsidRDefault="005B3C6F" w:rsidP="00C150CB">
      <w:pPr>
        <w:spacing w:line="240" w:lineRule="auto"/>
        <w:jc w:val="center"/>
        <w:rPr>
          <w:rFonts w:eastAsia="Times New Roman"/>
          <w:sz w:val="24"/>
          <w:szCs w:val="24"/>
          <w:lang w:val="es-ES"/>
        </w:rPr>
      </w:pPr>
      <w:proofErr w:type="spellStart"/>
      <w:r w:rsidRPr="005B03F9">
        <w:rPr>
          <w:rFonts w:eastAsia="Times New Roman"/>
          <w:b/>
          <w:bCs/>
          <w:i/>
          <w:iCs/>
          <w:color w:val="000000"/>
          <w:sz w:val="24"/>
          <w:szCs w:val="24"/>
          <w:lang w:val="es-ES"/>
        </w:rPr>
        <w:t>Amicus</w:t>
      </w:r>
      <w:proofErr w:type="spellEnd"/>
      <w:r w:rsidRPr="005B03F9">
        <w:rPr>
          <w:rFonts w:eastAsia="Times New Roman"/>
          <w:b/>
          <w:bCs/>
          <w:i/>
          <w:iCs/>
          <w:color w:val="000000"/>
          <w:sz w:val="24"/>
          <w:szCs w:val="24"/>
          <w:lang w:val="es-ES"/>
        </w:rPr>
        <w:t xml:space="preserve"> </w:t>
      </w:r>
      <w:proofErr w:type="spellStart"/>
      <w:r w:rsidRPr="005B03F9">
        <w:rPr>
          <w:rFonts w:eastAsia="Times New Roman"/>
          <w:b/>
          <w:bCs/>
          <w:i/>
          <w:iCs/>
          <w:color w:val="000000"/>
          <w:sz w:val="24"/>
          <w:szCs w:val="24"/>
          <w:lang w:val="es-ES"/>
        </w:rPr>
        <w:t>Curiae</w:t>
      </w:r>
      <w:proofErr w:type="spellEnd"/>
      <w:r w:rsidRPr="005B03F9">
        <w:rPr>
          <w:rFonts w:eastAsia="Times New Roman"/>
          <w:b/>
          <w:bCs/>
          <w:i/>
          <w:iCs/>
          <w:color w:val="000000"/>
          <w:sz w:val="24"/>
          <w:szCs w:val="24"/>
          <w:lang w:val="es-ES"/>
        </w:rPr>
        <w:t xml:space="preserve">: </w:t>
      </w:r>
      <w:r w:rsidRPr="005B03F9">
        <w:rPr>
          <w:rFonts w:eastAsia="Times New Roman"/>
          <w:b/>
          <w:bCs/>
          <w:color w:val="000000"/>
          <w:sz w:val="24"/>
          <w:szCs w:val="24"/>
          <w:lang w:val="es-ES"/>
        </w:rPr>
        <w:t>Consideraciones en materia de delimitación electoral (</w:t>
      </w:r>
      <w:proofErr w:type="spellStart"/>
      <w:r w:rsidRPr="005B03F9">
        <w:rPr>
          <w:rFonts w:eastAsia="Times New Roman"/>
          <w:b/>
          <w:bCs/>
          <w:color w:val="000000"/>
          <w:sz w:val="24"/>
          <w:szCs w:val="24"/>
          <w:lang w:val="es-ES"/>
        </w:rPr>
        <w:t>redistritación</w:t>
      </w:r>
      <w:proofErr w:type="spellEnd"/>
      <w:r w:rsidRPr="005B03F9">
        <w:rPr>
          <w:rFonts w:eastAsia="Times New Roman"/>
          <w:b/>
          <w:bCs/>
          <w:color w:val="000000"/>
          <w:sz w:val="24"/>
          <w:szCs w:val="24"/>
          <w:lang w:val="es-ES"/>
        </w:rPr>
        <w:t>) para el análisis constitucional de las reformas político electorales 2022-2023</w:t>
      </w:r>
    </w:p>
    <w:p w14:paraId="3611596D" w14:textId="77777777" w:rsidR="005B3C6F" w:rsidRPr="005B03F9" w:rsidRDefault="005B3C6F" w:rsidP="005B3C6F">
      <w:pPr>
        <w:jc w:val="both"/>
        <w:rPr>
          <w:rFonts w:eastAsia="Times New Roman"/>
          <w:sz w:val="24"/>
          <w:szCs w:val="24"/>
          <w:lang w:val="es-ES"/>
        </w:rPr>
      </w:pPr>
    </w:p>
    <w:p w14:paraId="2C61F532" w14:textId="5026713E" w:rsidR="005B3C6F" w:rsidRPr="005B03F9" w:rsidRDefault="008F192F" w:rsidP="004B0CB1">
      <w:pPr>
        <w:spacing w:after="0" w:line="480" w:lineRule="auto"/>
        <w:ind w:firstLine="709"/>
        <w:jc w:val="both"/>
        <w:rPr>
          <w:rFonts w:eastAsia="Times New Roman"/>
          <w:color w:val="000000"/>
          <w:sz w:val="24"/>
          <w:szCs w:val="24"/>
          <w:lang w:val="es-ES_tradnl"/>
        </w:rPr>
      </w:pPr>
      <w:r w:rsidRPr="005B03F9">
        <w:rPr>
          <w:rFonts w:eastAsia="Times New Roman"/>
          <w:b/>
          <w:bCs/>
          <w:color w:val="000000"/>
          <w:sz w:val="24"/>
          <w:szCs w:val="24"/>
          <w:lang w:val="es-ES_tradnl"/>
        </w:rPr>
        <w:t>ALEJANDRO TRELLES</w:t>
      </w:r>
      <w:r w:rsidRPr="005B03F9">
        <w:rPr>
          <w:rFonts w:eastAsia="Times New Roman"/>
          <w:color w:val="000000"/>
          <w:sz w:val="24"/>
          <w:szCs w:val="24"/>
          <w:lang w:val="es-ES_tradnl"/>
        </w:rPr>
        <w:t xml:space="preserve">, </w:t>
      </w:r>
      <w:r w:rsidR="008520DB">
        <w:rPr>
          <w:rFonts w:eastAsia="Times New Roman"/>
          <w:color w:val="000000"/>
          <w:sz w:val="24"/>
          <w:szCs w:val="24"/>
          <w:lang w:val="es-ES_tradnl"/>
        </w:rPr>
        <w:t>mexicano</w:t>
      </w:r>
      <w:r w:rsidR="001E276F">
        <w:rPr>
          <w:rFonts w:eastAsia="Times New Roman"/>
          <w:color w:val="000000"/>
          <w:sz w:val="24"/>
          <w:szCs w:val="24"/>
          <w:lang w:val="es-ES_tradnl"/>
        </w:rPr>
        <w:t xml:space="preserve"> y</w:t>
      </w:r>
      <w:r w:rsidR="008520DB">
        <w:rPr>
          <w:rFonts w:eastAsia="Times New Roman"/>
          <w:color w:val="000000"/>
          <w:sz w:val="24"/>
          <w:szCs w:val="24"/>
          <w:lang w:val="es-ES_tradnl"/>
        </w:rPr>
        <w:t xml:space="preserve"> </w:t>
      </w:r>
      <w:r w:rsidRPr="005B03F9">
        <w:rPr>
          <w:rFonts w:eastAsia="Times New Roman"/>
          <w:color w:val="000000"/>
          <w:sz w:val="24"/>
          <w:szCs w:val="24"/>
          <w:lang w:val="es-ES_tradnl"/>
        </w:rPr>
        <w:t xml:space="preserve">profesor investigador de tiempo completo en </w:t>
      </w:r>
      <w:proofErr w:type="spellStart"/>
      <w:r w:rsidRPr="005B03F9">
        <w:rPr>
          <w:rFonts w:eastAsia="Times New Roman"/>
          <w:i/>
          <w:iCs/>
          <w:color w:val="000000"/>
          <w:sz w:val="24"/>
          <w:szCs w:val="24"/>
          <w:lang w:val="es-ES_tradnl"/>
        </w:rPr>
        <w:t>Brandeis</w:t>
      </w:r>
      <w:proofErr w:type="spellEnd"/>
      <w:r w:rsidRPr="005B03F9">
        <w:rPr>
          <w:rFonts w:eastAsia="Times New Roman"/>
          <w:i/>
          <w:iCs/>
          <w:color w:val="000000"/>
          <w:sz w:val="24"/>
          <w:szCs w:val="24"/>
          <w:lang w:val="es-ES_tradnl"/>
        </w:rPr>
        <w:t xml:space="preserve"> </w:t>
      </w:r>
      <w:proofErr w:type="spellStart"/>
      <w:r w:rsidRPr="005B03F9">
        <w:rPr>
          <w:rFonts w:eastAsia="Times New Roman"/>
          <w:i/>
          <w:iCs/>
          <w:color w:val="000000"/>
          <w:sz w:val="24"/>
          <w:szCs w:val="24"/>
          <w:lang w:val="es-ES_tradnl"/>
        </w:rPr>
        <w:t>University</w:t>
      </w:r>
      <w:proofErr w:type="spellEnd"/>
      <w:r w:rsidRPr="005B03F9">
        <w:rPr>
          <w:rFonts w:eastAsia="Times New Roman"/>
          <w:color w:val="000000"/>
          <w:sz w:val="24"/>
          <w:szCs w:val="24"/>
          <w:lang w:val="es-ES_tradnl"/>
        </w:rPr>
        <w:t>, ubicada en Waltham, Massachusetts, EUA</w:t>
      </w:r>
      <w:r w:rsidR="00FD1024">
        <w:rPr>
          <w:rFonts w:eastAsia="Times New Roman"/>
          <w:color w:val="000000"/>
          <w:sz w:val="24"/>
          <w:szCs w:val="24"/>
          <w:lang w:val="es-ES_tradnl"/>
        </w:rPr>
        <w:t>;</w:t>
      </w:r>
      <w:r w:rsidRPr="005B03F9">
        <w:rPr>
          <w:rFonts w:eastAsia="Times New Roman"/>
          <w:color w:val="000000"/>
          <w:sz w:val="24"/>
          <w:szCs w:val="24"/>
          <w:lang w:val="es-ES_tradnl"/>
        </w:rPr>
        <w:t xml:space="preserve"> </w:t>
      </w:r>
      <w:r w:rsidRPr="005B03F9">
        <w:rPr>
          <w:rFonts w:eastAsia="Times New Roman"/>
          <w:b/>
          <w:bCs/>
          <w:color w:val="000000"/>
          <w:sz w:val="24"/>
          <w:szCs w:val="24"/>
          <w:lang w:val="es-ES_tradnl"/>
        </w:rPr>
        <w:t>ERIC MAGAR</w:t>
      </w:r>
      <w:r w:rsidRPr="005B03F9">
        <w:rPr>
          <w:rFonts w:eastAsia="Times New Roman"/>
          <w:color w:val="000000"/>
          <w:sz w:val="24"/>
          <w:szCs w:val="24"/>
          <w:lang w:val="es-ES_tradnl"/>
        </w:rPr>
        <w:t>,</w:t>
      </w:r>
      <w:r w:rsidR="008520DB">
        <w:rPr>
          <w:rFonts w:eastAsia="Times New Roman"/>
          <w:color w:val="000000"/>
          <w:sz w:val="24"/>
          <w:szCs w:val="24"/>
          <w:lang w:val="es-ES_tradnl"/>
        </w:rPr>
        <w:t xml:space="preserve"> mexicano</w:t>
      </w:r>
      <w:r w:rsidR="001E276F">
        <w:rPr>
          <w:rFonts w:eastAsia="Times New Roman"/>
          <w:color w:val="000000"/>
          <w:sz w:val="24"/>
          <w:szCs w:val="24"/>
          <w:lang w:val="es-ES_tradnl"/>
        </w:rPr>
        <w:t xml:space="preserve"> y</w:t>
      </w:r>
      <w:r w:rsidRPr="005B03F9">
        <w:rPr>
          <w:rFonts w:eastAsia="Times New Roman"/>
          <w:color w:val="000000"/>
          <w:sz w:val="24"/>
          <w:szCs w:val="24"/>
          <w:lang w:val="es-ES_tradnl"/>
        </w:rPr>
        <w:t xml:space="preserve"> profesor investigador de tiempo completo en el Instituto Tecnológico Autónomo de México (ITAM), ubicado en la Ciudad de México</w:t>
      </w:r>
      <w:r w:rsidR="00FD1024">
        <w:rPr>
          <w:rFonts w:eastAsia="Times New Roman"/>
          <w:color w:val="000000"/>
          <w:sz w:val="24"/>
          <w:szCs w:val="24"/>
          <w:lang w:val="es-ES_tradnl"/>
        </w:rPr>
        <w:t>;</w:t>
      </w:r>
      <w:r w:rsidRPr="005B03F9">
        <w:rPr>
          <w:rFonts w:eastAsia="Times New Roman"/>
          <w:color w:val="000000"/>
          <w:sz w:val="24"/>
          <w:szCs w:val="24"/>
          <w:lang w:val="es-ES_tradnl"/>
        </w:rPr>
        <w:t xml:space="preserve"> </w:t>
      </w:r>
      <w:r w:rsidRPr="005B03F9">
        <w:rPr>
          <w:rFonts w:eastAsia="Times New Roman"/>
          <w:b/>
          <w:bCs/>
          <w:color w:val="000000"/>
          <w:sz w:val="24"/>
          <w:szCs w:val="24"/>
          <w:lang w:val="es-ES_tradnl"/>
        </w:rPr>
        <w:t>MICAH ALTMAN</w:t>
      </w:r>
      <w:r w:rsidRPr="005B03F9">
        <w:rPr>
          <w:rFonts w:eastAsia="Times New Roman"/>
          <w:color w:val="000000"/>
          <w:sz w:val="24"/>
          <w:szCs w:val="24"/>
          <w:lang w:val="es-ES_tradnl"/>
        </w:rPr>
        <w:t xml:space="preserve">, investigador de tiempo completo en el </w:t>
      </w:r>
      <w:r w:rsidRPr="005B03F9">
        <w:rPr>
          <w:rFonts w:eastAsia="Times New Roman"/>
          <w:i/>
          <w:iCs/>
          <w:color w:val="000000"/>
          <w:sz w:val="24"/>
          <w:szCs w:val="24"/>
          <w:lang w:val="es-ES_tradnl"/>
        </w:rPr>
        <w:t xml:space="preserve">Massachusetts </w:t>
      </w:r>
      <w:proofErr w:type="spellStart"/>
      <w:r w:rsidRPr="005B03F9">
        <w:rPr>
          <w:rFonts w:eastAsia="Times New Roman"/>
          <w:i/>
          <w:iCs/>
          <w:color w:val="000000"/>
          <w:sz w:val="24"/>
          <w:szCs w:val="24"/>
          <w:lang w:val="es-ES_tradnl"/>
        </w:rPr>
        <w:t>Institute</w:t>
      </w:r>
      <w:proofErr w:type="spellEnd"/>
      <w:r w:rsidRPr="005B03F9">
        <w:rPr>
          <w:rFonts w:eastAsia="Times New Roman"/>
          <w:i/>
          <w:iCs/>
          <w:color w:val="000000"/>
          <w:sz w:val="24"/>
          <w:szCs w:val="24"/>
          <w:lang w:val="es-ES_tradnl"/>
        </w:rPr>
        <w:t xml:space="preserve"> of </w:t>
      </w:r>
      <w:proofErr w:type="spellStart"/>
      <w:r w:rsidRPr="005B03F9">
        <w:rPr>
          <w:rFonts w:eastAsia="Times New Roman"/>
          <w:i/>
          <w:iCs/>
          <w:color w:val="000000"/>
          <w:sz w:val="24"/>
          <w:szCs w:val="24"/>
          <w:lang w:val="es-ES_tradnl"/>
        </w:rPr>
        <w:t>Technology</w:t>
      </w:r>
      <w:proofErr w:type="spellEnd"/>
      <w:r w:rsidRPr="005B03F9">
        <w:rPr>
          <w:rFonts w:eastAsia="Times New Roman"/>
          <w:color w:val="000000"/>
          <w:sz w:val="24"/>
          <w:szCs w:val="24"/>
          <w:lang w:val="es-ES_tradnl"/>
        </w:rPr>
        <w:t xml:space="preserve"> (MIT), ubicado en Cambridge, Massachusetts, EUA</w:t>
      </w:r>
      <w:r w:rsidR="00FD1024">
        <w:rPr>
          <w:rFonts w:eastAsia="Times New Roman"/>
          <w:color w:val="000000"/>
          <w:sz w:val="24"/>
          <w:szCs w:val="24"/>
          <w:lang w:val="es-ES_tradnl"/>
        </w:rPr>
        <w:t>;</w:t>
      </w:r>
      <w:r w:rsidRPr="005B03F9">
        <w:rPr>
          <w:rFonts w:eastAsia="Times New Roman"/>
          <w:color w:val="000000"/>
          <w:sz w:val="24"/>
          <w:szCs w:val="24"/>
          <w:lang w:val="es-ES_tradnl"/>
        </w:rPr>
        <w:t xml:space="preserve"> y </w:t>
      </w:r>
      <w:r w:rsidRPr="005B03F9">
        <w:rPr>
          <w:rFonts w:eastAsia="Times New Roman"/>
          <w:b/>
          <w:bCs/>
          <w:color w:val="000000"/>
          <w:sz w:val="24"/>
          <w:szCs w:val="24"/>
          <w:lang w:val="es-ES_tradnl"/>
        </w:rPr>
        <w:t>MICHAEL MCDONALD</w:t>
      </w:r>
      <w:r w:rsidRPr="005B03F9">
        <w:rPr>
          <w:rFonts w:eastAsia="Times New Roman"/>
          <w:color w:val="000000"/>
          <w:sz w:val="24"/>
          <w:szCs w:val="24"/>
          <w:lang w:val="es-ES_tradnl"/>
        </w:rPr>
        <w:t xml:space="preserve">, profesor investigador de tiempo completo en </w:t>
      </w:r>
      <w:proofErr w:type="spellStart"/>
      <w:r w:rsidRPr="005B03F9">
        <w:rPr>
          <w:rFonts w:eastAsia="Times New Roman"/>
          <w:i/>
          <w:iCs/>
          <w:color w:val="000000"/>
          <w:sz w:val="24"/>
          <w:szCs w:val="24"/>
          <w:lang w:val="es-ES_tradnl"/>
        </w:rPr>
        <w:t>University</w:t>
      </w:r>
      <w:proofErr w:type="spellEnd"/>
      <w:r w:rsidRPr="005B03F9">
        <w:rPr>
          <w:rFonts w:eastAsia="Times New Roman"/>
          <w:i/>
          <w:iCs/>
          <w:color w:val="000000"/>
          <w:sz w:val="24"/>
          <w:szCs w:val="24"/>
          <w:lang w:val="es-ES_tradnl"/>
        </w:rPr>
        <w:t xml:space="preserve"> of Florida</w:t>
      </w:r>
      <w:r w:rsidRPr="005B03F9">
        <w:rPr>
          <w:rFonts w:eastAsia="Times New Roman"/>
          <w:color w:val="000000"/>
          <w:sz w:val="24"/>
          <w:szCs w:val="24"/>
          <w:lang w:val="es-ES_tradnl"/>
        </w:rPr>
        <w:t>, ubicada en Gainesville, Florida, EUA</w:t>
      </w:r>
      <w:r w:rsidR="00FD1024">
        <w:rPr>
          <w:rFonts w:eastAsia="Times New Roman"/>
          <w:color w:val="000000"/>
          <w:sz w:val="24"/>
          <w:szCs w:val="24"/>
          <w:lang w:val="es-ES_tradnl"/>
        </w:rPr>
        <w:t>,</w:t>
      </w:r>
      <w:r w:rsidRPr="005B03F9">
        <w:rPr>
          <w:rFonts w:eastAsia="Times New Roman"/>
          <w:color w:val="000000"/>
          <w:sz w:val="24"/>
          <w:szCs w:val="24"/>
          <w:lang w:val="es-ES_tradnl"/>
        </w:rPr>
        <w:t xml:space="preserve"> </w:t>
      </w:r>
      <w:r w:rsidR="001E276F">
        <w:rPr>
          <w:rFonts w:eastAsia="Times New Roman"/>
          <w:color w:val="000000"/>
          <w:sz w:val="24"/>
          <w:szCs w:val="24"/>
          <w:lang w:val="es-ES_tradnl"/>
        </w:rPr>
        <w:t xml:space="preserve">quienes, </w:t>
      </w:r>
      <w:r w:rsidRPr="005B03F9">
        <w:rPr>
          <w:rFonts w:eastAsia="Times New Roman"/>
          <w:color w:val="000000"/>
          <w:sz w:val="24"/>
          <w:szCs w:val="24"/>
          <w:lang w:val="es-ES_tradnl"/>
        </w:rPr>
        <w:t>e</w:t>
      </w:r>
      <w:r w:rsidR="005B3C6F" w:rsidRPr="005B03F9">
        <w:rPr>
          <w:rFonts w:eastAsia="Times New Roman"/>
          <w:color w:val="000000"/>
          <w:sz w:val="24"/>
          <w:szCs w:val="24"/>
          <w:lang w:val="es-ES_tradnl"/>
        </w:rPr>
        <w:t>n ejercicio del derecho de petición previsto en el artículo 8º de la Constitución Política de los Estados Unidos Mexicanos (CPEUM), comparecemos en calidad de personas expertas en materia electoral y procesos de delimitación electoral (</w:t>
      </w:r>
      <w:proofErr w:type="spellStart"/>
      <w:r w:rsidR="005B3C6F" w:rsidRPr="005B03F9">
        <w:rPr>
          <w:rFonts w:eastAsia="Times New Roman"/>
          <w:color w:val="000000"/>
          <w:sz w:val="24"/>
          <w:szCs w:val="24"/>
          <w:lang w:val="es-ES_tradnl"/>
        </w:rPr>
        <w:t>redistritación</w:t>
      </w:r>
      <w:proofErr w:type="spellEnd"/>
      <w:r w:rsidR="005B3C6F" w:rsidRPr="005B03F9">
        <w:rPr>
          <w:rFonts w:eastAsia="Times New Roman"/>
          <w:color w:val="000000"/>
          <w:sz w:val="24"/>
          <w:szCs w:val="24"/>
          <w:lang w:val="es-ES_tradnl"/>
        </w:rPr>
        <w:t xml:space="preserve">) en México y Estados Unidos de América (“EUA”) a someter a consideración de esta H. Suprema Corte de Justicia de la Nación (“Suprema Corte”) el presente </w:t>
      </w:r>
      <w:proofErr w:type="spellStart"/>
      <w:r w:rsidR="005B3C6F" w:rsidRPr="005B03F9">
        <w:rPr>
          <w:rFonts w:eastAsia="Times New Roman"/>
          <w:i/>
          <w:iCs/>
          <w:color w:val="000000"/>
          <w:sz w:val="24"/>
          <w:szCs w:val="24"/>
          <w:lang w:val="es-ES_tradnl"/>
        </w:rPr>
        <w:t>amicus</w:t>
      </w:r>
      <w:proofErr w:type="spellEnd"/>
      <w:r w:rsidR="005B3C6F" w:rsidRPr="005B03F9">
        <w:rPr>
          <w:rFonts w:eastAsia="Times New Roman"/>
          <w:i/>
          <w:iCs/>
          <w:color w:val="000000"/>
          <w:sz w:val="24"/>
          <w:szCs w:val="24"/>
          <w:lang w:val="es-ES_tradnl"/>
        </w:rPr>
        <w:t xml:space="preserve"> </w:t>
      </w:r>
      <w:proofErr w:type="spellStart"/>
      <w:r w:rsidR="005B3C6F" w:rsidRPr="005B03F9">
        <w:rPr>
          <w:rFonts w:eastAsia="Times New Roman"/>
          <w:i/>
          <w:iCs/>
          <w:color w:val="000000"/>
          <w:sz w:val="24"/>
          <w:szCs w:val="24"/>
          <w:lang w:val="es-ES_tradnl"/>
        </w:rPr>
        <w:t>curiae</w:t>
      </w:r>
      <w:proofErr w:type="spellEnd"/>
      <w:r w:rsidR="005B3C6F" w:rsidRPr="005B03F9">
        <w:rPr>
          <w:rFonts w:eastAsia="Times New Roman"/>
          <w:color w:val="000000"/>
          <w:sz w:val="24"/>
          <w:szCs w:val="24"/>
          <w:lang w:val="es-ES_tradnl"/>
        </w:rPr>
        <w:t xml:space="preserve">, con el objeto de proporcionarle a la Suprema Corte elementos para el Análisis Constitucional de las Reformas Político Electorales 2022-2023, según lo siguiente: </w:t>
      </w:r>
    </w:p>
    <w:p w14:paraId="6BF81E93" w14:textId="77777777" w:rsidR="004B0CB1" w:rsidRPr="005B03F9" w:rsidRDefault="004B0CB1" w:rsidP="004B0CB1">
      <w:pPr>
        <w:spacing w:after="0" w:line="480" w:lineRule="auto"/>
        <w:ind w:firstLine="709"/>
        <w:jc w:val="both"/>
        <w:rPr>
          <w:rFonts w:eastAsia="Times New Roman"/>
          <w:sz w:val="24"/>
          <w:szCs w:val="24"/>
          <w:lang w:val="es-ES_tradnl"/>
        </w:rPr>
      </w:pPr>
    </w:p>
    <w:p w14:paraId="45083CE8" w14:textId="1ABD41FA" w:rsidR="005B3C6F" w:rsidRPr="005B03F9" w:rsidRDefault="005B3C6F" w:rsidP="004B0CB1">
      <w:pPr>
        <w:spacing w:after="0" w:line="480" w:lineRule="auto"/>
        <w:ind w:firstLine="709"/>
        <w:jc w:val="both"/>
        <w:rPr>
          <w:rFonts w:eastAsia="Times New Roman"/>
          <w:color w:val="000000"/>
          <w:sz w:val="24"/>
          <w:szCs w:val="24"/>
          <w:lang w:val="es-ES_tradnl"/>
        </w:rPr>
      </w:pPr>
      <w:r w:rsidRPr="005B03F9">
        <w:rPr>
          <w:rFonts w:eastAsia="Times New Roman"/>
          <w:color w:val="000000"/>
          <w:sz w:val="24"/>
          <w:szCs w:val="24"/>
          <w:lang w:val="es-ES_tradnl"/>
        </w:rPr>
        <w:t xml:space="preserve">Es un hecho notorio que en diversos foros académicos se han presentado sendos análisis comprensivos sobre las implicaciones de las reformas político electorales 2022-2023, sin embargo, consideramos que compartir con la Suprema </w:t>
      </w:r>
      <w:r w:rsidRPr="005B03F9">
        <w:rPr>
          <w:rFonts w:eastAsia="Times New Roman"/>
          <w:color w:val="000000"/>
          <w:sz w:val="24"/>
          <w:szCs w:val="24"/>
          <w:lang w:val="es-ES_tradnl"/>
        </w:rPr>
        <w:lastRenderedPageBreak/>
        <w:t xml:space="preserve">Corte los principales hallazgos relacionados a los estudios académicos de </w:t>
      </w:r>
      <w:proofErr w:type="spellStart"/>
      <w:r w:rsidRPr="005B03F9">
        <w:rPr>
          <w:rFonts w:eastAsia="Times New Roman"/>
          <w:color w:val="000000"/>
          <w:sz w:val="24"/>
          <w:szCs w:val="24"/>
          <w:lang w:val="es-ES_tradnl"/>
        </w:rPr>
        <w:t>redistritación</w:t>
      </w:r>
      <w:proofErr w:type="spellEnd"/>
      <w:r w:rsidRPr="005B03F9">
        <w:rPr>
          <w:rFonts w:eastAsia="Times New Roman"/>
          <w:color w:val="000000"/>
          <w:sz w:val="24"/>
          <w:szCs w:val="24"/>
          <w:lang w:val="es-ES_tradnl"/>
        </w:rPr>
        <w:t xml:space="preserve"> en las últimas dos décadas ofrece una perspectiva distinta que evidencia la complejidad técnica y legal que implica desplegar un proceso fundamental para la representación política con estric</w:t>
      </w:r>
      <w:r w:rsidR="00697EDA" w:rsidRPr="005B03F9">
        <w:rPr>
          <w:rFonts w:eastAsia="Times New Roman"/>
          <w:color w:val="000000"/>
          <w:sz w:val="24"/>
          <w:szCs w:val="24"/>
          <w:lang w:val="es-ES_tradnl"/>
        </w:rPr>
        <w:t>t</w:t>
      </w:r>
      <w:r w:rsidRPr="005B03F9">
        <w:rPr>
          <w:rFonts w:eastAsia="Times New Roman"/>
          <w:color w:val="000000"/>
          <w:sz w:val="24"/>
          <w:szCs w:val="24"/>
          <w:lang w:val="es-ES_tradnl"/>
        </w:rPr>
        <w:t xml:space="preserve">o apego a los principios </w:t>
      </w:r>
      <w:r w:rsidR="00EB253E" w:rsidRPr="005B03F9">
        <w:rPr>
          <w:rFonts w:eastAsia="Times New Roman"/>
          <w:color w:val="000000"/>
          <w:sz w:val="24"/>
          <w:szCs w:val="24"/>
          <w:lang w:val="es-ES_tradnl"/>
        </w:rPr>
        <w:t xml:space="preserve">rectores en materia electoral </w:t>
      </w:r>
      <w:r w:rsidRPr="005B03F9">
        <w:rPr>
          <w:rFonts w:eastAsia="Times New Roman"/>
          <w:color w:val="000000"/>
          <w:sz w:val="24"/>
          <w:szCs w:val="24"/>
          <w:lang w:val="es-ES_tradnl"/>
        </w:rPr>
        <w:t>de transparencia, neutralidad y profesionalismo, en lo términos en que lo ha venido haciendo el Instituto Nacional Electoral (“INE”), de tal suerte, que los cambios en la estructura administrativa y presupuestal contemplados en dichas reformas podrían vulnerar la capacidad de la autoridad a desarrollar exitosamente estos procesos. </w:t>
      </w:r>
    </w:p>
    <w:p w14:paraId="7AF7DD70" w14:textId="77777777" w:rsidR="004B0CB1" w:rsidRPr="005B03F9" w:rsidRDefault="004B0CB1" w:rsidP="004B0CB1">
      <w:pPr>
        <w:spacing w:after="0" w:line="480" w:lineRule="auto"/>
        <w:ind w:firstLine="709"/>
        <w:jc w:val="both"/>
        <w:rPr>
          <w:rFonts w:eastAsia="Times New Roman"/>
          <w:color w:val="000000"/>
          <w:sz w:val="24"/>
          <w:szCs w:val="24"/>
          <w:lang w:val="es-ES_tradnl"/>
        </w:rPr>
      </w:pPr>
    </w:p>
    <w:p w14:paraId="66152DFD" w14:textId="52447810" w:rsidR="005532CA" w:rsidRPr="005B03F9" w:rsidRDefault="005B3C6F" w:rsidP="005532CA">
      <w:pPr>
        <w:spacing w:after="0" w:line="480" w:lineRule="auto"/>
        <w:ind w:firstLine="720"/>
        <w:jc w:val="both"/>
        <w:rPr>
          <w:rFonts w:eastAsia="Times New Roman"/>
          <w:color w:val="000000"/>
          <w:sz w:val="24"/>
          <w:szCs w:val="24"/>
          <w:lang w:val="es-ES_tradnl"/>
        </w:rPr>
      </w:pPr>
      <w:r w:rsidRPr="005B03F9">
        <w:rPr>
          <w:rFonts w:eastAsia="Times New Roman"/>
          <w:color w:val="000000"/>
          <w:sz w:val="24"/>
          <w:szCs w:val="24"/>
          <w:lang w:val="es-ES_tradnl"/>
        </w:rPr>
        <w:t xml:space="preserve">Los que suscribimos este </w:t>
      </w:r>
      <w:proofErr w:type="spellStart"/>
      <w:r w:rsidRPr="005B03F9">
        <w:rPr>
          <w:rFonts w:eastAsia="Times New Roman"/>
          <w:i/>
          <w:iCs/>
          <w:color w:val="000000"/>
          <w:sz w:val="24"/>
          <w:szCs w:val="24"/>
          <w:lang w:val="es-ES_tradnl"/>
        </w:rPr>
        <w:t>amicus</w:t>
      </w:r>
      <w:proofErr w:type="spellEnd"/>
      <w:r w:rsidRPr="005B03F9">
        <w:rPr>
          <w:rFonts w:eastAsia="Times New Roman"/>
          <w:i/>
          <w:iCs/>
          <w:color w:val="000000"/>
          <w:sz w:val="24"/>
          <w:szCs w:val="24"/>
          <w:lang w:val="es-ES_tradnl"/>
        </w:rPr>
        <w:t xml:space="preserve"> </w:t>
      </w:r>
      <w:proofErr w:type="spellStart"/>
      <w:r w:rsidRPr="005B03F9">
        <w:rPr>
          <w:rFonts w:eastAsia="Times New Roman"/>
          <w:i/>
          <w:iCs/>
          <w:color w:val="000000"/>
          <w:sz w:val="24"/>
          <w:szCs w:val="24"/>
          <w:lang w:val="es-ES_tradnl"/>
        </w:rPr>
        <w:t>curiae</w:t>
      </w:r>
      <w:proofErr w:type="spellEnd"/>
      <w:r w:rsidRPr="005B03F9">
        <w:rPr>
          <w:rFonts w:eastAsia="Times New Roman"/>
          <w:color w:val="000000"/>
          <w:sz w:val="24"/>
          <w:szCs w:val="24"/>
          <w:lang w:val="es-ES_tradnl"/>
        </w:rPr>
        <w:t>, lo hacemos en calidad de personas dedicadas a la academia e investigación de tiempo completo</w:t>
      </w:r>
      <w:r w:rsidR="005532CA" w:rsidRPr="005B03F9">
        <w:rPr>
          <w:rFonts w:eastAsia="Times New Roman"/>
          <w:color w:val="000000"/>
          <w:sz w:val="24"/>
          <w:szCs w:val="24"/>
          <w:lang w:val="es-ES_tradnl"/>
        </w:rPr>
        <w:t>, según lo siguiente:</w:t>
      </w:r>
    </w:p>
    <w:p w14:paraId="61BEF66A" w14:textId="77777777" w:rsidR="005532CA" w:rsidRPr="005B03F9" w:rsidRDefault="005532CA" w:rsidP="005532CA">
      <w:pPr>
        <w:spacing w:after="0" w:line="480" w:lineRule="auto"/>
        <w:ind w:firstLine="720"/>
        <w:jc w:val="both"/>
        <w:rPr>
          <w:rFonts w:eastAsia="Times New Roman"/>
          <w:color w:val="000000"/>
          <w:sz w:val="24"/>
          <w:szCs w:val="24"/>
          <w:lang w:val="es-ES_tradnl"/>
        </w:rPr>
      </w:pPr>
    </w:p>
    <w:p w14:paraId="6B550DC9" w14:textId="1DBACBF4" w:rsidR="005532CA" w:rsidRPr="005B03F9" w:rsidRDefault="005532CA" w:rsidP="005532CA">
      <w:pPr>
        <w:spacing w:after="0" w:line="480" w:lineRule="auto"/>
        <w:ind w:firstLine="720"/>
        <w:jc w:val="both"/>
        <w:rPr>
          <w:rFonts w:eastAsia="Times New Roman"/>
          <w:color w:val="000000"/>
          <w:sz w:val="24"/>
          <w:szCs w:val="24"/>
          <w:lang w:val="es-ES_tradnl"/>
        </w:rPr>
      </w:pPr>
      <w:r w:rsidRPr="005B03F9">
        <w:rPr>
          <w:rFonts w:eastAsia="Times New Roman"/>
          <w:color w:val="000000"/>
          <w:sz w:val="24"/>
          <w:szCs w:val="24"/>
          <w:lang w:val="es-ES_tradnl"/>
        </w:rPr>
        <w:t>Alejandro Trelles</w:t>
      </w:r>
      <w:r w:rsidRPr="005B03F9">
        <w:rPr>
          <w:rStyle w:val="Refdenotaalpie"/>
          <w:rFonts w:eastAsia="Times New Roman"/>
          <w:color w:val="000000"/>
          <w:sz w:val="24"/>
          <w:szCs w:val="24"/>
          <w:lang w:val="es-ES_tradnl"/>
        </w:rPr>
        <w:footnoteReference w:id="1"/>
      </w:r>
      <w:r w:rsidRPr="005B03F9">
        <w:rPr>
          <w:rFonts w:eastAsia="Times New Roman"/>
          <w:color w:val="000000"/>
          <w:sz w:val="24"/>
          <w:szCs w:val="24"/>
          <w:lang w:val="es-ES_tradnl"/>
        </w:rPr>
        <w:t xml:space="preserve">, profesor investigador en el departamento de ciencia política de la Universidad de </w:t>
      </w:r>
      <w:proofErr w:type="spellStart"/>
      <w:r w:rsidRPr="005B03F9">
        <w:rPr>
          <w:rFonts w:eastAsia="Times New Roman"/>
          <w:color w:val="000000"/>
          <w:sz w:val="24"/>
          <w:szCs w:val="24"/>
          <w:lang w:val="es-ES_tradnl"/>
        </w:rPr>
        <w:t>Brandeis</w:t>
      </w:r>
      <w:proofErr w:type="spellEnd"/>
      <w:r w:rsidRPr="005B03F9">
        <w:rPr>
          <w:rFonts w:eastAsia="Times New Roman"/>
          <w:color w:val="000000"/>
          <w:sz w:val="24"/>
          <w:szCs w:val="24"/>
          <w:lang w:val="es-ES_tradnl"/>
        </w:rPr>
        <w:t>, con especialidad en el estudio de elecciones, sistemas electorales y procesos de delimitación electoral (</w:t>
      </w:r>
      <w:proofErr w:type="spellStart"/>
      <w:r w:rsidRPr="005B03F9">
        <w:rPr>
          <w:rFonts w:eastAsia="Times New Roman"/>
          <w:color w:val="000000"/>
          <w:sz w:val="24"/>
          <w:szCs w:val="24"/>
          <w:lang w:val="es-ES_tradnl"/>
        </w:rPr>
        <w:t>redistritación</w:t>
      </w:r>
      <w:proofErr w:type="spellEnd"/>
      <w:r w:rsidRPr="005B03F9">
        <w:rPr>
          <w:rFonts w:eastAsia="Times New Roman"/>
          <w:color w:val="000000"/>
          <w:sz w:val="24"/>
          <w:szCs w:val="24"/>
          <w:lang w:val="es-ES_tradnl"/>
        </w:rPr>
        <w:t xml:space="preserve">) en perspectiva comparada. He colaborado como especialista en desarrollo político, elecciones y partidos políticos para la Organización de Estados Americanos y el Instituto Nacional Electoral en México. He publicado ampliamente sobre el proceso de </w:t>
      </w:r>
      <w:proofErr w:type="spellStart"/>
      <w:r w:rsidRPr="005B03F9">
        <w:rPr>
          <w:rFonts w:eastAsia="Times New Roman"/>
          <w:color w:val="000000"/>
          <w:sz w:val="24"/>
          <w:szCs w:val="24"/>
          <w:lang w:val="es-ES_tradnl"/>
        </w:rPr>
        <w:t>redistritación</w:t>
      </w:r>
      <w:proofErr w:type="spellEnd"/>
      <w:r w:rsidRPr="005B03F9">
        <w:rPr>
          <w:rFonts w:eastAsia="Times New Roman"/>
          <w:color w:val="000000"/>
          <w:sz w:val="24"/>
          <w:szCs w:val="24"/>
          <w:lang w:val="es-ES_tradnl"/>
        </w:rPr>
        <w:t xml:space="preserve"> en México y sobre el uso de algoritmos de optimización combinatoria en el trazo distrital, trabajo que fue premiado en 2007 por el ITAM como el mejor trabajo de investigación en ciencia política. </w:t>
      </w:r>
    </w:p>
    <w:p w14:paraId="38FEBEAC" w14:textId="77777777" w:rsidR="005532CA" w:rsidRPr="005B03F9" w:rsidRDefault="005532CA" w:rsidP="005532CA">
      <w:pPr>
        <w:spacing w:after="0" w:line="480" w:lineRule="auto"/>
        <w:ind w:firstLine="720"/>
        <w:jc w:val="both"/>
        <w:rPr>
          <w:rFonts w:eastAsia="Times New Roman"/>
          <w:color w:val="000000"/>
          <w:sz w:val="24"/>
          <w:szCs w:val="24"/>
          <w:highlight w:val="yellow"/>
          <w:lang w:val="es-ES_tradnl"/>
        </w:rPr>
      </w:pPr>
    </w:p>
    <w:p w14:paraId="1FE5A0A2" w14:textId="453F961B" w:rsidR="005532CA" w:rsidRPr="005B03F9" w:rsidRDefault="005532CA" w:rsidP="005532CA">
      <w:pPr>
        <w:spacing w:after="0" w:line="480" w:lineRule="auto"/>
        <w:ind w:firstLine="720"/>
        <w:jc w:val="both"/>
        <w:rPr>
          <w:rFonts w:eastAsia="Times New Roman"/>
          <w:color w:val="000000"/>
          <w:sz w:val="24"/>
          <w:szCs w:val="24"/>
          <w:lang w:val="es-ES_tradnl"/>
        </w:rPr>
      </w:pPr>
      <w:r w:rsidRPr="005B03F9">
        <w:rPr>
          <w:rFonts w:eastAsia="Times New Roman"/>
          <w:color w:val="000000"/>
          <w:sz w:val="24"/>
          <w:szCs w:val="24"/>
          <w:lang w:val="es-ES_tradnl"/>
        </w:rPr>
        <w:t xml:space="preserve">Eric </w:t>
      </w:r>
      <w:proofErr w:type="spellStart"/>
      <w:r w:rsidRPr="005B03F9">
        <w:rPr>
          <w:rFonts w:eastAsia="Times New Roman"/>
          <w:color w:val="000000"/>
          <w:sz w:val="24"/>
          <w:szCs w:val="24"/>
          <w:lang w:val="es-ES_tradnl"/>
        </w:rPr>
        <w:t>Magar</w:t>
      </w:r>
      <w:proofErr w:type="spellEnd"/>
      <w:r w:rsidR="005554DB" w:rsidRPr="005B03F9">
        <w:rPr>
          <w:rStyle w:val="Refdenotaalpie"/>
          <w:rFonts w:eastAsia="Times New Roman"/>
          <w:color w:val="000000"/>
          <w:sz w:val="24"/>
          <w:szCs w:val="24"/>
          <w:lang w:val="es-ES_tradnl"/>
        </w:rPr>
        <w:footnoteReference w:id="2"/>
      </w:r>
      <w:r w:rsidR="005554DB" w:rsidRPr="005B03F9">
        <w:rPr>
          <w:rFonts w:eastAsia="Times New Roman"/>
          <w:color w:val="000000"/>
          <w:sz w:val="24"/>
          <w:szCs w:val="24"/>
          <w:lang w:val="es-ES_tradnl"/>
        </w:rPr>
        <w:t>,</w:t>
      </w:r>
      <w:r w:rsidRPr="005B03F9">
        <w:rPr>
          <w:rFonts w:eastAsia="Times New Roman"/>
          <w:color w:val="000000"/>
          <w:sz w:val="24"/>
          <w:szCs w:val="24"/>
          <w:lang w:val="es-ES_tradnl"/>
        </w:rPr>
        <w:t xml:space="preserve"> profesor investigador en el departamento de ciencia política del Instituto Tecnológico Autónomo de México (ITAM)</w:t>
      </w:r>
      <w:r w:rsidR="005554DB" w:rsidRPr="005B03F9">
        <w:rPr>
          <w:rFonts w:eastAsia="Times New Roman"/>
          <w:color w:val="000000"/>
          <w:sz w:val="24"/>
          <w:szCs w:val="24"/>
          <w:lang w:val="es-ES_tradnl"/>
        </w:rPr>
        <w:t>,</w:t>
      </w:r>
      <w:r w:rsidRPr="005B03F9">
        <w:rPr>
          <w:rFonts w:eastAsia="Times New Roman"/>
          <w:color w:val="000000"/>
          <w:sz w:val="24"/>
          <w:szCs w:val="24"/>
          <w:lang w:val="es-ES_tradnl"/>
        </w:rPr>
        <w:t xml:space="preserve"> doctor en ciencia política por la Universidad de California en San Diego (UCSD) y especializa</w:t>
      </w:r>
      <w:r w:rsidR="005554DB" w:rsidRPr="005B03F9">
        <w:rPr>
          <w:rFonts w:eastAsia="Times New Roman"/>
          <w:color w:val="000000"/>
          <w:sz w:val="24"/>
          <w:szCs w:val="24"/>
          <w:lang w:val="es-ES_tradnl"/>
        </w:rPr>
        <w:t>do</w:t>
      </w:r>
      <w:r w:rsidRPr="005B03F9">
        <w:rPr>
          <w:rFonts w:eastAsia="Times New Roman"/>
          <w:color w:val="000000"/>
          <w:sz w:val="24"/>
          <w:szCs w:val="24"/>
          <w:lang w:val="es-ES_tradnl"/>
        </w:rPr>
        <w:t xml:space="preserve"> en el estudio comparado del poder legislativo, las instituciones políticas y los procesos electorales en América Latina. </w:t>
      </w:r>
      <w:r w:rsidR="005554DB" w:rsidRPr="005B03F9">
        <w:rPr>
          <w:rFonts w:eastAsia="Times New Roman"/>
          <w:color w:val="000000"/>
          <w:sz w:val="24"/>
          <w:szCs w:val="24"/>
          <w:lang w:val="es-ES_tradnl"/>
        </w:rPr>
        <w:t>Mi</w:t>
      </w:r>
      <w:r w:rsidRPr="005B03F9">
        <w:rPr>
          <w:rFonts w:eastAsia="Times New Roman"/>
          <w:color w:val="000000"/>
          <w:sz w:val="24"/>
          <w:szCs w:val="24"/>
          <w:lang w:val="es-ES_tradnl"/>
        </w:rPr>
        <w:t xml:space="preserve"> trabajo</w:t>
      </w:r>
      <w:r w:rsidR="005554DB" w:rsidRPr="005B03F9">
        <w:rPr>
          <w:rFonts w:eastAsia="Times New Roman"/>
          <w:color w:val="000000"/>
          <w:sz w:val="24"/>
          <w:szCs w:val="24"/>
          <w:lang w:val="es-ES_tradnl"/>
        </w:rPr>
        <w:t xml:space="preserve"> </w:t>
      </w:r>
      <w:r w:rsidRPr="005B03F9">
        <w:rPr>
          <w:rFonts w:eastAsia="Times New Roman"/>
          <w:color w:val="000000"/>
          <w:sz w:val="24"/>
          <w:szCs w:val="24"/>
          <w:lang w:val="es-ES_tradnl"/>
        </w:rPr>
        <w:t xml:space="preserve">ha sido publicado en prestigiosas revistas de </w:t>
      </w:r>
      <w:r w:rsidRPr="005B03F9">
        <w:rPr>
          <w:rFonts w:eastAsia="Times New Roman"/>
          <w:color w:val="000000"/>
          <w:sz w:val="24"/>
          <w:szCs w:val="24"/>
          <w:lang w:val="es-ES_tradnl"/>
        </w:rPr>
        <w:lastRenderedPageBreak/>
        <w:t xml:space="preserve">investigación como el </w:t>
      </w:r>
      <w:r w:rsidRPr="005B03F9">
        <w:rPr>
          <w:rFonts w:eastAsia="Times New Roman"/>
          <w:i/>
          <w:iCs/>
          <w:color w:val="000000"/>
          <w:sz w:val="24"/>
          <w:szCs w:val="24"/>
          <w:lang w:val="es-ES_tradnl"/>
        </w:rPr>
        <w:t xml:space="preserve">American </w:t>
      </w:r>
      <w:proofErr w:type="spellStart"/>
      <w:r w:rsidRPr="005B03F9">
        <w:rPr>
          <w:rFonts w:eastAsia="Times New Roman"/>
          <w:i/>
          <w:iCs/>
          <w:color w:val="000000"/>
          <w:sz w:val="24"/>
          <w:szCs w:val="24"/>
          <w:lang w:val="es-ES_tradnl"/>
        </w:rPr>
        <w:t>Political</w:t>
      </w:r>
      <w:proofErr w:type="spellEnd"/>
      <w:r w:rsidRPr="005B03F9">
        <w:rPr>
          <w:rFonts w:eastAsia="Times New Roman"/>
          <w:i/>
          <w:iCs/>
          <w:color w:val="000000"/>
          <w:sz w:val="24"/>
          <w:szCs w:val="24"/>
          <w:lang w:val="es-ES_tradnl"/>
        </w:rPr>
        <w:t xml:space="preserve"> </w:t>
      </w:r>
      <w:proofErr w:type="spellStart"/>
      <w:r w:rsidRPr="005B03F9">
        <w:rPr>
          <w:rFonts w:eastAsia="Times New Roman"/>
          <w:i/>
          <w:iCs/>
          <w:color w:val="000000"/>
          <w:sz w:val="24"/>
          <w:szCs w:val="24"/>
          <w:lang w:val="es-ES_tradnl"/>
        </w:rPr>
        <w:t>Science</w:t>
      </w:r>
      <w:proofErr w:type="spellEnd"/>
      <w:r w:rsidRPr="005B03F9">
        <w:rPr>
          <w:rFonts w:eastAsia="Times New Roman"/>
          <w:i/>
          <w:iCs/>
          <w:color w:val="000000"/>
          <w:sz w:val="24"/>
          <w:szCs w:val="24"/>
          <w:lang w:val="es-ES_tradnl"/>
        </w:rPr>
        <w:t xml:space="preserve"> </w:t>
      </w:r>
      <w:proofErr w:type="spellStart"/>
      <w:r w:rsidRPr="005B03F9">
        <w:rPr>
          <w:rFonts w:eastAsia="Times New Roman"/>
          <w:i/>
          <w:iCs/>
          <w:color w:val="000000"/>
          <w:sz w:val="24"/>
          <w:szCs w:val="24"/>
          <w:lang w:val="es-ES_tradnl"/>
        </w:rPr>
        <w:t>Review</w:t>
      </w:r>
      <w:proofErr w:type="spellEnd"/>
      <w:r w:rsidRPr="005B03F9">
        <w:rPr>
          <w:rFonts w:eastAsia="Times New Roman"/>
          <w:color w:val="000000"/>
          <w:sz w:val="24"/>
          <w:szCs w:val="24"/>
          <w:lang w:val="es-ES_tradnl"/>
        </w:rPr>
        <w:t xml:space="preserve">, el </w:t>
      </w:r>
      <w:proofErr w:type="spellStart"/>
      <w:r w:rsidRPr="005B03F9">
        <w:rPr>
          <w:rFonts w:eastAsia="Times New Roman"/>
          <w:i/>
          <w:iCs/>
          <w:color w:val="000000"/>
          <w:sz w:val="24"/>
          <w:szCs w:val="24"/>
          <w:lang w:val="es-ES_tradnl"/>
        </w:rPr>
        <w:t>Journal</w:t>
      </w:r>
      <w:proofErr w:type="spellEnd"/>
      <w:r w:rsidRPr="005B03F9">
        <w:rPr>
          <w:rFonts w:eastAsia="Times New Roman"/>
          <w:i/>
          <w:iCs/>
          <w:color w:val="000000"/>
          <w:sz w:val="24"/>
          <w:szCs w:val="24"/>
          <w:lang w:val="es-ES_tradnl"/>
        </w:rPr>
        <w:t xml:space="preserve"> of </w:t>
      </w:r>
      <w:proofErr w:type="spellStart"/>
      <w:r w:rsidRPr="005B03F9">
        <w:rPr>
          <w:rFonts w:eastAsia="Times New Roman"/>
          <w:i/>
          <w:iCs/>
          <w:color w:val="000000"/>
          <w:sz w:val="24"/>
          <w:szCs w:val="24"/>
          <w:lang w:val="es-ES_tradnl"/>
        </w:rPr>
        <w:t>Politics</w:t>
      </w:r>
      <w:proofErr w:type="spellEnd"/>
      <w:r w:rsidRPr="005B03F9">
        <w:rPr>
          <w:rFonts w:eastAsia="Times New Roman"/>
          <w:color w:val="000000"/>
          <w:sz w:val="24"/>
          <w:szCs w:val="24"/>
          <w:lang w:val="es-ES_tradnl"/>
        </w:rPr>
        <w:t xml:space="preserve"> y </w:t>
      </w:r>
      <w:r w:rsidRPr="005B03F9">
        <w:rPr>
          <w:rFonts w:eastAsia="Times New Roman"/>
          <w:i/>
          <w:iCs/>
          <w:color w:val="000000"/>
          <w:sz w:val="24"/>
          <w:szCs w:val="24"/>
          <w:lang w:val="es-ES_tradnl"/>
        </w:rPr>
        <w:t xml:space="preserve">Electoral </w:t>
      </w:r>
      <w:proofErr w:type="spellStart"/>
      <w:r w:rsidRPr="005B03F9">
        <w:rPr>
          <w:rFonts w:eastAsia="Times New Roman"/>
          <w:i/>
          <w:iCs/>
          <w:color w:val="000000"/>
          <w:sz w:val="24"/>
          <w:szCs w:val="24"/>
          <w:lang w:val="es-ES_tradnl"/>
        </w:rPr>
        <w:t>Studies</w:t>
      </w:r>
      <w:proofErr w:type="spellEnd"/>
      <w:r w:rsidRPr="005B03F9">
        <w:rPr>
          <w:rFonts w:eastAsia="Times New Roman"/>
          <w:color w:val="000000"/>
          <w:sz w:val="24"/>
          <w:szCs w:val="24"/>
          <w:lang w:val="es-ES_tradnl"/>
        </w:rPr>
        <w:t xml:space="preserve">, entre otras. </w:t>
      </w:r>
    </w:p>
    <w:p w14:paraId="273AA553" w14:textId="77777777" w:rsidR="005554DB" w:rsidRPr="005B03F9" w:rsidRDefault="005554DB" w:rsidP="005532CA">
      <w:pPr>
        <w:spacing w:after="0" w:line="480" w:lineRule="auto"/>
        <w:ind w:firstLine="720"/>
        <w:jc w:val="both"/>
        <w:rPr>
          <w:rFonts w:eastAsia="Times New Roman"/>
          <w:color w:val="000000"/>
          <w:sz w:val="24"/>
          <w:szCs w:val="24"/>
          <w:lang w:val="es-ES_tradnl"/>
        </w:rPr>
      </w:pPr>
    </w:p>
    <w:p w14:paraId="475019A7" w14:textId="49307C46" w:rsidR="005532CA" w:rsidRPr="005B03F9" w:rsidRDefault="005532CA" w:rsidP="005532CA">
      <w:pPr>
        <w:spacing w:after="0" w:line="480" w:lineRule="auto"/>
        <w:ind w:firstLine="720"/>
        <w:jc w:val="both"/>
        <w:rPr>
          <w:rFonts w:eastAsia="Times New Roman"/>
          <w:color w:val="000000"/>
          <w:sz w:val="24"/>
          <w:szCs w:val="24"/>
          <w:lang w:val="es-ES_tradnl"/>
        </w:rPr>
      </w:pPr>
      <w:proofErr w:type="spellStart"/>
      <w:r w:rsidRPr="005B03F9">
        <w:rPr>
          <w:rFonts w:eastAsia="Times New Roman"/>
          <w:color w:val="000000"/>
          <w:sz w:val="24"/>
          <w:szCs w:val="24"/>
          <w:lang w:val="es-ES_tradnl"/>
        </w:rPr>
        <w:t>Micah</w:t>
      </w:r>
      <w:proofErr w:type="spellEnd"/>
      <w:r w:rsidRPr="005B03F9">
        <w:rPr>
          <w:rFonts w:eastAsia="Times New Roman"/>
          <w:color w:val="000000"/>
          <w:sz w:val="24"/>
          <w:szCs w:val="24"/>
          <w:lang w:val="es-ES_tradnl"/>
        </w:rPr>
        <w:t xml:space="preserve"> </w:t>
      </w:r>
      <w:proofErr w:type="spellStart"/>
      <w:r w:rsidRPr="005B03F9">
        <w:rPr>
          <w:rFonts w:eastAsia="Times New Roman"/>
          <w:color w:val="000000"/>
          <w:sz w:val="24"/>
          <w:szCs w:val="24"/>
          <w:lang w:val="es-ES_tradnl"/>
        </w:rPr>
        <w:t>Altman</w:t>
      </w:r>
      <w:proofErr w:type="spellEnd"/>
      <w:r w:rsidR="00016C84" w:rsidRPr="005B03F9">
        <w:rPr>
          <w:rStyle w:val="Refdenotaalpie"/>
          <w:rFonts w:eastAsia="Times New Roman"/>
          <w:color w:val="000000"/>
          <w:sz w:val="24"/>
          <w:szCs w:val="24"/>
          <w:lang w:val="es-ES_tradnl"/>
        </w:rPr>
        <w:footnoteReference w:id="3"/>
      </w:r>
      <w:r w:rsidR="00001473" w:rsidRPr="005B03F9">
        <w:rPr>
          <w:rFonts w:eastAsia="Times New Roman"/>
          <w:color w:val="000000"/>
          <w:sz w:val="24"/>
          <w:szCs w:val="24"/>
          <w:lang w:val="es-ES_tradnl"/>
        </w:rPr>
        <w:t>,</w:t>
      </w:r>
      <w:r w:rsidRPr="005B03F9">
        <w:rPr>
          <w:rFonts w:eastAsia="Times New Roman"/>
          <w:color w:val="000000"/>
          <w:sz w:val="24"/>
          <w:szCs w:val="24"/>
          <w:lang w:val="es-ES_tradnl"/>
        </w:rPr>
        <w:t xml:space="preserve"> Director de Investigación en el Programa de Ciencia de la Información en el Instituto de Tecnológico de Massachusetts (MIT). A su vez, consultor externo en el Brookings </w:t>
      </w:r>
      <w:proofErr w:type="spellStart"/>
      <w:r w:rsidRPr="005B03F9">
        <w:rPr>
          <w:rFonts w:eastAsia="Times New Roman"/>
          <w:color w:val="000000"/>
          <w:sz w:val="24"/>
          <w:szCs w:val="24"/>
          <w:lang w:val="es-ES_tradnl"/>
        </w:rPr>
        <w:t>Institute</w:t>
      </w:r>
      <w:proofErr w:type="spellEnd"/>
      <w:r w:rsidRPr="005B03F9">
        <w:rPr>
          <w:rFonts w:eastAsia="Times New Roman"/>
          <w:color w:val="000000"/>
          <w:sz w:val="24"/>
          <w:szCs w:val="24"/>
          <w:lang w:val="es-ES_tradnl"/>
        </w:rPr>
        <w:t xml:space="preserve"> en Washington, DC. Anteriormente </w:t>
      </w:r>
      <w:r w:rsidR="00001473" w:rsidRPr="005B03F9">
        <w:rPr>
          <w:rFonts w:eastAsia="Times New Roman"/>
          <w:color w:val="000000"/>
          <w:sz w:val="24"/>
          <w:szCs w:val="24"/>
          <w:lang w:val="es-ES_tradnl"/>
        </w:rPr>
        <w:t>me</w:t>
      </w:r>
      <w:r w:rsidRPr="005B03F9">
        <w:rPr>
          <w:rFonts w:eastAsia="Times New Roman"/>
          <w:color w:val="000000"/>
          <w:sz w:val="24"/>
          <w:szCs w:val="24"/>
          <w:lang w:val="es-ES_tradnl"/>
        </w:rPr>
        <w:t xml:space="preserve"> desempeñ</w:t>
      </w:r>
      <w:r w:rsidR="00001473" w:rsidRPr="005B03F9">
        <w:rPr>
          <w:rFonts w:eastAsia="Times New Roman"/>
          <w:color w:val="000000"/>
          <w:sz w:val="24"/>
          <w:szCs w:val="24"/>
          <w:lang w:val="es-ES_tradnl"/>
        </w:rPr>
        <w:t>é</w:t>
      </w:r>
      <w:r w:rsidRPr="005B03F9">
        <w:rPr>
          <w:rFonts w:eastAsia="Times New Roman"/>
          <w:color w:val="000000"/>
          <w:sz w:val="24"/>
          <w:szCs w:val="24"/>
          <w:lang w:val="es-ES_tradnl"/>
        </w:rPr>
        <w:t xml:space="preserve"> por más de 15 años como Director Asociado del Centro de Datos Harvard-MIT, Director del Archivo Henry A. Murray, e Investigador Principal en el Instituto Cuantitativo de Ciencias Sociales de la Universidad de Harvard. H</w:t>
      </w:r>
      <w:r w:rsidR="00001473" w:rsidRPr="005B03F9">
        <w:rPr>
          <w:rFonts w:eastAsia="Times New Roman"/>
          <w:color w:val="000000"/>
          <w:sz w:val="24"/>
          <w:szCs w:val="24"/>
          <w:lang w:val="es-ES_tradnl"/>
        </w:rPr>
        <w:t>e</w:t>
      </w:r>
      <w:r w:rsidRPr="005B03F9">
        <w:rPr>
          <w:rFonts w:eastAsia="Times New Roman"/>
          <w:color w:val="000000"/>
          <w:sz w:val="24"/>
          <w:szCs w:val="24"/>
          <w:lang w:val="es-ES_tradnl"/>
        </w:rPr>
        <w:t xml:space="preserve"> sido premiado por desarrollar diversas herramientas y aplicaciones tecnológicas para la investigación en las ciencias sociales y </w:t>
      </w:r>
      <w:r w:rsidR="00001473" w:rsidRPr="005B03F9">
        <w:rPr>
          <w:rFonts w:eastAsia="Times New Roman"/>
          <w:color w:val="000000"/>
          <w:sz w:val="24"/>
          <w:szCs w:val="24"/>
          <w:lang w:val="es-ES_tradnl"/>
        </w:rPr>
        <w:t>soy</w:t>
      </w:r>
      <w:r w:rsidRPr="005B03F9">
        <w:rPr>
          <w:rFonts w:eastAsia="Times New Roman"/>
          <w:color w:val="000000"/>
          <w:sz w:val="24"/>
          <w:szCs w:val="24"/>
          <w:lang w:val="es-ES_tradnl"/>
        </w:rPr>
        <w:t xml:space="preserve"> reconocido en la comunidad académica internacional por </w:t>
      </w:r>
      <w:r w:rsidR="00001473" w:rsidRPr="005B03F9">
        <w:rPr>
          <w:rFonts w:eastAsia="Times New Roman"/>
          <w:color w:val="000000"/>
          <w:sz w:val="24"/>
          <w:szCs w:val="24"/>
          <w:lang w:val="es-ES_tradnl"/>
        </w:rPr>
        <w:t>mi</w:t>
      </w:r>
      <w:r w:rsidRPr="005B03F9">
        <w:rPr>
          <w:rFonts w:eastAsia="Times New Roman"/>
          <w:color w:val="000000"/>
          <w:sz w:val="24"/>
          <w:szCs w:val="24"/>
          <w:lang w:val="es-ES_tradnl"/>
        </w:rPr>
        <w:t xml:space="preserve"> trabajo en los temas de ciencia de la información, </w:t>
      </w:r>
      <w:proofErr w:type="spellStart"/>
      <w:r w:rsidRPr="005B03F9">
        <w:rPr>
          <w:rFonts w:eastAsia="Times New Roman"/>
          <w:color w:val="000000"/>
          <w:sz w:val="24"/>
          <w:szCs w:val="24"/>
          <w:lang w:val="es-ES_tradnl"/>
        </w:rPr>
        <w:t>redistritación</w:t>
      </w:r>
      <w:proofErr w:type="spellEnd"/>
      <w:r w:rsidRPr="005B03F9">
        <w:rPr>
          <w:rFonts w:eastAsia="Times New Roman"/>
          <w:color w:val="000000"/>
          <w:sz w:val="24"/>
          <w:szCs w:val="24"/>
          <w:lang w:val="es-ES_tradnl"/>
        </w:rPr>
        <w:t xml:space="preserve">, informática, estadística, ciencia de la computación, ciencia política, entre otras disciplinas. </w:t>
      </w:r>
    </w:p>
    <w:p w14:paraId="3F38ED45" w14:textId="77777777" w:rsidR="00001473" w:rsidRPr="005B03F9" w:rsidRDefault="00001473" w:rsidP="005532CA">
      <w:pPr>
        <w:spacing w:after="0" w:line="480" w:lineRule="auto"/>
        <w:ind w:firstLine="720"/>
        <w:jc w:val="both"/>
        <w:rPr>
          <w:rFonts w:eastAsia="Times New Roman"/>
          <w:color w:val="000000"/>
          <w:sz w:val="24"/>
          <w:szCs w:val="24"/>
          <w:lang w:val="es-ES_tradnl"/>
        </w:rPr>
      </w:pPr>
    </w:p>
    <w:p w14:paraId="66F4FB59" w14:textId="53013B1A" w:rsidR="005532CA" w:rsidRPr="005B03F9" w:rsidRDefault="005532CA" w:rsidP="005532CA">
      <w:pPr>
        <w:spacing w:after="0" w:line="480" w:lineRule="auto"/>
        <w:ind w:firstLine="720"/>
        <w:jc w:val="both"/>
        <w:rPr>
          <w:rFonts w:eastAsia="Times New Roman"/>
          <w:color w:val="000000"/>
          <w:sz w:val="24"/>
          <w:szCs w:val="24"/>
          <w:lang w:val="es-ES_tradnl"/>
        </w:rPr>
      </w:pPr>
      <w:r w:rsidRPr="005B03F9">
        <w:rPr>
          <w:rFonts w:eastAsia="Times New Roman"/>
          <w:color w:val="000000"/>
          <w:sz w:val="24"/>
          <w:szCs w:val="24"/>
          <w:lang w:val="es-ES_tradnl"/>
        </w:rPr>
        <w:t>Michael McDonald</w:t>
      </w:r>
      <w:r w:rsidR="00393D80" w:rsidRPr="005B03F9">
        <w:rPr>
          <w:rStyle w:val="Refdenotaalpie"/>
          <w:rFonts w:eastAsia="Times New Roman"/>
          <w:color w:val="000000"/>
          <w:sz w:val="24"/>
          <w:szCs w:val="24"/>
          <w:lang w:val="es-ES_tradnl"/>
        </w:rPr>
        <w:footnoteReference w:id="4"/>
      </w:r>
      <w:r w:rsidR="00263C82" w:rsidRPr="005B03F9">
        <w:rPr>
          <w:rFonts w:eastAsia="Times New Roman"/>
          <w:color w:val="000000"/>
          <w:sz w:val="24"/>
          <w:szCs w:val="24"/>
          <w:lang w:val="es-ES_tradnl"/>
        </w:rPr>
        <w:t xml:space="preserve">, </w:t>
      </w:r>
      <w:r w:rsidRPr="005B03F9">
        <w:rPr>
          <w:rFonts w:eastAsia="Times New Roman"/>
          <w:color w:val="000000"/>
          <w:sz w:val="24"/>
          <w:szCs w:val="24"/>
          <w:lang w:val="es-ES_tradnl"/>
        </w:rPr>
        <w:t xml:space="preserve">profesor investigador en el departamento de ciencia política de la Universidad de Florida, Gainesville, y consultor externo en el Brookings </w:t>
      </w:r>
      <w:proofErr w:type="spellStart"/>
      <w:r w:rsidRPr="005B03F9">
        <w:rPr>
          <w:rFonts w:eastAsia="Times New Roman"/>
          <w:color w:val="000000"/>
          <w:sz w:val="24"/>
          <w:szCs w:val="24"/>
          <w:lang w:val="es-ES_tradnl"/>
        </w:rPr>
        <w:t>Institute</w:t>
      </w:r>
      <w:proofErr w:type="spellEnd"/>
      <w:r w:rsidRPr="005B03F9">
        <w:rPr>
          <w:rFonts w:eastAsia="Times New Roman"/>
          <w:color w:val="000000"/>
          <w:sz w:val="24"/>
          <w:szCs w:val="24"/>
          <w:lang w:val="es-ES_tradnl"/>
        </w:rPr>
        <w:t xml:space="preserve"> en Washington, DC. </w:t>
      </w:r>
      <w:r w:rsidR="00393D80" w:rsidRPr="005B03F9">
        <w:rPr>
          <w:rFonts w:eastAsia="Times New Roman"/>
          <w:color w:val="000000"/>
          <w:sz w:val="24"/>
          <w:szCs w:val="24"/>
          <w:lang w:val="es-ES_tradnl"/>
        </w:rPr>
        <w:t>D</w:t>
      </w:r>
      <w:r w:rsidRPr="005B03F9">
        <w:rPr>
          <w:rFonts w:eastAsia="Times New Roman"/>
          <w:color w:val="000000"/>
          <w:sz w:val="24"/>
          <w:szCs w:val="24"/>
          <w:lang w:val="es-ES_tradnl"/>
        </w:rPr>
        <w:t>octor en ciencia política por la Universidad de California en San Diego (UCSD) y h</w:t>
      </w:r>
      <w:r w:rsidR="00393D80" w:rsidRPr="005B03F9">
        <w:rPr>
          <w:rFonts w:eastAsia="Times New Roman"/>
          <w:color w:val="000000"/>
          <w:sz w:val="24"/>
          <w:szCs w:val="24"/>
          <w:lang w:val="es-ES_tradnl"/>
        </w:rPr>
        <w:t>e</w:t>
      </w:r>
      <w:r w:rsidRPr="005B03F9">
        <w:rPr>
          <w:rFonts w:eastAsia="Times New Roman"/>
          <w:color w:val="000000"/>
          <w:sz w:val="24"/>
          <w:szCs w:val="24"/>
          <w:lang w:val="es-ES_tradnl"/>
        </w:rPr>
        <w:t xml:space="preserve"> fungido como especialista y testigo en distintos procesos de </w:t>
      </w:r>
      <w:proofErr w:type="spellStart"/>
      <w:r w:rsidRPr="005B03F9">
        <w:rPr>
          <w:rFonts w:eastAsia="Times New Roman"/>
          <w:color w:val="000000"/>
          <w:sz w:val="24"/>
          <w:szCs w:val="24"/>
          <w:lang w:val="es-ES_tradnl"/>
        </w:rPr>
        <w:t>redistritación</w:t>
      </w:r>
      <w:proofErr w:type="spellEnd"/>
      <w:r w:rsidRPr="005B03F9">
        <w:rPr>
          <w:rFonts w:eastAsia="Times New Roman"/>
          <w:color w:val="000000"/>
          <w:sz w:val="24"/>
          <w:szCs w:val="24"/>
          <w:lang w:val="es-ES_tradnl"/>
        </w:rPr>
        <w:t xml:space="preserve"> implementados por diversas legislaturas en los Estados Unidos de América. A su vez, </w:t>
      </w:r>
      <w:r w:rsidR="00393D80" w:rsidRPr="005B03F9">
        <w:rPr>
          <w:rFonts w:eastAsia="Times New Roman"/>
          <w:color w:val="000000"/>
          <w:sz w:val="24"/>
          <w:szCs w:val="24"/>
          <w:lang w:val="es-ES_tradnl"/>
        </w:rPr>
        <w:t>me he</w:t>
      </w:r>
      <w:r w:rsidRPr="005B03F9">
        <w:rPr>
          <w:rFonts w:eastAsia="Times New Roman"/>
          <w:color w:val="000000"/>
          <w:sz w:val="24"/>
          <w:szCs w:val="24"/>
          <w:lang w:val="es-ES_tradnl"/>
        </w:rPr>
        <w:t xml:space="preserve"> desempeñado como consultor para las autoridades encargadas del trazo distrital en distintos estados de E</w:t>
      </w:r>
      <w:r w:rsidR="00393D80" w:rsidRPr="005B03F9">
        <w:rPr>
          <w:rFonts w:eastAsia="Times New Roman"/>
          <w:color w:val="000000"/>
          <w:sz w:val="24"/>
          <w:szCs w:val="24"/>
          <w:lang w:val="es-ES_tradnl"/>
        </w:rPr>
        <w:t>stados Unidos de América</w:t>
      </w:r>
      <w:r w:rsidRPr="005B03F9">
        <w:rPr>
          <w:rFonts w:eastAsia="Times New Roman"/>
          <w:color w:val="000000"/>
          <w:sz w:val="24"/>
          <w:szCs w:val="24"/>
          <w:lang w:val="es-ES_tradnl"/>
        </w:rPr>
        <w:t>, y h</w:t>
      </w:r>
      <w:r w:rsidR="00393D80" w:rsidRPr="005B03F9">
        <w:rPr>
          <w:rFonts w:eastAsia="Times New Roman"/>
          <w:color w:val="000000"/>
          <w:sz w:val="24"/>
          <w:szCs w:val="24"/>
          <w:lang w:val="es-ES_tradnl"/>
        </w:rPr>
        <w:t>e</w:t>
      </w:r>
      <w:r w:rsidRPr="005B03F9">
        <w:rPr>
          <w:rFonts w:eastAsia="Times New Roman"/>
          <w:color w:val="000000"/>
          <w:sz w:val="24"/>
          <w:szCs w:val="24"/>
          <w:lang w:val="es-ES_tradnl"/>
        </w:rPr>
        <w:t xml:space="preserve"> publicado diversos artículos académicos sobre </w:t>
      </w:r>
      <w:proofErr w:type="spellStart"/>
      <w:r w:rsidRPr="005B03F9">
        <w:rPr>
          <w:rFonts w:eastAsia="Times New Roman"/>
          <w:color w:val="000000"/>
          <w:sz w:val="24"/>
          <w:szCs w:val="24"/>
          <w:lang w:val="es-ES_tradnl"/>
        </w:rPr>
        <w:t>redistritación</w:t>
      </w:r>
      <w:proofErr w:type="spellEnd"/>
      <w:r w:rsidRPr="005B03F9">
        <w:rPr>
          <w:rFonts w:eastAsia="Times New Roman"/>
          <w:color w:val="000000"/>
          <w:sz w:val="24"/>
          <w:szCs w:val="24"/>
          <w:lang w:val="es-ES_tradnl"/>
        </w:rPr>
        <w:t xml:space="preserve"> y programas de cómputo estadístico en las ciencias sociales. </w:t>
      </w:r>
    </w:p>
    <w:p w14:paraId="571E38C0" w14:textId="77777777" w:rsidR="005532CA" w:rsidRPr="005B03F9" w:rsidRDefault="005532CA" w:rsidP="00FD1024">
      <w:pPr>
        <w:spacing w:after="0" w:line="480" w:lineRule="auto"/>
        <w:jc w:val="both"/>
        <w:rPr>
          <w:rFonts w:eastAsia="Times New Roman"/>
          <w:color w:val="000000"/>
          <w:sz w:val="24"/>
          <w:szCs w:val="24"/>
          <w:lang w:val="es-ES_tradnl"/>
        </w:rPr>
      </w:pPr>
    </w:p>
    <w:p w14:paraId="02AAC5CC" w14:textId="52EDC145" w:rsidR="005532CA" w:rsidRPr="005B03F9" w:rsidRDefault="005532CA" w:rsidP="005532CA">
      <w:pPr>
        <w:spacing w:after="0" w:line="480" w:lineRule="auto"/>
        <w:ind w:firstLine="720"/>
        <w:jc w:val="both"/>
        <w:rPr>
          <w:rFonts w:eastAsia="Times New Roman"/>
          <w:color w:val="000000"/>
          <w:sz w:val="24"/>
          <w:szCs w:val="24"/>
          <w:lang w:val="es-ES_tradnl"/>
        </w:rPr>
      </w:pPr>
      <w:r w:rsidRPr="005B03F9">
        <w:rPr>
          <w:rFonts w:eastAsia="Times New Roman"/>
          <w:color w:val="000000"/>
          <w:sz w:val="24"/>
          <w:szCs w:val="24"/>
          <w:lang w:val="es-ES_tradnl"/>
        </w:rPr>
        <w:t xml:space="preserve">De </w:t>
      </w:r>
      <w:r w:rsidR="00CB03EF" w:rsidRPr="005B03F9">
        <w:rPr>
          <w:rFonts w:eastAsia="Times New Roman"/>
          <w:color w:val="000000"/>
          <w:sz w:val="24"/>
          <w:szCs w:val="24"/>
          <w:lang w:val="es-ES_tradnl"/>
        </w:rPr>
        <w:t>lo anterior, se desprende con meridiana claridad que c</w:t>
      </w:r>
      <w:r w:rsidRPr="005B03F9">
        <w:rPr>
          <w:rFonts w:eastAsia="Times New Roman"/>
          <w:color w:val="000000"/>
          <w:sz w:val="24"/>
          <w:szCs w:val="24"/>
          <w:lang w:val="es-ES_tradnl"/>
        </w:rPr>
        <w:t>ontamos con una trayectoria académica de más de dos décadas que respalda nuestro trabajo y sus conclusiones.</w:t>
      </w:r>
    </w:p>
    <w:p w14:paraId="061C53AE" w14:textId="77777777" w:rsidR="00CB03EF" w:rsidRPr="005B03F9" w:rsidRDefault="00CB03EF" w:rsidP="005532CA">
      <w:pPr>
        <w:spacing w:after="0" w:line="480" w:lineRule="auto"/>
        <w:ind w:firstLine="720"/>
        <w:jc w:val="both"/>
        <w:rPr>
          <w:rFonts w:eastAsia="Times New Roman"/>
          <w:color w:val="000000"/>
          <w:sz w:val="24"/>
          <w:szCs w:val="24"/>
          <w:lang w:val="es-ES_tradnl"/>
        </w:rPr>
      </w:pPr>
    </w:p>
    <w:p w14:paraId="4E7EC943" w14:textId="76D93938" w:rsidR="004B0CB1" w:rsidRPr="005B03F9" w:rsidRDefault="00CB03EF" w:rsidP="00D619B1">
      <w:pPr>
        <w:spacing w:after="0" w:line="480" w:lineRule="auto"/>
        <w:ind w:firstLine="720"/>
        <w:jc w:val="both"/>
        <w:rPr>
          <w:rFonts w:eastAsia="Times New Roman"/>
          <w:color w:val="000000"/>
          <w:sz w:val="24"/>
          <w:szCs w:val="24"/>
          <w:lang w:val="es-ES_tradnl"/>
        </w:rPr>
      </w:pPr>
      <w:r w:rsidRPr="005B03F9">
        <w:rPr>
          <w:rFonts w:eastAsia="Times New Roman"/>
          <w:color w:val="000000"/>
          <w:sz w:val="24"/>
          <w:szCs w:val="24"/>
          <w:lang w:val="es-ES_tradnl"/>
        </w:rPr>
        <w:t>Adicionalmente, debe señalarse que c</w:t>
      </w:r>
      <w:r w:rsidR="005B3C6F" w:rsidRPr="005B03F9">
        <w:rPr>
          <w:rFonts w:eastAsia="Times New Roman"/>
          <w:color w:val="000000"/>
          <w:sz w:val="24"/>
          <w:szCs w:val="24"/>
          <w:lang w:val="es-ES_tradnl"/>
        </w:rPr>
        <w:t>olectivamente, hemos publicado cientos de artículos de investigación en revistas académicas arbitradas en México y en el extranjero, hemos participado directa e indirectamente en estos procesos, y fungido como expertos para ofrecer nuestro testimonio en el ámbito jurídico electoral. De esta labor se ha extraído la información de carácter técnico que presentamos ante la Suprema Corte de Justica de la Nación.</w:t>
      </w:r>
    </w:p>
    <w:p w14:paraId="7FFF0E6C" w14:textId="77777777" w:rsidR="00D619B1" w:rsidRPr="005B03F9" w:rsidRDefault="00D619B1" w:rsidP="004B0CB1">
      <w:pPr>
        <w:spacing w:after="0" w:line="480" w:lineRule="auto"/>
        <w:ind w:firstLine="720"/>
        <w:jc w:val="both"/>
        <w:rPr>
          <w:rFonts w:eastAsia="Times New Roman"/>
          <w:sz w:val="24"/>
          <w:szCs w:val="24"/>
          <w:lang w:val="es-ES_tradnl"/>
        </w:rPr>
      </w:pPr>
    </w:p>
    <w:p w14:paraId="47E94495" w14:textId="77777777" w:rsidR="005B3C6F" w:rsidRPr="005B03F9" w:rsidRDefault="005B3C6F" w:rsidP="004B0CB1">
      <w:pPr>
        <w:spacing w:after="0" w:line="480" w:lineRule="auto"/>
        <w:ind w:firstLine="720"/>
        <w:jc w:val="both"/>
        <w:rPr>
          <w:rFonts w:eastAsia="Times New Roman"/>
          <w:sz w:val="24"/>
          <w:szCs w:val="24"/>
          <w:lang w:val="es-ES_tradnl"/>
        </w:rPr>
      </w:pPr>
      <w:r w:rsidRPr="005B03F9">
        <w:rPr>
          <w:rFonts w:eastAsia="Times New Roman"/>
          <w:color w:val="000000"/>
          <w:sz w:val="24"/>
          <w:szCs w:val="24"/>
          <w:lang w:val="es-ES_tradnl"/>
        </w:rPr>
        <w:t xml:space="preserve">En lo que interesa, proporcionamos información relacionada a la transparencia e imparcialidad con la que el INE ha conducido estos procesos y que se ve amenazada por las reformas político electorales de 2022-2023, coloquialmente identificadas como Plan B. Desde 1996, los resultados en materia de </w:t>
      </w:r>
      <w:proofErr w:type="spellStart"/>
      <w:r w:rsidRPr="005B03F9">
        <w:rPr>
          <w:rFonts w:eastAsia="Times New Roman"/>
          <w:color w:val="000000"/>
          <w:sz w:val="24"/>
          <w:szCs w:val="24"/>
          <w:lang w:val="es-ES_tradnl"/>
        </w:rPr>
        <w:t>redistritación</w:t>
      </w:r>
      <w:proofErr w:type="spellEnd"/>
      <w:r w:rsidRPr="005B03F9">
        <w:rPr>
          <w:rFonts w:eastAsia="Times New Roman"/>
          <w:color w:val="000000"/>
          <w:sz w:val="24"/>
          <w:szCs w:val="24"/>
          <w:lang w:val="es-ES_tradnl"/>
        </w:rPr>
        <w:t xml:space="preserve"> han sido respaldados y reconocidos por todos los partidos políticos registrados a nivel local y federal. Esperamos que esta información sea de utilidad para la Suprema Corte de Justicia de la Nación.</w:t>
      </w:r>
    </w:p>
    <w:p w14:paraId="00000013" w14:textId="4CA07B53" w:rsidR="002A374E" w:rsidRPr="005B03F9" w:rsidRDefault="002A374E" w:rsidP="004B0CB1">
      <w:pPr>
        <w:spacing w:after="0" w:line="480" w:lineRule="auto"/>
        <w:jc w:val="both"/>
        <w:rPr>
          <w:rFonts w:eastAsia="Times New Roman"/>
          <w:sz w:val="24"/>
          <w:szCs w:val="24"/>
          <w:lang w:val="es-ES_tradnl"/>
        </w:rPr>
      </w:pPr>
    </w:p>
    <w:p w14:paraId="00000019" w14:textId="48D278EE" w:rsidR="002A374E" w:rsidRPr="005B03F9" w:rsidRDefault="00D13F0F" w:rsidP="004B0CB1">
      <w:pPr>
        <w:spacing w:after="0" w:line="480" w:lineRule="auto"/>
        <w:ind w:firstLine="851"/>
        <w:jc w:val="both"/>
        <w:rPr>
          <w:b/>
          <w:sz w:val="24"/>
          <w:szCs w:val="24"/>
          <w:lang w:val="es-ES_tradnl"/>
        </w:rPr>
      </w:pPr>
      <w:r w:rsidRPr="005B03F9">
        <w:rPr>
          <w:b/>
          <w:sz w:val="24"/>
          <w:szCs w:val="24"/>
          <w:lang w:val="es-ES_tradnl"/>
        </w:rPr>
        <w:t xml:space="preserve">1.- </w:t>
      </w:r>
      <w:r w:rsidR="000D6ABD" w:rsidRPr="005B03F9">
        <w:rPr>
          <w:b/>
          <w:sz w:val="24"/>
          <w:szCs w:val="24"/>
          <w:lang w:val="es-ES_tradnl"/>
        </w:rPr>
        <w:t>Resumen Ejecutivo</w:t>
      </w:r>
    </w:p>
    <w:p w14:paraId="0000001A" w14:textId="77777777" w:rsidR="002A374E" w:rsidRPr="005B03F9" w:rsidRDefault="000D6ABD" w:rsidP="004B0CB1">
      <w:pPr>
        <w:spacing w:after="0" w:line="480" w:lineRule="auto"/>
        <w:ind w:firstLine="851"/>
        <w:jc w:val="both"/>
        <w:rPr>
          <w:rFonts w:eastAsia="Times New Roman"/>
          <w:sz w:val="24"/>
          <w:szCs w:val="24"/>
          <w:lang w:val="es-ES_tradnl"/>
        </w:rPr>
      </w:pPr>
      <w:r w:rsidRPr="005B03F9">
        <w:rPr>
          <w:rFonts w:eastAsia="Times New Roman"/>
          <w:sz w:val="24"/>
          <w:szCs w:val="24"/>
          <w:lang w:val="es-ES_tradnl"/>
        </w:rPr>
        <w:t xml:space="preserve"> </w:t>
      </w:r>
    </w:p>
    <w:p w14:paraId="0000001B" w14:textId="77777777" w:rsidR="002A374E" w:rsidRPr="005B03F9" w:rsidRDefault="000D6ABD" w:rsidP="004B0CB1">
      <w:pPr>
        <w:spacing w:after="0" w:line="480" w:lineRule="auto"/>
        <w:ind w:firstLine="851"/>
        <w:jc w:val="both"/>
        <w:rPr>
          <w:sz w:val="24"/>
          <w:szCs w:val="24"/>
          <w:lang w:val="es-ES_tradnl"/>
        </w:rPr>
      </w:pPr>
      <w:r w:rsidRPr="005B03F9">
        <w:rPr>
          <w:sz w:val="24"/>
          <w:szCs w:val="24"/>
          <w:lang w:val="es-ES_tradnl"/>
        </w:rPr>
        <w:t xml:space="preserve">Quienes suscribimos este pronunciamiento encontramos en las recientes reformas electorales una seria amenaza a la celebración de elecciones limpias y justas, que son la base del procedimiento político elemental de cualquier sociedad libre, plural y democrática. </w:t>
      </w:r>
    </w:p>
    <w:p w14:paraId="0000001C" w14:textId="77777777" w:rsidR="002A374E" w:rsidRPr="005B03F9" w:rsidRDefault="000D6ABD" w:rsidP="004B0CB1">
      <w:pPr>
        <w:spacing w:after="0" w:line="480" w:lineRule="auto"/>
        <w:jc w:val="both"/>
        <w:rPr>
          <w:rFonts w:eastAsia="Times New Roman"/>
          <w:sz w:val="24"/>
          <w:szCs w:val="24"/>
          <w:lang w:val="es-ES_tradnl"/>
        </w:rPr>
      </w:pPr>
      <w:r w:rsidRPr="005B03F9">
        <w:rPr>
          <w:rFonts w:eastAsia="Times New Roman"/>
          <w:sz w:val="24"/>
          <w:szCs w:val="24"/>
          <w:lang w:val="es-ES_tradnl"/>
        </w:rPr>
        <w:t xml:space="preserve"> </w:t>
      </w:r>
    </w:p>
    <w:p w14:paraId="0000001D" w14:textId="70FBEA4D" w:rsidR="002A374E" w:rsidRPr="005B03F9" w:rsidRDefault="000D6ABD" w:rsidP="004B0CB1">
      <w:pPr>
        <w:spacing w:after="0" w:line="480" w:lineRule="auto"/>
        <w:ind w:firstLine="720"/>
        <w:jc w:val="both"/>
        <w:rPr>
          <w:sz w:val="24"/>
          <w:szCs w:val="24"/>
          <w:lang w:val="es-ES_tradnl"/>
        </w:rPr>
      </w:pPr>
      <w:r w:rsidRPr="005B03F9">
        <w:rPr>
          <w:sz w:val="24"/>
          <w:szCs w:val="24"/>
          <w:lang w:val="es-ES_tradnl"/>
        </w:rPr>
        <w:t>Much</w:t>
      </w:r>
      <w:r w:rsidR="00206004" w:rsidRPr="005B03F9">
        <w:rPr>
          <w:sz w:val="24"/>
          <w:szCs w:val="24"/>
          <w:lang w:val="es-ES_tradnl"/>
        </w:rPr>
        <w:t>a</w:t>
      </w:r>
      <w:r w:rsidRPr="005B03F9">
        <w:rPr>
          <w:sz w:val="24"/>
          <w:szCs w:val="24"/>
          <w:lang w:val="es-ES_tradnl"/>
        </w:rPr>
        <w:t>s personas expertas, desde la academia, el servicio público y los organismos internacionales, se han pronunciado sobre las fortalezas y desafíos del sistema electoral en México.</w:t>
      </w:r>
      <w:r w:rsidRPr="005B03F9">
        <w:rPr>
          <w:sz w:val="24"/>
          <w:szCs w:val="24"/>
          <w:vertAlign w:val="superscript"/>
          <w:lang w:val="es-ES_tradnl"/>
        </w:rPr>
        <w:footnoteReference w:id="5"/>
      </w:r>
      <w:r w:rsidRPr="005B03F9">
        <w:rPr>
          <w:sz w:val="24"/>
          <w:szCs w:val="24"/>
          <w:lang w:val="es-ES_tradnl"/>
        </w:rPr>
        <w:t xml:space="preserve"> En relación a las iniciativas de reformas político </w:t>
      </w:r>
      <w:r w:rsidRPr="005B03F9">
        <w:rPr>
          <w:sz w:val="24"/>
          <w:szCs w:val="24"/>
          <w:lang w:val="es-ES_tradnl"/>
        </w:rPr>
        <w:lastRenderedPageBreak/>
        <w:t xml:space="preserve">electorales que han sido presentadas en el 2022 y 2023, un grupo académico a nivel nacional e internacional se ha pronunciado sobre </w:t>
      </w:r>
      <w:r w:rsidR="00206004" w:rsidRPr="005B03F9">
        <w:rPr>
          <w:sz w:val="24"/>
          <w:szCs w:val="24"/>
          <w:lang w:val="es-ES_tradnl"/>
        </w:rPr>
        <w:t>el</w:t>
      </w:r>
      <w:r w:rsidRPr="005B03F9">
        <w:rPr>
          <w:sz w:val="24"/>
          <w:szCs w:val="24"/>
          <w:lang w:val="es-ES_tradnl"/>
        </w:rPr>
        <w:t xml:space="preserve"> impacto negativo que tendría dicha reforma sobre la capacidad del Instituto Nacional Electoral de cumplir a cabalidad </w:t>
      </w:r>
      <w:r w:rsidR="00206004" w:rsidRPr="005B03F9">
        <w:rPr>
          <w:sz w:val="24"/>
          <w:szCs w:val="24"/>
          <w:lang w:val="es-ES_tradnl"/>
        </w:rPr>
        <w:t>con</w:t>
      </w:r>
      <w:r w:rsidRPr="005B03F9">
        <w:rPr>
          <w:sz w:val="24"/>
          <w:szCs w:val="24"/>
          <w:lang w:val="es-ES_tradnl"/>
        </w:rPr>
        <w:t xml:space="preserve"> los principios rectores de </w:t>
      </w:r>
      <w:r w:rsidRPr="005B03F9">
        <w:rPr>
          <w:i/>
          <w:iCs/>
          <w:sz w:val="24"/>
          <w:szCs w:val="24"/>
          <w:lang w:val="es-ES_tradnl"/>
        </w:rPr>
        <w:t>“legalidad, certeza, imparcialidad, objetividad, independencia y máxima publicidad”</w:t>
      </w:r>
      <w:r w:rsidRPr="005B03F9">
        <w:rPr>
          <w:sz w:val="24"/>
          <w:szCs w:val="24"/>
          <w:lang w:val="es-ES_tradnl"/>
        </w:rPr>
        <w:t>, establecidos en el mandato legal que dio origen al Instituto Federal Electoral y reconocidos en la legislación electoral vigente. Entre los argumentos centrales, destaca que la reforma aprobada por el Poder Legislativo generará incertidumbre en los procesos electorales al verse afectadas las atribuciones del árbitro electoral en el ámbito administrativo, presupuestal y profesional.</w:t>
      </w:r>
      <w:r w:rsidRPr="005B03F9">
        <w:rPr>
          <w:sz w:val="24"/>
          <w:szCs w:val="24"/>
          <w:vertAlign w:val="superscript"/>
          <w:lang w:val="es-ES_tradnl"/>
        </w:rPr>
        <w:footnoteReference w:id="6"/>
      </w:r>
      <w:r w:rsidRPr="005B03F9">
        <w:rPr>
          <w:sz w:val="24"/>
          <w:szCs w:val="24"/>
          <w:lang w:val="es-ES_tradnl"/>
        </w:rPr>
        <w:t xml:space="preserve">   </w:t>
      </w:r>
    </w:p>
    <w:p w14:paraId="0B587972" w14:textId="77777777" w:rsidR="004B0CB1" w:rsidRPr="005B03F9" w:rsidRDefault="004B0CB1" w:rsidP="004B0CB1">
      <w:pPr>
        <w:spacing w:after="0" w:line="480" w:lineRule="auto"/>
        <w:ind w:firstLine="720"/>
        <w:jc w:val="both"/>
        <w:rPr>
          <w:sz w:val="24"/>
          <w:szCs w:val="24"/>
          <w:lang w:val="es-ES_tradnl"/>
        </w:rPr>
      </w:pPr>
    </w:p>
    <w:p w14:paraId="0000001E" w14:textId="7A7AC468" w:rsidR="002A374E" w:rsidRPr="005B03F9" w:rsidRDefault="000D6ABD" w:rsidP="004B0CB1">
      <w:pPr>
        <w:spacing w:after="0" w:line="480" w:lineRule="auto"/>
        <w:ind w:firstLine="720"/>
        <w:jc w:val="both"/>
        <w:rPr>
          <w:sz w:val="24"/>
          <w:szCs w:val="24"/>
          <w:lang w:val="es-ES_tradnl"/>
        </w:rPr>
      </w:pPr>
      <w:r w:rsidRPr="005B03F9">
        <w:rPr>
          <w:sz w:val="24"/>
          <w:szCs w:val="24"/>
          <w:lang w:val="es-ES_tradnl"/>
        </w:rPr>
        <w:t xml:space="preserve">Con el fin de complementar dichos estudios, ofrecemos a la </w:t>
      </w:r>
      <w:r w:rsidR="00206004" w:rsidRPr="005B03F9">
        <w:rPr>
          <w:sz w:val="24"/>
          <w:szCs w:val="24"/>
          <w:lang w:val="es-ES_tradnl"/>
        </w:rPr>
        <w:t>SCJN</w:t>
      </w:r>
      <w:r w:rsidRPr="005B03F9">
        <w:rPr>
          <w:sz w:val="24"/>
          <w:szCs w:val="24"/>
          <w:lang w:val="es-ES_tradnl"/>
        </w:rPr>
        <w:t xml:space="preserve"> una perspectiva adicional para evaluar el impacto de dichas reformas en un proceso administrativo que es crucial para la representación política: la </w:t>
      </w:r>
      <w:proofErr w:type="spellStart"/>
      <w:r w:rsidRPr="005B03F9">
        <w:rPr>
          <w:b/>
          <w:bCs/>
          <w:sz w:val="24"/>
          <w:szCs w:val="24"/>
          <w:lang w:val="es-ES_tradnl"/>
        </w:rPr>
        <w:t>redistritación</w:t>
      </w:r>
      <w:proofErr w:type="spellEnd"/>
      <w:r w:rsidRPr="005B03F9">
        <w:rPr>
          <w:b/>
          <w:bCs/>
          <w:sz w:val="24"/>
          <w:szCs w:val="24"/>
          <w:lang w:val="es-ES_tradnl"/>
        </w:rPr>
        <w:t xml:space="preserve"> electoral</w:t>
      </w:r>
      <w:r w:rsidRPr="005B03F9">
        <w:rPr>
          <w:sz w:val="24"/>
          <w:szCs w:val="24"/>
          <w:lang w:val="es-ES_tradnl"/>
        </w:rPr>
        <w:t xml:space="preserve">.  Basándonos en nuestro análisis de dicho proceso en las últimas dos décadas, consideramos que la reforma conocida popularmente como el “Plan B” afectará la capacidad del instituto de conducir este proceso de manera efectiva, independiente, e imparcial. Estos principios han prevalecido en los procesos de </w:t>
      </w:r>
      <w:proofErr w:type="spellStart"/>
      <w:r w:rsidRPr="005B03F9">
        <w:rPr>
          <w:sz w:val="24"/>
          <w:szCs w:val="24"/>
          <w:lang w:val="es-ES_tradnl"/>
        </w:rPr>
        <w:t>redistritación</w:t>
      </w:r>
      <w:proofErr w:type="spellEnd"/>
      <w:r w:rsidRPr="005B03F9">
        <w:rPr>
          <w:sz w:val="24"/>
          <w:szCs w:val="24"/>
          <w:lang w:val="es-ES_tradnl"/>
        </w:rPr>
        <w:t xml:space="preserve"> llevados a cabo en 1996, 2004, 2013, 2017 y, recientemente, 2022. Por ello, creemos que este es un elemento adicional </w:t>
      </w:r>
      <w:r w:rsidR="00206004" w:rsidRPr="005B03F9">
        <w:rPr>
          <w:sz w:val="24"/>
          <w:szCs w:val="24"/>
          <w:lang w:val="es-ES_tradnl"/>
        </w:rPr>
        <w:t>a</w:t>
      </w:r>
      <w:r w:rsidRPr="005B03F9">
        <w:rPr>
          <w:sz w:val="24"/>
          <w:szCs w:val="24"/>
          <w:lang w:val="es-ES_tradnl"/>
        </w:rPr>
        <w:t xml:space="preserve"> considerar cuando la </w:t>
      </w:r>
      <w:r w:rsidR="00206004" w:rsidRPr="005B03F9">
        <w:rPr>
          <w:sz w:val="24"/>
          <w:szCs w:val="24"/>
          <w:lang w:val="es-ES_tradnl"/>
        </w:rPr>
        <w:t>SCJN</w:t>
      </w:r>
      <w:r w:rsidRPr="005B03F9">
        <w:rPr>
          <w:sz w:val="24"/>
          <w:szCs w:val="24"/>
          <w:lang w:val="es-ES_tradnl"/>
        </w:rPr>
        <w:t xml:space="preserve"> analice la inconstitucionalidad de dicha reforma. </w:t>
      </w:r>
    </w:p>
    <w:p w14:paraId="0000001F" w14:textId="77777777" w:rsidR="002A374E" w:rsidRPr="005B03F9" w:rsidRDefault="000D6ABD" w:rsidP="004B0CB1">
      <w:pPr>
        <w:spacing w:after="0" w:line="480" w:lineRule="auto"/>
        <w:jc w:val="both"/>
        <w:rPr>
          <w:rFonts w:eastAsia="Times New Roman"/>
          <w:sz w:val="24"/>
          <w:szCs w:val="24"/>
          <w:lang w:val="es-ES_tradnl"/>
        </w:rPr>
      </w:pPr>
      <w:r w:rsidRPr="005B03F9">
        <w:rPr>
          <w:rFonts w:eastAsia="Times New Roman"/>
          <w:sz w:val="24"/>
          <w:szCs w:val="24"/>
          <w:lang w:val="es-ES_tradnl"/>
        </w:rPr>
        <w:t xml:space="preserve"> </w:t>
      </w:r>
    </w:p>
    <w:p w14:paraId="00000020" w14:textId="77777777" w:rsidR="002A374E" w:rsidRPr="005B03F9" w:rsidRDefault="000D6ABD" w:rsidP="004B0CB1">
      <w:pPr>
        <w:spacing w:after="0" w:line="480" w:lineRule="auto"/>
        <w:ind w:firstLine="720"/>
        <w:jc w:val="both"/>
        <w:rPr>
          <w:sz w:val="24"/>
          <w:szCs w:val="24"/>
          <w:lang w:val="es-ES_tradnl"/>
        </w:rPr>
      </w:pPr>
      <w:r w:rsidRPr="005B03F9">
        <w:rPr>
          <w:sz w:val="24"/>
          <w:szCs w:val="24"/>
          <w:lang w:val="es-ES_tradnl"/>
        </w:rPr>
        <w:t xml:space="preserve">Nuestras conclusiones están respaldadas por nuestra opinión técnica y profesional, así como por un amplio cuerpo de literatura que es compatible con los estándares internacionales de mejores prácticas en materia de administración electoral, así como por la literatura que destaca la centralidad del Instituto Nacional Electoral para la vida democrática en México. </w:t>
      </w:r>
    </w:p>
    <w:p w14:paraId="00000021" w14:textId="77777777" w:rsidR="002A374E" w:rsidRPr="005B03F9" w:rsidRDefault="000D6ABD" w:rsidP="004B0CB1">
      <w:pPr>
        <w:spacing w:after="0" w:line="480" w:lineRule="auto"/>
        <w:jc w:val="both"/>
        <w:rPr>
          <w:rFonts w:eastAsia="Times New Roman"/>
          <w:sz w:val="24"/>
          <w:szCs w:val="24"/>
          <w:lang w:val="es-ES_tradnl"/>
        </w:rPr>
      </w:pPr>
      <w:r w:rsidRPr="005B03F9">
        <w:rPr>
          <w:rFonts w:eastAsia="Times New Roman"/>
          <w:sz w:val="24"/>
          <w:szCs w:val="24"/>
          <w:lang w:val="es-ES_tradnl"/>
        </w:rPr>
        <w:lastRenderedPageBreak/>
        <w:t xml:space="preserve"> </w:t>
      </w:r>
    </w:p>
    <w:p w14:paraId="00000022" w14:textId="0D9D1948" w:rsidR="002A374E" w:rsidRPr="005B03F9" w:rsidRDefault="00D13F0F" w:rsidP="004B0CB1">
      <w:pPr>
        <w:spacing w:after="0" w:line="480" w:lineRule="auto"/>
        <w:ind w:firstLine="709"/>
        <w:jc w:val="both"/>
        <w:rPr>
          <w:b/>
          <w:sz w:val="24"/>
          <w:szCs w:val="24"/>
          <w:lang w:val="es-ES_tradnl"/>
        </w:rPr>
      </w:pPr>
      <w:r w:rsidRPr="005B03F9">
        <w:rPr>
          <w:b/>
          <w:sz w:val="24"/>
          <w:szCs w:val="24"/>
          <w:lang w:val="es-ES_tradnl"/>
        </w:rPr>
        <w:t xml:space="preserve">A. </w:t>
      </w:r>
      <w:r w:rsidR="000D6ABD" w:rsidRPr="005B03F9">
        <w:rPr>
          <w:b/>
          <w:sz w:val="24"/>
          <w:szCs w:val="24"/>
          <w:lang w:val="es-ES_tradnl"/>
        </w:rPr>
        <w:t xml:space="preserve">Los estudios en materia de administración electoral y geografía política enfatizan la necesidad de contar con una burocracia electoral imparcial, eficiente e independiente </w:t>
      </w:r>
    </w:p>
    <w:p w14:paraId="00000023" w14:textId="77777777" w:rsidR="002A374E" w:rsidRPr="005B03F9" w:rsidRDefault="000D6ABD" w:rsidP="004B0CB1">
      <w:pPr>
        <w:spacing w:after="0" w:line="480" w:lineRule="auto"/>
        <w:ind w:firstLine="709"/>
        <w:jc w:val="both"/>
        <w:rPr>
          <w:rFonts w:eastAsia="Times New Roman"/>
          <w:sz w:val="24"/>
          <w:szCs w:val="24"/>
          <w:lang w:val="es-ES_tradnl"/>
        </w:rPr>
      </w:pPr>
      <w:r w:rsidRPr="005B03F9">
        <w:rPr>
          <w:rFonts w:eastAsia="Times New Roman"/>
          <w:sz w:val="24"/>
          <w:szCs w:val="24"/>
          <w:lang w:val="es-ES_tradnl"/>
        </w:rPr>
        <w:t xml:space="preserve"> </w:t>
      </w:r>
    </w:p>
    <w:p w14:paraId="00000024" w14:textId="77777777" w:rsidR="002A374E" w:rsidRPr="005B03F9" w:rsidRDefault="000D6ABD" w:rsidP="004B0CB1">
      <w:pPr>
        <w:spacing w:after="0" w:line="480" w:lineRule="auto"/>
        <w:ind w:firstLine="709"/>
        <w:jc w:val="both"/>
        <w:rPr>
          <w:sz w:val="24"/>
          <w:szCs w:val="24"/>
          <w:lang w:val="es-ES_tradnl"/>
        </w:rPr>
      </w:pPr>
      <w:r w:rsidRPr="005B03F9">
        <w:rPr>
          <w:sz w:val="24"/>
          <w:szCs w:val="24"/>
          <w:lang w:val="es-ES_tradnl"/>
        </w:rPr>
        <w:t xml:space="preserve">La independencia de la burocracia electoral en otras democracias consolidadas, como es el caso de Canadá, el Reino Unido, Australia, Japón y Nueva Zelanda, ha resultado fundamental para poder cumplir con los principios de representación democrática y de pluralidad de los intereses comunitarios establecidos en la constitución de dichos países. En todos estos casos, los sistemas de representación política dependen del marco geográfico basado en distritos electorales. Por ello, es fundamental que la autoridad electoral mantenga una independencia administrativa, presupuestal, y profesional, libre de cualquier interés político, legislativo, o partidista. </w:t>
      </w:r>
    </w:p>
    <w:p w14:paraId="00000025" w14:textId="77777777" w:rsidR="002A374E" w:rsidRPr="005B03F9" w:rsidRDefault="000D6ABD" w:rsidP="004B0CB1">
      <w:pPr>
        <w:spacing w:after="0" w:line="480" w:lineRule="auto"/>
        <w:jc w:val="both"/>
        <w:rPr>
          <w:rFonts w:eastAsia="Times New Roman"/>
          <w:sz w:val="24"/>
          <w:szCs w:val="24"/>
          <w:lang w:val="es-ES_tradnl"/>
        </w:rPr>
      </w:pPr>
      <w:r w:rsidRPr="005B03F9">
        <w:rPr>
          <w:rFonts w:eastAsia="Times New Roman"/>
          <w:sz w:val="24"/>
          <w:szCs w:val="24"/>
          <w:lang w:val="es-ES_tradnl"/>
        </w:rPr>
        <w:t xml:space="preserve"> </w:t>
      </w:r>
    </w:p>
    <w:p w14:paraId="7CB0FF5F" w14:textId="77777777" w:rsidR="00206004" w:rsidRPr="005B03F9" w:rsidRDefault="000D6ABD" w:rsidP="004B0CB1">
      <w:pPr>
        <w:spacing w:after="0" w:line="480" w:lineRule="auto"/>
        <w:ind w:firstLine="720"/>
        <w:jc w:val="both"/>
        <w:rPr>
          <w:sz w:val="24"/>
          <w:szCs w:val="24"/>
          <w:lang w:val="es-ES_tradnl"/>
        </w:rPr>
      </w:pPr>
      <w:r w:rsidRPr="005B03F9">
        <w:rPr>
          <w:sz w:val="24"/>
          <w:szCs w:val="24"/>
          <w:lang w:val="es-ES_tradnl"/>
        </w:rPr>
        <w:t>Cuando los organismos electorales no cuentan con independencia plena en estos ámbitos, los procesos de delimitación electoral son susceptibles a los altos niveles de politización y de sesgo a favor de intereses partidistas.</w:t>
      </w:r>
      <w:r w:rsidRPr="005B03F9">
        <w:rPr>
          <w:sz w:val="24"/>
          <w:szCs w:val="24"/>
          <w:vertAlign w:val="superscript"/>
          <w:lang w:val="es-ES_tradnl"/>
        </w:rPr>
        <w:footnoteReference w:id="7"/>
      </w:r>
      <w:r w:rsidRPr="005B03F9">
        <w:rPr>
          <w:sz w:val="24"/>
          <w:szCs w:val="24"/>
          <w:lang w:val="es-ES_tradnl"/>
        </w:rPr>
        <w:t xml:space="preserve"> Los criterios más relevantes para el funcionamiento adecuado de la autoridad electoral incluyen:</w:t>
      </w:r>
    </w:p>
    <w:p w14:paraId="00000026" w14:textId="2D41E3E9" w:rsidR="002A374E" w:rsidRPr="005B03F9" w:rsidRDefault="002A374E" w:rsidP="004B0CB1">
      <w:pPr>
        <w:spacing w:after="0" w:line="480" w:lineRule="auto"/>
        <w:ind w:firstLine="720"/>
        <w:jc w:val="both"/>
        <w:rPr>
          <w:sz w:val="24"/>
          <w:szCs w:val="24"/>
          <w:lang w:val="es-ES_tradnl"/>
        </w:rPr>
      </w:pPr>
    </w:p>
    <w:p w14:paraId="1CAA584F" w14:textId="3B485DB3" w:rsidR="00206004" w:rsidRPr="00D232E3" w:rsidRDefault="000D6ABD" w:rsidP="00D232E3">
      <w:pPr>
        <w:numPr>
          <w:ilvl w:val="0"/>
          <w:numId w:val="3"/>
        </w:numPr>
        <w:spacing w:after="0" w:line="480" w:lineRule="auto"/>
        <w:jc w:val="both"/>
        <w:rPr>
          <w:rFonts w:eastAsia="Calibri"/>
          <w:sz w:val="24"/>
          <w:szCs w:val="24"/>
          <w:lang w:val="es-ES_tradnl"/>
        </w:rPr>
      </w:pPr>
      <w:r w:rsidRPr="005B03F9">
        <w:rPr>
          <w:sz w:val="24"/>
          <w:szCs w:val="24"/>
          <w:lang w:val="es-ES_tradnl"/>
        </w:rPr>
        <w:t xml:space="preserve">La disponibilidad de recursos presupuestales suficientes, permanentes y libres de manipulación por parte de los actores políticos o representantes de los Poderes Ejecutivo y Legislativo con el fin de contar con un personal técnico especializado, permanente y capaz de manejar niveles complejos de información (bases de datos), servir como enlace con otras instituciones, </w:t>
      </w:r>
      <w:r w:rsidRPr="005B03F9">
        <w:rPr>
          <w:sz w:val="24"/>
          <w:szCs w:val="24"/>
          <w:lang w:val="es-ES_tradnl"/>
        </w:rPr>
        <w:lastRenderedPageBreak/>
        <w:t xml:space="preserve">canalizar información pública, operar sistemas internos y mantener un registro institucional.  </w:t>
      </w:r>
    </w:p>
    <w:p w14:paraId="04FA00F8" w14:textId="297A8EBB" w:rsidR="00206004" w:rsidRPr="00D232E3" w:rsidRDefault="000D6ABD" w:rsidP="00D232E3">
      <w:pPr>
        <w:numPr>
          <w:ilvl w:val="0"/>
          <w:numId w:val="3"/>
        </w:numPr>
        <w:spacing w:after="0" w:line="480" w:lineRule="auto"/>
        <w:jc w:val="both"/>
        <w:rPr>
          <w:rFonts w:eastAsia="Calibri"/>
          <w:sz w:val="24"/>
          <w:szCs w:val="24"/>
          <w:lang w:val="es-ES_tradnl"/>
        </w:rPr>
      </w:pPr>
      <w:r w:rsidRPr="005B03F9">
        <w:rPr>
          <w:sz w:val="24"/>
          <w:szCs w:val="24"/>
          <w:lang w:val="es-ES_tradnl"/>
        </w:rPr>
        <w:t xml:space="preserve">Independencia de cualquier influencia, manipulación o veto legislativo </w:t>
      </w:r>
      <w:r w:rsidR="00206004" w:rsidRPr="005B03F9">
        <w:rPr>
          <w:sz w:val="24"/>
          <w:szCs w:val="24"/>
          <w:lang w:val="es-ES_tradnl"/>
        </w:rPr>
        <w:t>en relación a</w:t>
      </w:r>
      <w:r w:rsidRPr="005B03F9">
        <w:rPr>
          <w:sz w:val="24"/>
          <w:szCs w:val="24"/>
          <w:lang w:val="es-ES_tradnl"/>
        </w:rPr>
        <w:t xml:space="preserve"> la cartografía electoral que ha sido avalada por el órgano electoral. </w:t>
      </w:r>
    </w:p>
    <w:p w14:paraId="59788875" w14:textId="462C7D29" w:rsidR="00B82905" w:rsidRPr="00D232E3" w:rsidRDefault="000D6ABD" w:rsidP="00D232E3">
      <w:pPr>
        <w:numPr>
          <w:ilvl w:val="0"/>
          <w:numId w:val="3"/>
        </w:numPr>
        <w:spacing w:after="0" w:line="480" w:lineRule="auto"/>
        <w:jc w:val="both"/>
        <w:rPr>
          <w:rFonts w:eastAsia="Calibri"/>
          <w:sz w:val="24"/>
          <w:szCs w:val="24"/>
          <w:lang w:val="es-ES_tradnl"/>
        </w:rPr>
      </w:pPr>
      <w:r w:rsidRPr="005B03F9">
        <w:rPr>
          <w:sz w:val="24"/>
          <w:szCs w:val="24"/>
          <w:lang w:val="es-ES_tradnl"/>
        </w:rPr>
        <w:t xml:space="preserve">Transparencia práctica, </w:t>
      </w:r>
      <w:r w:rsidR="00B82905" w:rsidRPr="005B03F9">
        <w:rPr>
          <w:sz w:val="24"/>
          <w:szCs w:val="24"/>
          <w:lang w:val="es-ES_tradnl"/>
        </w:rPr>
        <w:t>a</w:t>
      </w:r>
      <w:r w:rsidRPr="005B03F9">
        <w:rPr>
          <w:sz w:val="24"/>
          <w:szCs w:val="24"/>
          <w:lang w:val="es-ES_tradnl"/>
        </w:rPr>
        <w:t xml:space="preserve"> disposición del público, de manera oportuna y a través de un medio accesible, </w:t>
      </w:r>
      <w:r w:rsidR="00B82905" w:rsidRPr="005B03F9">
        <w:rPr>
          <w:sz w:val="24"/>
          <w:szCs w:val="24"/>
          <w:lang w:val="es-ES_tradnl"/>
        </w:rPr>
        <w:t>a fin de que los ciudadanos mexicanos dispongan de</w:t>
      </w:r>
      <w:r w:rsidRPr="005B03F9">
        <w:rPr>
          <w:sz w:val="24"/>
          <w:szCs w:val="24"/>
          <w:lang w:val="es-ES_tradnl"/>
        </w:rPr>
        <w:t xml:space="preserve"> la información relevante al proceso de </w:t>
      </w:r>
      <w:proofErr w:type="spellStart"/>
      <w:r w:rsidRPr="005B03F9">
        <w:rPr>
          <w:sz w:val="24"/>
          <w:szCs w:val="24"/>
          <w:lang w:val="es-ES_tradnl"/>
        </w:rPr>
        <w:t>redistritación</w:t>
      </w:r>
      <w:proofErr w:type="spellEnd"/>
      <w:r w:rsidRPr="005B03F9">
        <w:rPr>
          <w:sz w:val="24"/>
          <w:szCs w:val="24"/>
          <w:lang w:val="es-ES_tradnl"/>
        </w:rPr>
        <w:t>, incluidos los mapas propuestos, los datos utilizados, el análisis relevante en todas las etapas, las herramientas informáticas (</w:t>
      </w:r>
      <w:r w:rsidRPr="005B03F9">
        <w:rPr>
          <w:i/>
          <w:sz w:val="24"/>
          <w:szCs w:val="24"/>
          <w:lang w:val="es-ES_tradnl"/>
        </w:rPr>
        <w:t>software</w:t>
      </w:r>
      <w:r w:rsidRPr="005B03F9">
        <w:rPr>
          <w:sz w:val="24"/>
          <w:szCs w:val="24"/>
          <w:lang w:val="es-ES_tradnl"/>
        </w:rPr>
        <w:t xml:space="preserve">) utilizadas, así como el registro de cualquier contribución realizada desde la esfera pública. </w:t>
      </w:r>
    </w:p>
    <w:p w14:paraId="4A7A91BD" w14:textId="036E4549" w:rsidR="00346DC9" w:rsidRPr="00D232E3" w:rsidRDefault="00346DC9" w:rsidP="00D232E3">
      <w:pPr>
        <w:numPr>
          <w:ilvl w:val="0"/>
          <w:numId w:val="3"/>
        </w:numPr>
        <w:spacing w:after="0" w:line="480" w:lineRule="auto"/>
        <w:jc w:val="both"/>
        <w:rPr>
          <w:rFonts w:eastAsia="Calibri"/>
          <w:sz w:val="24"/>
          <w:szCs w:val="24"/>
          <w:lang w:val="es-ES_tradnl"/>
        </w:rPr>
      </w:pPr>
      <w:r w:rsidRPr="005B03F9">
        <w:rPr>
          <w:sz w:val="24"/>
          <w:szCs w:val="24"/>
          <w:lang w:val="es-ES_tradnl"/>
        </w:rPr>
        <w:t>Pericia aplicada al</w:t>
      </w:r>
      <w:r w:rsidR="000D6ABD" w:rsidRPr="005B03F9">
        <w:rPr>
          <w:sz w:val="24"/>
          <w:szCs w:val="24"/>
          <w:lang w:val="es-ES_tradnl"/>
        </w:rPr>
        <w:t xml:space="preserve"> desarroll</w:t>
      </w:r>
      <w:r w:rsidRPr="005B03F9">
        <w:rPr>
          <w:sz w:val="24"/>
          <w:szCs w:val="24"/>
          <w:lang w:val="es-ES_tradnl"/>
        </w:rPr>
        <w:t>o</w:t>
      </w:r>
      <w:r w:rsidR="00B32135" w:rsidRPr="005B03F9">
        <w:rPr>
          <w:sz w:val="24"/>
          <w:szCs w:val="24"/>
          <w:lang w:val="es-ES_tradnl"/>
        </w:rPr>
        <w:t xml:space="preserve"> de</w:t>
      </w:r>
      <w:r w:rsidR="000D6ABD" w:rsidRPr="005B03F9">
        <w:rPr>
          <w:sz w:val="24"/>
          <w:szCs w:val="24"/>
          <w:lang w:val="es-ES_tradnl"/>
        </w:rPr>
        <w:t xml:space="preserve"> mecanismos de evaluación, dentro de los límites establecidos por la constitución, para facilitar el uso de información sociodemográfica relevante, incluidos los datos de registro y participación electoral en distintos niveles comunitarios. </w:t>
      </w:r>
    </w:p>
    <w:p w14:paraId="0000002B" w14:textId="74675211" w:rsidR="002A374E" w:rsidRPr="005B03F9" w:rsidRDefault="000D6ABD" w:rsidP="004B0CB1">
      <w:pPr>
        <w:numPr>
          <w:ilvl w:val="0"/>
          <w:numId w:val="3"/>
        </w:numPr>
        <w:spacing w:after="0" w:line="480" w:lineRule="auto"/>
        <w:jc w:val="both"/>
        <w:rPr>
          <w:rFonts w:eastAsia="Calibri"/>
          <w:sz w:val="24"/>
          <w:szCs w:val="24"/>
          <w:lang w:val="es-ES_tradnl"/>
        </w:rPr>
      </w:pPr>
      <w:r w:rsidRPr="005B03F9">
        <w:rPr>
          <w:sz w:val="24"/>
          <w:szCs w:val="24"/>
          <w:lang w:val="es-ES_tradnl"/>
        </w:rPr>
        <w:t>Capacidad de sostener distintos canales de retroalimentación pública</w:t>
      </w:r>
      <w:r w:rsidR="005A0731" w:rsidRPr="005B03F9">
        <w:rPr>
          <w:sz w:val="24"/>
          <w:szCs w:val="24"/>
          <w:lang w:val="es-ES_tradnl"/>
        </w:rPr>
        <w:t>, verbigracia,</w:t>
      </w:r>
      <w:r w:rsidRPr="005B03F9">
        <w:rPr>
          <w:sz w:val="24"/>
          <w:szCs w:val="24"/>
          <w:lang w:val="es-ES_tradnl"/>
        </w:rPr>
        <w:t xml:space="preserve"> consultas ciudadanas y grupos minoritarios</w:t>
      </w:r>
      <w:r w:rsidR="005A0731" w:rsidRPr="005B03F9">
        <w:rPr>
          <w:sz w:val="24"/>
          <w:szCs w:val="24"/>
          <w:lang w:val="es-ES_tradnl"/>
        </w:rPr>
        <w:t>, a fin de</w:t>
      </w:r>
      <w:r w:rsidRPr="005B03F9">
        <w:rPr>
          <w:sz w:val="24"/>
          <w:szCs w:val="24"/>
          <w:lang w:val="es-ES_tradnl"/>
        </w:rPr>
        <w:t xml:space="preserve"> desarrolla</w:t>
      </w:r>
      <w:r w:rsidR="005A0731" w:rsidRPr="005B03F9">
        <w:rPr>
          <w:sz w:val="24"/>
          <w:szCs w:val="24"/>
          <w:lang w:val="es-ES_tradnl"/>
        </w:rPr>
        <w:t>r</w:t>
      </w:r>
      <w:r w:rsidRPr="005B03F9">
        <w:rPr>
          <w:sz w:val="24"/>
          <w:szCs w:val="24"/>
          <w:lang w:val="es-ES_tradnl"/>
        </w:rPr>
        <w:t xml:space="preserve"> las herramientas de mapeo en línea que permitan que la ciudadanía pueda descargar, evaluar, diseñar, proponer, comparar, y comentar los planes electorales que serán considerados por la autoridad electoral. </w:t>
      </w:r>
    </w:p>
    <w:p w14:paraId="0000002C" w14:textId="77777777" w:rsidR="002A374E" w:rsidRPr="005B03F9" w:rsidRDefault="000D6ABD" w:rsidP="004B0CB1">
      <w:pPr>
        <w:spacing w:after="0" w:line="480" w:lineRule="auto"/>
        <w:jc w:val="both"/>
        <w:rPr>
          <w:rFonts w:eastAsia="Times New Roman"/>
          <w:sz w:val="24"/>
          <w:szCs w:val="24"/>
          <w:lang w:val="es-ES_tradnl"/>
        </w:rPr>
      </w:pPr>
      <w:r w:rsidRPr="005B03F9">
        <w:rPr>
          <w:rFonts w:eastAsia="Times New Roman"/>
          <w:sz w:val="24"/>
          <w:szCs w:val="24"/>
          <w:lang w:val="es-ES_tradnl"/>
        </w:rPr>
        <w:t xml:space="preserve"> </w:t>
      </w:r>
    </w:p>
    <w:p w14:paraId="0000002D" w14:textId="613C21D0" w:rsidR="002A374E" w:rsidRPr="005B03F9" w:rsidRDefault="00D13F0F" w:rsidP="004B0CB1">
      <w:pPr>
        <w:spacing w:after="0" w:line="480" w:lineRule="auto"/>
        <w:ind w:firstLine="709"/>
        <w:jc w:val="both"/>
        <w:rPr>
          <w:b/>
          <w:sz w:val="24"/>
          <w:szCs w:val="24"/>
          <w:lang w:val="es-ES_tradnl"/>
        </w:rPr>
      </w:pPr>
      <w:r w:rsidRPr="005B03F9">
        <w:rPr>
          <w:b/>
          <w:sz w:val="24"/>
          <w:szCs w:val="24"/>
          <w:lang w:val="es-ES_tradnl"/>
        </w:rPr>
        <w:t xml:space="preserve">B. </w:t>
      </w:r>
      <w:r w:rsidR="000D6ABD" w:rsidRPr="005B03F9">
        <w:rPr>
          <w:b/>
          <w:sz w:val="24"/>
          <w:szCs w:val="24"/>
          <w:lang w:val="es-ES_tradnl"/>
        </w:rPr>
        <w:t xml:space="preserve">La adopción de una ley basada en las premisas incorrectas  </w:t>
      </w:r>
    </w:p>
    <w:p w14:paraId="0000002E" w14:textId="77777777" w:rsidR="002A374E" w:rsidRPr="005B03F9" w:rsidRDefault="000D6ABD" w:rsidP="004B0CB1">
      <w:pPr>
        <w:spacing w:after="0" w:line="480" w:lineRule="auto"/>
        <w:jc w:val="both"/>
        <w:rPr>
          <w:rFonts w:eastAsia="Times New Roman"/>
          <w:sz w:val="24"/>
          <w:szCs w:val="24"/>
          <w:lang w:val="es-ES_tradnl"/>
        </w:rPr>
      </w:pPr>
      <w:r w:rsidRPr="005B03F9">
        <w:rPr>
          <w:rFonts w:eastAsia="Times New Roman"/>
          <w:sz w:val="24"/>
          <w:szCs w:val="24"/>
          <w:lang w:val="es-ES_tradnl"/>
        </w:rPr>
        <w:t xml:space="preserve"> </w:t>
      </w:r>
    </w:p>
    <w:p w14:paraId="0000002F" w14:textId="1B02B724" w:rsidR="002A374E" w:rsidRPr="005B03F9" w:rsidRDefault="000D6ABD" w:rsidP="004B0CB1">
      <w:pPr>
        <w:spacing w:after="0" w:line="480" w:lineRule="auto"/>
        <w:ind w:firstLine="709"/>
        <w:jc w:val="both"/>
        <w:rPr>
          <w:sz w:val="24"/>
          <w:szCs w:val="24"/>
          <w:lang w:val="es-ES_tradnl"/>
        </w:rPr>
      </w:pPr>
      <w:r w:rsidRPr="005B03F9">
        <w:rPr>
          <w:sz w:val="24"/>
          <w:szCs w:val="24"/>
          <w:lang w:val="es-ES_tradnl"/>
        </w:rPr>
        <w:t>Un recuento histórico demuestra que la</w:t>
      </w:r>
      <w:r w:rsidR="00D13F0F" w:rsidRPr="005B03F9">
        <w:rPr>
          <w:sz w:val="24"/>
          <w:szCs w:val="24"/>
          <w:lang w:val="es-ES_tradnl"/>
        </w:rPr>
        <w:t>s</w:t>
      </w:r>
      <w:r w:rsidRPr="005B03F9">
        <w:rPr>
          <w:sz w:val="24"/>
          <w:szCs w:val="24"/>
          <w:lang w:val="es-ES_tradnl"/>
        </w:rPr>
        <w:t xml:space="preserve"> reformas político electorales presentadas en 2022 y 2023 están basadas en las siguientes premisas:</w:t>
      </w:r>
      <w:r w:rsidRPr="005B03F9">
        <w:rPr>
          <w:sz w:val="24"/>
          <w:szCs w:val="24"/>
          <w:vertAlign w:val="superscript"/>
          <w:lang w:val="es-ES_tradnl"/>
        </w:rPr>
        <w:footnoteReference w:id="8"/>
      </w:r>
    </w:p>
    <w:p w14:paraId="00000030" w14:textId="77777777" w:rsidR="002A374E" w:rsidRPr="005B03F9" w:rsidRDefault="002A374E" w:rsidP="004B0CB1">
      <w:pPr>
        <w:spacing w:after="0" w:line="480" w:lineRule="auto"/>
        <w:jc w:val="both"/>
        <w:rPr>
          <w:sz w:val="24"/>
          <w:szCs w:val="24"/>
          <w:lang w:val="es-ES_tradnl"/>
        </w:rPr>
      </w:pPr>
    </w:p>
    <w:p w14:paraId="6144CBF4" w14:textId="5802181E" w:rsidR="00D13F0F" w:rsidRPr="00D232E3" w:rsidRDefault="000D6ABD" w:rsidP="00D232E3">
      <w:pPr>
        <w:numPr>
          <w:ilvl w:val="0"/>
          <w:numId w:val="2"/>
        </w:numPr>
        <w:spacing w:after="0" w:line="480" w:lineRule="auto"/>
        <w:jc w:val="both"/>
        <w:rPr>
          <w:rFonts w:eastAsia="Calibri"/>
          <w:sz w:val="24"/>
          <w:szCs w:val="24"/>
          <w:lang w:val="es-ES_tradnl"/>
        </w:rPr>
      </w:pPr>
      <w:r w:rsidRPr="005B03F9">
        <w:rPr>
          <w:sz w:val="24"/>
          <w:szCs w:val="24"/>
          <w:lang w:val="es-ES_tradnl"/>
        </w:rPr>
        <w:t xml:space="preserve">La premisa </w:t>
      </w:r>
      <w:r w:rsidR="00D13F0F" w:rsidRPr="005B03F9">
        <w:rPr>
          <w:sz w:val="24"/>
          <w:szCs w:val="24"/>
          <w:lang w:val="es-ES_tradnl"/>
        </w:rPr>
        <w:t>1</w:t>
      </w:r>
      <w:r w:rsidR="00A0456C" w:rsidRPr="005B03F9">
        <w:rPr>
          <w:sz w:val="24"/>
          <w:szCs w:val="24"/>
          <w:lang w:val="es-ES_tradnl"/>
        </w:rPr>
        <w:t>, a saber,</w:t>
      </w:r>
      <w:r w:rsidRPr="005B03F9">
        <w:rPr>
          <w:sz w:val="24"/>
          <w:szCs w:val="24"/>
          <w:lang w:val="es-ES_tradnl"/>
        </w:rPr>
        <w:t xml:space="preserve"> el I</w:t>
      </w:r>
      <w:r w:rsidR="00D13F0F" w:rsidRPr="005B03F9">
        <w:rPr>
          <w:sz w:val="24"/>
          <w:szCs w:val="24"/>
          <w:lang w:val="es-ES_tradnl"/>
        </w:rPr>
        <w:t xml:space="preserve">nstituto </w:t>
      </w:r>
      <w:r w:rsidRPr="005B03F9">
        <w:rPr>
          <w:sz w:val="24"/>
          <w:szCs w:val="24"/>
          <w:lang w:val="es-ES_tradnl"/>
        </w:rPr>
        <w:t>N</w:t>
      </w:r>
      <w:r w:rsidR="00D13F0F" w:rsidRPr="005B03F9">
        <w:rPr>
          <w:sz w:val="24"/>
          <w:szCs w:val="24"/>
          <w:lang w:val="es-ES_tradnl"/>
        </w:rPr>
        <w:t xml:space="preserve">acional </w:t>
      </w:r>
      <w:r w:rsidRPr="005B03F9">
        <w:rPr>
          <w:sz w:val="24"/>
          <w:szCs w:val="24"/>
          <w:lang w:val="es-ES_tradnl"/>
        </w:rPr>
        <w:t>E</w:t>
      </w:r>
      <w:r w:rsidR="00D13F0F" w:rsidRPr="005B03F9">
        <w:rPr>
          <w:sz w:val="24"/>
          <w:szCs w:val="24"/>
          <w:lang w:val="es-ES_tradnl"/>
        </w:rPr>
        <w:t>lectoral</w:t>
      </w:r>
      <w:r w:rsidRPr="005B03F9">
        <w:rPr>
          <w:sz w:val="24"/>
          <w:szCs w:val="24"/>
          <w:lang w:val="es-ES_tradnl"/>
        </w:rPr>
        <w:t xml:space="preserve"> es una institución que ha sido indebidamente cooptada por intereses partidistas y todas aquellas elecciones en donde el partido gobernante en turno no ha triunfado se debe a que la autoridad electoral ha sido artífice del fraude. </w:t>
      </w:r>
    </w:p>
    <w:p w14:paraId="00000032" w14:textId="282528D5" w:rsidR="002A374E" w:rsidRPr="005B03F9" w:rsidRDefault="000D6ABD" w:rsidP="004B0CB1">
      <w:pPr>
        <w:numPr>
          <w:ilvl w:val="0"/>
          <w:numId w:val="2"/>
        </w:numPr>
        <w:spacing w:after="0" w:line="480" w:lineRule="auto"/>
        <w:jc w:val="both"/>
        <w:rPr>
          <w:rFonts w:eastAsia="Calibri"/>
          <w:sz w:val="24"/>
          <w:szCs w:val="24"/>
          <w:lang w:val="es-ES_tradnl"/>
        </w:rPr>
      </w:pPr>
      <w:r w:rsidRPr="005B03F9">
        <w:rPr>
          <w:sz w:val="24"/>
          <w:szCs w:val="24"/>
          <w:lang w:val="es-ES_tradnl"/>
        </w:rPr>
        <w:lastRenderedPageBreak/>
        <w:t>La premisa</w:t>
      </w:r>
      <w:r w:rsidR="00A0456C" w:rsidRPr="005B03F9">
        <w:rPr>
          <w:sz w:val="24"/>
          <w:szCs w:val="24"/>
          <w:lang w:val="es-ES_tradnl"/>
        </w:rPr>
        <w:t xml:space="preserve"> 2,</w:t>
      </w:r>
      <w:r w:rsidRPr="005B03F9">
        <w:rPr>
          <w:sz w:val="24"/>
          <w:szCs w:val="24"/>
          <w:lang w:val="es-ES_tradnl"/>
        </w:rPr>
        <w:t xml:space="preserve"> la estructura administrativa, los recursos presupuestales y el servicio civil de carrera previos a la reforma no son componentes esenciales para la operación del INE.  </w:t>
      </w:r>
    </w:p>
    <w:p w14:paraId="00000033" w14:textId="77777777" w:rsidR="002A374E" w:rsidRPr="005B03F9" w:rsidRDefault="000D6ABD" w:rsidP="004B0CB1">
      <w:pPr>
        <w:spacing w:after="0" w:line="480" w:lineRule="auto"/>
        <w:jc w:val="both"/>
        <w:rPr>
          <w:rFonts w:eastAsia="Times New Roman"/>
          <w:sz w:val="24"/>
          <w:szCs w:val="24"/>
          <w:lang w:val="es-ES_tradnl"/>
        </w:rPr>
      </w:pPr>
      <w:r w:rsidRPr="005B03F9">
        <w:rPr>
          <w:rFonts w:eastAsia="Times New Roman"/>
          <w:sz w:val="24"/>
          <w:szCs w:val="24"/>
          <w:lang w:val="es-ES_tradnl"/>
        </w:rPr>
        <w:t xml:space="preserve"> </w:t>
      </w:r>
    </w:p>
    <w:p w14:paraId="00000034" w14:textId="77777777" w:rsidR="002A374E" w:rsidRPr="005B03F9" w:rsidRDefault="000D6ABD" w:rsidP="004B0CB1">
      <w:pPr>
        <w:spacing w:after="0" w:line="480" w:lineRule="auto"/>
        <w:ind w:firstLine="709"/>
        <w:jc w:val="both"/>
        <w:rPr>
          <w:sz w:val="24"/>
          <w:szCs w:val="24"/>
          <w:lang w:val="es-ES_tradnl"/>
        </w:rPr>
      </w:pPr>
      <w:r w:rsidRPr="005B03F9">
        <w:rPr>
          <w:sz w:val="24"/>
          <w:szCs w:val="24"/>
          <w:lang w:val="es-ES_tradnl"/>
        </w:rPr>
        <w:t xml:space="preserve">Con respecto a la función del INE en materia de </w:t>
      </w:r>
      <w:proofErr w:type="spellStart"/>
      <w:r w:rsidRPr="005B03F9">
        <w:rPr>
          <w:sz w:val="24"/>
          <w:szCs w:val="24"/>
          <w:lang w:val="es-ES_tradnl"/>
        </w:rPr>
        <w:t>redistritación</w:t>
      </w:r>
      <w:proofErr w:type="spellEnd"/>
      <w:r w:rsidRPr="005B03F9">
        <w:rPr>
          <w:sz w:val="24"/>
          <w:szCs w:val="24"/>
          <w:lang w:val="es-ES_tradnl"/>
        </w:rPr>
        <w:t>, dichas premisas contradicen la evidencia basada en estudios técnicos y académicos:</w:t>
      </w:r>
    </w:p>
    <w:p w14:paraId="00000035" w14:textId="77777777" w:rsidR="002A374E" w:rsidRPr="005B03F9" w:rsidRDefault="002A374E" w:rsidP="004B0CB1">
      <w:pPr>
        <w:spacing w:after="0" w:line="480" w:lineRule="auto"/>
        <w:jc w:val="both"/>
        <w:rPr>
          <w:sz w:val="24"/>
          <w:szCs w:val="24"/>
          <w:lang w:val="es-ES_tradnl"/>
        </w:rPr>
      </w:pPr>
    </w:p>
    <w:p w14:paraId="090819BF" w14:textId="6F89987D" w:rsidR="00EE21D3" w:rsidRPr="00D232E3" w:rsidRDefault="000D6ABD" w:rsidP="00D232E3">
      <w:pPr>
        <w:numPr>
          <w:ilvl w:val="0"/>
          <w:numId w:val="1"/>
        </w:numPr>
        <w:spacing w:after="0" w:line="480" w:lineRule="auto"/>
        <w:jc w:val="both"/>
        <w:rPr>
          <w:rFonts w:eastAsia="Calibri"/>
          <w:sz w:val="24"/>
          <w:szCs w:val="24"/>
          <w:lang w:val="es-ES_tradnl"/>
        </w:rPr>
      </w:pPr>
      <w:r w:rsidRPr="005B03F9">
        <w:rPr>
          <w:sz w:val="24"/>
          <w:szCs w:val="24"/>
          <w:lang w:val="es-ES_tradnl"/>
        </w:rPr>
        <w:t>La literatura académica y las evaluaciones internacionales</w:t>
      </w:r>
      <w:r w:rsidR="00EE21D3" w:rsidRPr="005B03F9">
        <w:rPr>
          <w:sz w:val="24"/>
          <w:szCs w:val="24"/>
          <w:lang w:val="es-ES_tradnl"/>
        </w:rPr>
        <w:t>,</w:t>
      </w:r>
      <w:r w:rsidRPr="005B03F9">
        <w:rPr>
          <w:sz w:val="24"/>
          <w:szCs w:val="24"/>
          <w:lang w:val="es-ES_tradnl"/>
        </w:rPr>
        <w:t xml:space="preserve"> sistemáticamente muestran que </w:t>
      </w:r>
      <w:r w:rsidRPr="005B03F9">
        <w:rPr>
          <w:b/>
          <w:bCs/>
          <w:sz w:val="24"/>
          <w:szCs w:val="24"/>
          <w:lang w:val="es-ES_tradnl"/>
        </w:rPr>
        <w:t xml:space="preserve">no hay evidencia </w:t>
      </w:r>
      <w:r w:rsidR="00EE21D3" w:rsidRPr="005B03F9">
        <w:rPr>
          <w:b/>
          <w:bCs/>
          <w:sz w:val="24"/>
          <w:szCs w:val="24"/>
          <w:lang w:val="es-ES_tradnl"/>
        </w:rPr>
        <w:t>ni indicios</w:t>
      </w:r>
      <w:r w:rsidR="00EE21D3" w:rsidRPr="005B03F9">
        <w:rPr>
          <w:sz w:val="24"/>
          <w:szCs w:val="24"/>
          <w:lang w:val="es-ES_tradnl"/>
        </w:rPr>
        <w:t xml:space="preserve"> </w:t>
      </w:r>
      <w:r w:rsidRPr="005B03F9">
        <w:rPr>
          <w:sz w:val="24"/>
          <w:szCs w:val="24"/>
          <w:lang w:val="es-ES_tradnl"/>
        </w:rPr>
        <w:t>que</w:t>
      </w:r>
      <w:r w:rsidR="00EE21D3" w:rsidRPr="005B03F9">
        <w:rPr>
          <w:sz w:val="24"/>
          <w:szCs w:val="24"/>
          <w:lang w:val="es-ES_tradnl"/>
        </w:rPr>
        <w:t xml:space="preserve"> señale</w:t>
      </w:r>
      <w:r w:rsidR="00E265F2" w:rsidRPr="005B03F9">
        <w:rPr>
          <w:sz w:val="24"/>
          <w:szCs w:val="24"/>
          <w:lang w:val="es-ES_tradnl"/>
        </w:rPr>
        <w:t>n que</w:t>
      </w:r>
      <w:r w:rsidRPr="005B03F9">
        <w:rPr>
          <w:sz w:val="24"/>
          <w:szCs w:val="24"/>
          <w:lang w:val="es-ES_tradnl"/>
        </w:rPr>
        <w:t xml:space="preserve"> el INE haya sido objeto de manipulación por ningún actor político</w:t>
      </w:r>
      <w:r w:rsidR="00E265F2" w:rsidRPr="005B03F9">
        <w:rPr>
          <w:sz w:val="24"/>
          <w:szCs w:val="24"/>
          <w:lang w:val="es-ES_tradnl"/>
        </w:rPr>
        <w:t>,</w:t>
      </w:r>
      <w:r w:rsidRPr="005B03F9">
        <w:rPr>
          <w:sz w:val="24"/>
          <w:szCs w:val="24"/>
          <w:lang w:val="es-ES_tradnl"/>
        </w:rPr>
        <w:t xml:space="preserve"> grupo de partidos</w:t>
      </w:r>
      <w:r w:rsidR="00E265F2" w:rsidRPr="005B03F9">
        <w:rPr>
          <w:sz w:val="24"/>
          <w:szCs w:val="24"/>
          <w:lang w:val="es-ES_tradnl"/>
        </w:rPr>
        <w:t xml:space="preserve"> o fuerzas políticas</w:t>
      </w:r>
      <w:r w:rsidRPr="005B03F9">
        <w:rPr>
          <w:sz w:val="24"/>
          <w:szCs w:val="24"/>
          <w:lang w:val="es-ES_tradnl"/>
        </w:rPr>
        <w:t xml:space="preserve"> durante los procesos de </w:t>
      </w:r>
      <w:proofErr w:type="spellStart"/>
      <w:r w:rsidRPr="005B03F9">
        <w:rPr>
          <w:sz w:val="24"/>
          <w:szCs w:val="24"/>
          <w:lang w:val="es-ES_tradnl"/>
        </w:rPr>
        <w:t>redistritación</w:t>
      </w:r>
      <w:proofErr w:type="spellEnd"/>
      <w:r w:rsidRPr="005B03F9">
        <w:rPr>
          <w:sz w:val="24"/>
          <w:szCs w:val="24"/>
          <w:lang w:val="es-ES_tradnl"/>
        </w:rPr>
        <w:t xml:space="preserve"> que han sido implementados desde hace aproximadamente dos décadas.</w:t>
      </w:r>
      <w:r w:rsidRPr="005B03F9">
        <w:rPr>
          <w:sz w:val="24"/>
          <w:szCs w:val="24"/>
          <w:vertAlign w:val="superscript"/>
          <w:lang w:val="es-ES_tradnl"/>
        </w:rPr>
        <w:footnoteReference w:id="9"/>
      </w:r>
      <w:r w:rsidRPr="005B03F9">
        <w:rPr>
          <w:sz w:val="24"/>
          <w:szCs w:val="24"/>
          <w:lang w:val="es-ES_tradnl"/>
        </w:rPr>
        <w:t xml:space="preserve"> </w:t>
      </w:r>
    </w:p>
    <w:p w14:paraId="00000037" w14:textId="16977D99" w:rsidR="002A374E" w:rsidRPr="005B03F9" w:rsidRDefault="000D6ABD" w:rsidP="004B0CB1">
      <w:pPr>
        <w:numPr>
          <w:ilvl w:val="0"/>
          <w:numId w:val="1"/>
        </w:numPr>
        <w:spacing w:after="0" w:line="480" w:lineRule="auto"/>
        <w:jc w:val="both"/>
        <w:rPr>
          <w:rFonts w:eastAsia="Calibri"/>
          <w:sz w:val="24"/>
          <w:szCs w:val="24"/>
          <w:lang w:val="es-ES_tradnl"/>
        </w:rPr>
      </w:pPr>
      <w:r w:rsidRPr="005B03F9">
        <w:rPr>
          <w:sz w:val="24"/>
          <w:szCs w:val="24"/>
          <w:lang w:val="es-ES_tradnl"/>
        </w:rPr>
        <w:t xml:space="preserve">Las investigaciones más recientes en materia de </w:t>
      </w:r>
      <w:proofErr w:type="spellStart"/>
      <w:r w:rsidRPr="005B03F9">
        <w:rPr>
          <w:sz w:val="24"/>
          <w:szCs w:val="24"/>
          <w:lang w:val="es-ES_tradnl"/>
        </w:rPr>
        <w:t>redistritación</w:t>
      </w:r>
      <w:proofErr w:type="spellEnd"/>
      <w:r w:rsidRPr="005B03F9">
        <w:rPr>
          <w:sz w:val="24"/>
          <w:szCs w:val="24"/>
          <w:lang w:val="es-ES_tradnl"/>
        </w:rPr>
        <w:t xml:space="preserve"> muestran que la mayoría de las propuestas elaboradas por los partidos políticos tienen un origen en las representaciones </w:t>
      </w:r>
      <w:r w:rsidR="00467A24" w:rsidRPr="005B03F9">
        <w:rPr>
          <w:sz w:val="24"/>
          <w:szCs w:val="24"/>
          <w:lang w:val="es-ES_tradnl"/>
        </w:rPr>
        <w:t>partidistas de las comisiones locales de vigilancia del Registro Federal de Electores</w:t>
      </w:r>
      <w:r w:rsidRPr="005B03F9">
        <w:rPr>
          <w:sz w:val="24"/>
          <w:szCs w:val="24"/>
          <w:vertAlign w:val="superscript"/>
          <w:lang w:val="es-ES_tradnl"/>
        </w:rPr>
        <w:footnoteReference w:id="10"/>
      </w:r>
      <w:r w:rsidRPr="005B03F9">
        <w:rPr>
          <w:sz w:val="24"/>
          <w:szCs w:val="24"/>
          <w:lang w:val="es-ES_tradnl"/>
        </w:rPr>
        <w:t xml:space="preserve"> –por ello, consideramos que debilitar la estructura administrativa del INE a nivel local afectará la capacidad de estas áreas de contribuir al proceso desde la perspectiva local.  </w:t>
      </w:r>
    </w:p>
    <w:p w14:paraId="2D505F7A" w14:textId="77777777" w:rsidR="00D45DB7" w:rsidRPr="005B03F9" w:rsidRDefault="000D6ABD" w:rsidP="004B0CB1">
      <w:pPr>
        <w:spacing w:after="0" w:line="480" w:lineRule="auto"/>
        <w:jc w:val="both"/>
        <w:rPr>
          <w:b/>
          <w:bCs/>
          <w:sz w:val="24"/>
          <w:szCs w:val="24"/>
          <w:lang w:val="es-ES_tradnl"/>
        </w:rPr>
      </w:pPr>
      <w:r w:rsidRPr="005B03F9">
        <w:rPr>
          <w:sz w:val="24"/>
          <w:szCs w:val="24"/>
          <w:lang w:val="es-ES_tradnl"/>
        </w:rPr>
        <w:br/>
        <w:t xml:space="preserve">        </w:t>
      </w:r>
      <w:r w:rsidRPr="005B03F9">
        <w:rPr>
          <w:sz w:val="24"/>
          <w:szCs w:val="24"/>
          <w:lang w:val="es-ES_tradnl"/>
        </w:rPr>
        <w:tab/>
        <w:t xml:space="preserve">Encontramos que </w:t>
      </w:r>
      <w:r w:rsidRPr="005B03F9">
        <w:rPr>
          <w:b/>
          <w:bCs/>
          <w:sz w:val="24"/>
          <w:szCs w:val="24"/>
          <w:lang w:val="es-ES_tradnl"/>
        </w:rPr>
        <w:t xml:space="preserve">las reformas político electorales están sustentadas en premisas falsas. </w:t>
      </w:r>
    </w:p>
    <w:p w14:paraId="5E3078A3" w14:textId="77777777" w:rsidR="00D45DB7" w:rsidRPr="005B03F9" w:rsidRDefault="00D45DB7" w:rsidP="004B0CB1">
      <w:pPr>
        <w:spacing w:after="0" w:line="480" w:lineRule="auto"/>
        <w:jc w:val="both"/>
        <w:rPr>
          <w:sz w:val="24"/>
          <w:szCs w:val="24"/>
          <w:lang w:val="es-ES_tradnl"/>
        </w:rPr>
      </w:pPr>
    </w:p>
    <w:p w14:paraId="00000038" w14:textId="11109C77" w:rsidR="002A374E" w:rsidRPr="005B03F9" w:rsidRDefault="00D45DB7" w:rsidP="004B0CB1">
      <w:pPr>
        <w:spacing w:after="0" w:line="480" w:lineRule="auto"/>
        <w:ind w:firstLine="709"/>
        <w:jc w:val="both"/>
        <w:rPr>
          <w:sz w:val="24"/>
          <w:szCs w:val="24"/>
          <w:lang w:val="es-ES_tradnl"/>
        </w:rPr>
      </w:pPr>
      <w:r w:rsidRPr="005B03F9">
        <w:rPr>
          <w:sz w:val="24"/>
          <w:szCs w:val="24"/>
          <w:lang w:val="es-ES_tradnl"/>
        </w:rPr>
        <w:t>Así, b</w:t>
      </w:r>
      <w:r w:rsidR="000D6ABD" w:rsidRPr="005B03F9">
        <w:rPr>
          <w:sz w:val="24"/>
          <w:szCs w:val="24"/>
          <w:lang w:val="es-ES_tradnl"/>
        </w:rPr>
        <w:t xml:space="preserve">asándonos en la evidencia empírica, y en nuestro juicio como personas expertas en materia electoral, concluimos que, de declararse la constitucionalidad </w:t>
      </w:r>
      <w:r w:rsidR="000D6ABD" w:rsidRPr="005B03F9">
        <w:rPr>
          <w:sz w:val="24"/>
          <w:szCs w:val="24"/>
          <w:lang w:val="es-ES_tradnl"/>
        </w:rPr>
        <w:lastRenderedPageBreak/>
        <w:t xml:space="preserve">de dichas reformas, se socavarían los principios que estas reformas, en principio, están tratando de solventar. </w:t>
      </w:r>
    </w:p>
    <w:p w14:paraId="00000039" w14:textId="77777777" w:rsidR="002A374E" w:rsidRPr="005B03F9" w:rsidRDefault="000D6ABD" w:rsidP="004B0CB1">
      <w:pPr>
        <w:spacing w:after="0" w:line="480" w:lineRule="auto"/>
        <w:jc w:val="both"/>
        <w:rPr>
          <w:rFonts w:eastAsia="Times New Roman"/>
          <w:sz w:val="24"/>
          <w:szCs w:val="24"/>
          <w:lang w:val="es-ES_tradnl"/>
        </w:rPr>
      </w:pPr>
      <w:r w:rsidRPr="005B03F9">
        <w:rPr>
          <w:rFonts w:eastAsia="Times New Roman"/>
          <w:sz w:val="24"/>
          <w:szCs w:val="24"/>
          <w:lang w:val="es-ES_tradnl"/>
        </w:rPr>
        <w:t xml:space="preserve"> </w:t>
      </w:r>
    </w:p>
    <w:p w14:paraId="0000003A" w14:textId="28936602" w:rsidR="002A374E" w:rsidRPr="005B03F9" w:rsidRDefault="00D45DB7" w:rsidP="004B0CB1">
      <w:pPr>
        <w:spacing w:after="0" w:line="480" w:lineRule="auto"/>
        <w:ind w:firstLine="709"/>
        <w:jc w:val="both"/>
        <w:rPr>
          <w:b/>
          <w:sz w:val="24"/>
          <w:szCs w:val="24"/>
          <w:lang w:val="es-ES_tradnl"/>
        </w:rPr>
      </w:pPr>
      <w:r w:rsidRPr="005B03F9">
        <w:rPr>
          <w:b/>
          <w:sz w:val="24"/>
          <w:szCs w:val="24"/>
          <w:lang w:val="es-ES_tradnl"/>
        </w:rPr>
        <w:t xml:space="preserve">C. </w:t>
      </w:r>
      <w:r w:rsidR="000D6ABD" w:rsidRPr="005B03F9">
        <w:rPr>
          <w:b/>
          <w:sz w:val="24"/>
          <w:szCs w:val="24"/>
          <w:lang w:val="es-ES_tradnl"/>
        </w:rPr>
        <w:t>Validar esta reforma puede afectar de manera sustancial la capacidad del INE de operar de manera imparcial, efectiv</w:t>
      </w:r>
      <w:r w:rsidR="004678AC" w:rsidRPr="005B03F9">
        <w:rPr>
          <w:b/>
          <w:sz w:val="24"/>
          <w:szCs w:val="24"/>
          <w:lang w:val="es-ES_tradnl"/>
        </w:rPr>
        <w:t>a</w:t>
      </w:r>
      <w:r w:rsidR="000D6ABD" w:rsidRPr="005B03F9">
        <w:rPr>
          <w:b/>
          <w:sz w:val="24"/>
          <w:szCs w:val="24"/>
          <w:lang w:val="es-ES_tradnl"/>
        </w:rPr>
        <w:t>, e independiente</w:t>
      </w:r>
    </w:p>
    <w:p w14:paraId="0000003B" w14:textId="77777777" w:rsidR="002A374E" w:rsidRPr="005B03F9" w:rsidRDefault="000D6ABD" w:rsidP="004B0CB1">
      <w:pPr>
        <w:spacing w:after="0" w:line="480" w:lineRule="auto"/>
        <w:jc w:val="both"/>
        <w:rPr>
          <w:rFonts w:eastAsia="Times New Roman"/>
          <w:sz w:val="24"/>
          <w:szCs w:val="24"/>
          <w:lang w:val="es-ES_tradnl"/>
        </w:rPr>
      </w:pPr>
      <w:r w:rsidRPr="005B03F9">
        <w:rPr>
          <w:rFonts w:eastAsia="Times New Roman"/>
          <w:sz w:val="24"/>
          <w:szCs w:val="24"/>
          <w:lang w:val="es-ES_tradnl"/>
        </w:rPr>
        <w:t xml:space="preserve"> </w:t>
      </w:r>
    </w:p>
    <w:p w14:paraId="0000003C" w14:textId="557E919B" w:rsidR="002A374E" w:rsidRPr="005B03F9" w:rsidRDefault="000D6ABD" w:rsidP="004B0CB1">
      <w:pPr>
        <w:spacing w:after="0" w:line="480" w:lineRule="auto"/>
        <w:ind w:firstLine="709"/>
        <w:jc w:val="both"/>
        <w:rPr>
          <w:sz w:val="24"/>
          <w:szCs w:val="24"/>
          <w:lang w:val="es-ES_tradnl"/>
        </w:rPr>
      </w:pPr>
      <w:r w:rsidRPr="005B03F9">
        <w:rPr>
          <w:sz w:val="24"/>
          <w:szCs w:val="24"/>
          <w:lang w:val="es-ES_tradnl"/>
        </w:rPr>
        <w:t>El trabajo académico basado en una revisión exhaustiva de datos abiertos al publico relacionados a las tendencias de votación y resultados electorales muestra que, de validarse esta reforma, es probable que se afecte la capacidad del I</w:t>
      </w:r>
      <w:r w:rsidR="00F50844" w:rsidRPr="005B03F9">
        <w:rPr>
          <w:sz w:val="24"/>
          <w:szCs w:val="24"/>
          <w:lang w:val="es-ES_tradnl"/>
        </w:rPr>
        <w:t>nstituto Nacional Electoral</w:t>
      </w:r>
      <w:r w:rsidRPr="005B03F9">
        <w:rPr>
          <w:sz w:val="24"/>
          <w:szCs w:val="24"/>
          <w:lang w:val="es-ES_tradnl"/>
        </w:rPr>
        <w:t xml:space="preserve"> de operar de una manera imparcial, efectiva e independiente. </w:t>
      </w:r>
    </w:p>
    <w:p w14:paraId="0000003D" w14:textId="77777777" w:rsidR="002A374E" w:rsidRPr="005B03F9" w:rsidRDefault="000D6ABD" w:rsidP="004B0CB1">
      <w:pPr>
        <w:spacing w:after="0" w:line="480" w:lineRule="auto"/>
        <w:jc w:val="both"/>
        <w:rPr>
          <w:rFonts w:eastAsia="Times New Roman"/>
          <w:sz w:val="24"/>
          <w:szCs w:val="24"/>
          <w:lang w:val="es-ES_tradnl"/>
        </w:rPr>
      </w:pPr>
      <w:r w:rsidRPr="005B03F9">
        <w:rPr>
          <w:rFonts w:eastAsia="Times New Roman"/>
          <w:sz w:val="24"/>
          <w:szCs w:val="24"/>
          <w:lang w:val="es-ES_tradnl"/>
        </w:rPr>
        <w:t xml:space="preserve"> </w:t>
      </w:r>
    </w:p>
    <w:p w14:paraId="0000003E" w14:textId="19C48B48" w:rsidR="002A374E" w:rsidRPr="005B03F9" w:rsidRDefault="000D6ABD" w:rsidP="004B0CB1">
      <w:pPr>
        <w:spacing w:after="0" w:line="480" w:lineRule="auto"/>
        <w:ind w:firstLine="720"/>
        <w:jc w:val="both"/>
        <w:rPr>
          <w:sz w:val="24"/>
          <w:szCs w:val="24"/>
          <w:lang w:val="es-ES_tradnl"/>
        </w:rPr>
      </w:pPr>
      <w:r w:rsidRPr="005B03F9">
        <w:rPr>
          <w:sz w:val="24"/>
          <w:szCs w:val="24"/>
          <w:lang w:val="es-ES_tradnl"/>
        </w:rPr>
        <w:t xml:space="preserve">En primer lugar, el tiempo </w:t>
      </w:r>
      <w:r w:rsidR="000C3ECA" w:rsidRPr="005B03F9">
        <w:rPr>
          <w:sz w:val="24"/>
          <w:szCs w:val="24"/>
          <w:lang w:val="es-ES_tradnl"/>
        </w:rPr>
        <w:t>en</w:t>
      </w:r>
      <w:r w:rsidRPr="005B03F9">
        <w:rPr>
          <w:sz w:val="24"/>
          <w:szCs w:val="24"/>
          <w:lang w:val="es-ES_tradnl"/>
        </w:rPr>
        <w:t xml:space="preserve"> el que este proceso ha sido implementado por el órgano electoral</w:t>
      </w:r>
      <w:r w:rsidR="000C3ECA" w:rsidRPr="005B03F9">
        <w:rPr>
          <w:sz w:val="24"/>
          <w:szCs w:val="24"/>
          <w:lang w:val="es-ES_tradnl"/>
        </w:rPr>
        <w:t xml:space="preserve"> (</w:t>
      </w:r>
      <w:proofErr w:type="spellStart"/>
      <w:r w:rsidRPr="005B03F9">
        <w:rPr>
          <w:sz w:val="24"/>
          <w:szCs w:val="24"/>
          <w:lang w:val="es-ES_tradnl"/>
        </w:rPr>
        <w:t>redistritación</w:t>
      </w:r>
      <w:proofErr w:type="spellEnd"/>
      <w:r w:rsidR="000C3ECA" w:rsidRPr="005B03F9">
        <w:rPr>
          <w:sz w:val="24"/>
          <w:szCs w:val="24"/>
          <w:lang w:val="es-ES_tradnl"/>
        </w:rPr>
        <w:t xml:space="preserve">), ha tenido como efecto general </w:t>
      </w:r>
      <w:r w:rsidRPr="005B03F9">
        <w:rPr>
          <w:sz w:val="24"/>
          <w:szCs w:val="24"/>
          <w:lang w:val="es-ES_tradnl"/>
        </w:rPr>
        <w:t>que los resultados electorales estén mejor balanceados al reducir los distintos efectos que puede tener la participación política a favor de un partido específico. Esto claramente se ha demostrado por un análisis estadístico comprensivo publicado por una de las revistas arbitradas de mayor prestigio en la disciplina. En este estudio se analiza la relación entre el agregado de votos y la distribución de escaños a nivel federal en México en el periodo 2003-2015.</w:t>
      </w:r>
      <w:r w:rsidRPr="005B03F9">
        <w:rPr>
          <w:sz w:val="24"/>
          <w:szCs w:val="24"/>
          <w:vertAlign w:val="superscript"/>
          <w:lang w:val="es-ES_tradnl"/>
        </w:rPr>
        <w:footnoteReference w:id="11"/>
      </w:r>
    </w:p>
    <w:p w14:paraId="0000003F" w14:textId="77777777" w:rsidR="002A374E" w:rsidRPr="005B03F9" w:rsidRDefault="000D6ABD" w:rsidP="004B0CB1">
      <w:pPr>
        <w:spacing w:after="0" w:line="480" w:lineRule="auto"/>
        <w:jc w:val="both"/>
        <w:rPr>
          <w:rFonts w:eastAsia="Times New Roman"/>
          <w:sz w:val="24"/>
          <w:szCs w:val="24"/>
          <w:lang w:val="es-ES_tradnl"/>
        </w:rPr>
      </w:pPr>
      <w:r w:rsidRPr="005B03F9">
        <w:rPr>
          <w:rFonts w:eastAsia="Times New Roman"/>
          <w:sz w:val="24"/>
          <w:szCs w:val="24"/>
          <w:lang w:val="es-ES_tradnl"/>
        </w:rPr>
        <w:t xml:space="preserve"> </w:t>
      </w:r>
    </w:p>
    <w:p w14:paraId="00000040" w14:textId="3A89AB29" w:rsidR="002A374E" w:rsidRPr="005B03F9" w:rsidRDefault="000D6ABD" w:rsidP="004B0CB1">
      <w:pPr>
        <w:spacing w:after="0" w:line="480" w:lineRule="auto"/>
        <w:ind w:firstLine="720"/>
        <w:jc w:val="both"/>
        <w:rPr>
          <w:sz w:val="24"/>
          <w:szCs w:val="24"/>
          <w:highlight w:val="white"/>
          <w:lang w:val="es-ES_tradnl"/>
        </w:rPr>
      </w:pPr>
      <w:r w:rsidRPr="005B03F9">
        <w:rPr>
          <w:sz w:val="24"/>
          <w:szCs w:val="24"/>
          <w:lang w:val="es-ES_tradnl"/>
        </w:rPr>
        <w:t xml:space="preserve">En segundo lugar, el análisis de todos los datos disponibles en los niveles (micro) más básicos de agregación geo-estadística, de la documentación relevante a los procesos más recientes de </w:t>
      </w:r>
      <w:proofErr w:type="spellStart"/>
      <w:r w:rsidRPr="005B03F9">
        <w:rPr>
          <w:sz w:val="24"/>
          <w:szCs w:val="24"/>
          <w:lang w:val="es-ES_tradnl"/>
        </w:rPr>
        <w:t>redistritación</w:t>
      </w:r>
      <w:proofErr w:type="spellEnd"/>
      <w:r w:rsidRPr="005B03F9">
        <w:rPr>
          <w:sz w:val="24"/>
          <w:szCs w:val="24"/>
          <w:lang w:val="es-ES_tradnl"/>
        </w:rPr>
        <w:t xml:space="preserve"> electoral y de los resultados electorales en el periodo 2013-2021 –incluidas todas las propuestas que fueron formuladas por los partidos políticos durante estos procesos– no encuentra evidencia de parcialidad, ni mucho menos de patrones de patología de sesgo partidista que hemos observado en los procesos de </w:t>
      </w:r>
      <w:proofErr w:type="spellStart"/>
      <w:r w:rsidRPr="005B03F9">
        <w:rPr>
          <w:sz w:val="24"/>
          <w:szCs w:val="24"/>
          <w:lang w:val="es-ES_tradnl"/>
        </w:rPr>
        <w:t>redistritación</w:t>
      </w:r>
      <w:proofErr w:type="spellEnd"/>
      <w:r w:rsidRPr="005B03F9">
        <w:rPr>
          <w:sz w:val="24"/>
          <w:szCs w:val="24"/>
          <w:lang w:val="es-ES_tradnl"/>
        </w:rPr>
        <w:t xml:space="preserve"> en países como E</w:t>
      </w:r>
      <w:r w:rsidR="004E30F9" w:rsidRPr="005B03F9">
        <w:rPr>
          <w:sz w:val="24"/>
          <w:szCs w:val="24"/>
          <w:lang w:val="es-ES_tradnl"/>
        </w:rPr>
        <w:t xml:space="preserve">stados </w:t>
      </w:r>
      <w:r w:rsidRPr="005B03F9">
        <w:rPr>
          <w:sz w:val="24"/>
          <w:szCs w:val="24"/>
          <w:lang w:val="es-ES_tradnl"/>
        </w:rPr>
        <w:t>U</w:t>
      </w:r>
      <w:r w:rsidR="004E30F9" w:rsidRPr="005B03F9">
        <w:rPr>
          <w:sz w:val="24"/>
          <w:szCs w:val="24"/>
          <w:lang w:val="es-ES_tradnl"/>
        </w:rPr>
        <w:t xml:space="preserve">nidos de </w:t>
      </w:r>
      <w:r w:rsidRPr="005B03F9">
        <w:rPr>
          <w:sz w:val="24"/>
          <w:szCs w:val="24"/>
          <w:lang w:val="es-ES_tradnl"/>
        </w:rPr>
        <w:t>A</w:t>
      </w:r>
      <w:r w:rsidR="004E30F9" w:rsidRPr="005B03F9">
        <w:rPr>
          <w:sz w:val="24"/>
          <w:szCs w:val="24"/>
          <w:lang w:val="es-ES_tradnl"/>
        </w:rPr>
        <w:t>mérica</w:t>
      </w:r>
      <w:r w:rsidRPr="005B03F9">
        <w:rPr>
          <w:sz w:val="24"/>
          <w:szCs w:val="24"/>
          <w:lang w:val="es-ES_tradnl"/>
        </w:rPr>
        <w:t xml:space="preserve"> o en otros contextos internacionales</w:t>
      </w:r>
      <w:r w:rsidRPr="005B03F9">
        <w:rPr>
          <w:sz w:val="24"/>
          <w:szCs w:val="24"/>
          <w:highlight w:val="white"/>
          <w:lang w:val="es-ES_tradnl"/>
        </w:rPr>
        <w:t>.</w:t>
      </w:r>
      <w:r w:rsidRPr="005B03F9">
        <w:rPr>
          <w:sz w:val="24"/>
          <w:szCs w:val="24"/>
          <w:highlight w:val="white"/>
          <w:vertAlign w:val="superscript"/>
          <w:lang w:val="es-ES_tradnl"/>
        </w:rPr>
        <w:footnoteReference w:id="12"/>
      </w:r>
      <w:r w:rsidRPr="005B03F9">
        <w:rPr>
          <w:sz w:val="24"/>
          <w:szCs w:val="24"/>
          <w:highlight w:val="white"/>
          <w:lang w:val="es-ES_tradnl"/>
        </w:rPr>
        <w:t xml:space="preserve"> </w:t>
      </w:r>
    </w:p>
    <w:p w14:paraId="00000041" w14:textId="77777777" w:rsidR="002A374E" w:rsidRPr="005B03F9" w:rsidRDefault="002A374E" w:rsidP="004B0CB1">
      <w:pPr>
        <w:spacing w:after="0" w:line="480" w:lineRule="auto"/>
        <w:ind w:firstLine="720"/>
        <w:jc w:val="both"/>
        <w:rPr>
          <w:sz w:val="24"/>
          <w:szCs w:val="24"/>
          <w:highlight w:val="white"/>
          <w:lang w:val="es-ES_tradnl"/>
        </w:rPr>
      </w:pPr>
    </w:p>
    <w:p w14:paraId="00000042" w14:textId="187D845C" w:rsidR="002A374E" w:rsidRPr="005B03F9" w:rsidRDefault="000D6ABD" w:rsidP="004B0CB1">
      <w:pPr>
        <w:spacing w:after="0" w:line="480" w:lineRule="auto"/>
        <w:ind w:firstLine="720"/>
        <w:jc w:val="both"/>
        <w:rPr>
          <w:sz w:val="24"/>
          <w:szCs w:val="24"/>
          <w:highlight w:val="white"/>
          <w:lang w:val="es-ES_tradnl"/>
        </w:rPr>
      </w:pPr>
      <w:r w:rsidRPr="005B03F9">
        <w:rPr>
          <w:sz w:val="24"/>
          <w:szCs w:val="24"/>
          <w:highlight w:val="white"/>
          <w:lang w:val="es-ES_tradnl"/>
        </w:rPr>
        <w:t>Adicionalmente, se ha demostrado que el diseño y la implementación del proceso por el INE no ha permitido que ningún partido tenga una ventaja significativa a través del trazo distrital. Al contrario, encontramos que lo que importa para garantizar la neutralidad del proceso han sido los criterios adoptados por el I</w:t>
      </w:r>
      <w:r w:rsidR="004E30F9" w:rsidRPr="005B03F9">
        <w:rPr>
          <w:sz w:val="24"/>
          <w:szCs w:val="24"/>
          <w:highlight w:val="white"/>
          <w:lang w:val="es-ES_tradnl"/>
        </w:rPr>
        <w:t xml:space="preserve">nstituto </w:t>
      </w:r>
      <w:r w:rsidRPr="005B03F9">
        <w:rPr>
          <w:sz w:val="24"/>
          <w:szCs w:val="24"/>
          <w:highlight w:val="white"/>
          <w:lang w:val="es-ES_tradnl"/>
        </w:rPr>
        <w:t>N</w:t>
      </w:r>
      <w:r w:rsidR="004E30F9" w:rsidRPr="005B03F9">
        <w:rPr>
          <w:sz w:val="24"/>
          <w:szCs w:val="24"/>
          <w:highlight w:val="white"/>
          <w:lang w:val="es-ES_tradnl"/>
        </w:rPr>
        <w:t xml:space="preserve">acional </w:t>
      </w:r>
      <w:r w:rsidRPr="005B03F9">
        <w:rPr>
          <w:sz w:val="24"/>
          <w:szCs w:val="24"/>
          <w:highlight w:val="white"/>
          <w:lang w:val="es-ES_tradnl"/>
        </w:rPr>
        <w:t>E</w:t>
      </w:r>
      <w:r w:rsidR="004E30F9" w:rsidRPr="005B03F9">
        <w:rPr>
          <w:sz w:val="24"/>
          <w:szCs w:val="24"/>
          <w:highlight w:val="white"/>
          <w:lang w:val="es-ES_tradnl"/>
        </w:rPr>
        <w:t>lectoral</w:t>
      </w:r>
      <w:r w:rsidRPr="005B03F9">
        <w:rPr>
          <w:sz w:val="24"/>
          <w:szCs w:val="24"/>
          <w:highlight w:val="white"/>
          <w:lang w:val="es-ES_tradnl"/>
        </w:rPr>
        <w:t>, su implementación, y el efecto que ha tenido el sistema de distritos electorales en moderar la volatilidad que genera el componente de representación proporcional del sistema electoral mixto en México.</w:t>
      </w:r>
      <w:r w:rsidRPr="005B03F9">
        <w:rPr>
          <w:sz w:val="24"/>
          <w:szCs w:val="24"/>
          <w:highlight w:val="white"/>
          <w:vertAlign w:val="superscript"/>
          <w:lang w:val="es-ES_tradnl"/>
        </w:rPr>
        <w:footnoteReference w:id="13"/>
      </w:r>
      <w:r w:rsidRPr="005B03F9">
        <w:rPr>
          <w:sz w:val="24"/>
          <w:szCs w:val="24"/>
          <w:highlight w:val="white"/>
          <w:lang w:val="es-ES_tradnl"/>
        </w:rPr>
        <w:t xml:space="preserve"> </w:t>
      </w:r>
    </w:p>
    <w:p w14:paraId="00000043" w14:textId="77777777" w:rsidR="002A374E" w:rsidRPr="005B03F9" w:rsidRDefault="000D6ABD" w:rsidP="004B0CB1">
      <w:pPr>
        <w:spacing w:after="0" w:line="480" w:lineRule="auto"/>
        <w:jc w:val="both"/>
        <w:rPr>
          <w:rFonts w:eastAsia="Times New Roman"/>
          <w:sz w:val="24"/>
          <w:szCs w:val="24"/>
          <w:lang w:val="es-ES_tradnl"/>
        </w:rPr>
      </w:pPr>
      <w:r w:rsidRPr="005B03F9">
        <w:rPr>
          <w:rFonts w:eastAsia="Times New Roman"/>
          <w:sz w:val="24"/>
          <w:szCs w:val="24"/>
          <w:lang w:val="es-ES_tradnl"/>
        </w:rPr>
        <w:t xml:space="preserve"> </w:t>
      </w:r>
    </w:p>
    <w:p w14:paraId="00000044" w14:textId="54CA9E1F" w:rsidR="002A374E" w:rsidRPr="005B03F9" w:rsidRDefault="000D6ABD" w:rsidP="004B0CB1">
      <w:pPr>
        <w:spacing w:after="0" w:line="480" w:lineRule="auto"/>
        <w:ind w:firstLine="720"/>
        <w:jc w:val="both"/>
        <w:rPr>
          <w:sz w:val="24"/>
          <w:szCs w:val="24"/>
          <w:highlight w:val="white"/>
          <w:lang w:val="es-ES_tradnl"/>
        </w:rPr>
      </w:pPr>
      <w:r w:rsidRPr="005B03F9">
        <w:rPr>
          <w:sz w:val="24"/>
          <w:szCs w:val="24"/>
          <w:highlight w:val="white"/>
          <w:lang w:val="es-ES_tradnl"/>
        </w:rPr>
        <w:t>A su vez, este análisis indica que las reglas utilizadas por el I</w:t>
      </w:r>
      <w:r w:rsidR="004E30F9" w:rsidRPr="005B03F9">
        <w:rPr>
          <w:sz w:val="24"/>
          <w:szCs w:val="24"/>
          <w:highlight w:val="white"/>
          <w:lang w:val="es-ES_tradnl"/>
        </w:rPr>
        <w:t xml:space="preserve">nstituto </w:t>
      </w:r>
      <w:r w:rsidRPr="005B03F9">
        <w:rPr>
          <w:sz w:val="24"/>
          <w:szCs w:val="24"/>
          <w:highlight w:val="white"/>
          <w:lang w:val="es-ES_tradnl"/>
        </w:rPr>
        <w:t>N</w:t>
      </w:r>
      <w:r w:rsidR="004E30F9" w:rsidRPr="005B03F9">
        <w:rPr>
          <w:sz w:val="24"/>
          <w:szCs w:val="24"/>
          <w:highlight w:val="white"/>
          <w:lang w:val="es-ES_tradnl"/>
        </w:rPr>
        <w:t xml:space="preserve">acional </w:t>
      </w:r>
      <w:r w:rsidRPr="005B03F9">
        <w:rPr>
          <w:sz w:val="24"/>
          <w:szCs w:val="24"/>
          <w:highlight w:val="white"/>
          <w:lang w:val="es-ES_tradnl"/>
        </w:rPr>
        <w:t>E</w:t>
      </w:r>
      <w:r w:rsidR="004E30F9" w:rsidRPr="005B03F9">
        <w:rPr>
          <w:sz w:val="24"/>
          <w:szCs w:val="24"/>
          <w:highlight w:val="white"/>
          <w:lang w:val="es-ES_tradnl"/>
        </w:rPr>
        <w:t>lectoral</w:t>
      </w:r>
      <w:r w:rsidRPr="005B03F9">
        <w:rPr>
          <w:sz w:val="24"/>
          <w:szCs w:val="24"/>
          <w:highlight w:val="white"/>
          <w:lang w:val="es-ES_tradnl"/>
        </w:rPr>
        <w:t xml:space="preserve"> han tenido un efecto estabilizador en la distribución de escaños legislativos. El análisis de cientos de contra propuestas elaboradas por los partidos políticos durante los procesos de </w:t>
      </w:r>
      <w:proofErr w:type="spellStart"/>
      <w:r w:rsidRPr="005B03F9">
        <w:rPr>
          <w:sz w:val="24"/>
          <w:szCs w:val="24"/>
          <w:highlight w:val="white"/>
          <w:lang w:val="es-ES_tradnl"/>
        </w:rPr>
        <w:t>redistritación</w:t>
      </w:r>
      <w:proofErr w:type="spellEnd"/>
      <w:r w:rsidRPr="005B03F9">
        <w:rPr>
          <w:sz w:val="24"/>
          <w:szCs w:val="24"/>
          <w:highlight w:val="white"/>
          <w:lang w:val="es-ES_tradnl"/>
        </w:rPr>
        <w:t xml:space="preserve"> confirma que la variación en la asignación de escaños fue limitada en gran medida por la forma en la que el </w:t>
      </w:r>
      <w:r w:rsidR="005F4D26" w:rsidRPr="005B03F9">
        <w:rPr>
          <w:sz w:val="24"/>
          <w:szCs w:val="24"/>
          <w:highlight w:val="white"/>
          <w:lang w:val="es-ES_tradnl"/>
        </w:rPr>
        <w:t>Instituto</w:t>
      </w:r>
      <w:r w:rsidR="003B2992" w:rsidRPr="005B03F9">
        <w:rPr>
          <w:sz w:val="24"/>
          <w:szCs w:val="24"/>
          <w:highlight w:val="white"/>
          <w:lang w:val="es-ES_tradnl"/>
        </w:rPr>
        <w:t xml:space="preserve"> </w:t>
      </w:r>
      <w:r w:rsidRPr="005B03F9">
        <w:rPr>
          <w:sz w:val="24"/>
          <w:szCs w:val="24"/>
          <w:highlight w:val="white"/>
          <w:lang w:val="es-ES_tradnl"/>
        </w:rPr>
        <w:t>N</w:t>
      </w:r>
      <w:r w:rsidR="003B2992" w:rsidRPr="005B03F9">
        <w:rPr>
          <w:sz w:val="24"/>
          <w:szCs w:val="24"/>
          <w:highlight w:val="white"/>
          <w:lang w:val="es-ES_tradnl"/>
        </w:rPr>
        <w:t xml:space="preserve">acional </w:t>
      </w:r>
      <w:r w:rsidRPr="005B03F9">
        <w:rPr>
          <w:sz w:val="24"/>
          <w:szCs w:val="24"/>
          <w:highlight w:val="white"/>
          <w:lang w:val="es-ES_tradnl"/>
        </w:rPr>
        <w:t>E</w:t>
      </w:r>
      <w:r w:rsidR="003B2992" w:rsidRPr="005B03F9">
        <w:rPr>
          <w:sz w:val="24"/>
          <w:szCs w:val="24"/>
          <w:highlight w:val="white"/>
          <w:lang w:val="es-ES_tradnl"/>
        </w:rPr>
        <w:t>lectoral</w:t>
      </w:r>
      <w:r w:rsidRPr="005B03F9">
        <w:rPr>
          <w:sz w:val="24"/>
          <w:szCs w:val="24"/>
          <w:highlight w:val="white"/>
          <w:lang w:val="es-ES_tradnl"/>
        </w:rPr>
        <w:t xml:space="preserve"> interpretó el marco constitucional, generó mapas de forma automatizada, oper</w:t>
      </w:r>
      <w:r w:rsidR="00E21D19" w:rsidRPr="005B03F9">
        <w:rPr>
          <w:sz w:val="24"/>
          <w:szCs w:val="24"/>
          <w:highlight w:val="white"/>
          <w:lang w:val="es-ES_tradnl"/>
        </w:rPr>
        <w:t>ó</w:t>
      </w:r>
      <w:r w:rsidRPr="005B03F9">
        <w:rPr>
          <w:sz w:val="24"/>
          <w:szCs w:val="24"/>
          <w:highlight w:val="white"/>
          <w:lang w:val="es-ES_tradnl"/>
        </w:rPr>
        <w:t xml:space="preserve"> los criterios de </w:t>
      </w:r>
      <w:proofErr w:type="spellStart"/>
      <w:r w:rsidRPr="005B03F9">
        <w:rPr>
          <w:sz w:val="24"/>
          <w:szCs w:val="24"/>
          <w:highlight w:val="white"/>
          <w:lang w:val="es-ES_tradnl"/>
        </w:rPr>
        <w:t>redistritación</w:t>
      </w:r>
      <w:proofErr w:type="spellEnd"/>
      <w:r w:rsidRPr="005B03F9">
        <w:rPr>
          <w:sz w:val="24"/>
          <w:szCs w:val="24"/>
          <w:highlight w:val="white"/>
          <w:lang w:val="es-ES_tradnl"/>
        </w:rPr>
        <w:t xml:space="preserve">, y condujo el proceso de </w:t>
      </w:r>
      <w:proofErr w:type="spellStart"/>
      <w:r w:rsidRPr="005B03F9">
        <w:rPr>
          <w:sz w:val="24"/>
          <w:szCs w:val="24"/>
          <w:highlight w:val="white"/>
          <w:lang w:val="es-ES_tradnl"/>
        </w:rPr>
        <w:t>redistritación</w:t>
      </w:r>
      <w:proofErr w:type="spellEnd"/>
      <w:r w:rsidRPr="005B03F9">
        <w:rPr>
          <w:sz w:val="24"/>
          <w:szCs w:val="24"/>
          <w:highlight w:val="white"/>
          <w:lang w:val="es-ES_tradnl"/>
        </w:rPr>
        <w:t xml:space="preserve">. </w:t>
      </w:r>
      <w:r w:rsidRPr="005B03F9">
        <w:rPr>
          <w:b/>
          <w:bCs/>
          <w:sz w:val="24"/>
          <w:szCs w:val="24"/>
          <w:highlight w:val="white"/>
          <w:lang w:val="es-ES_tradnl"/>
        </w:rPr>
        <w:t xml:space="preserve">La efectividad del órgano electoral mexicano está íntimamente relacionada a su capacidad técnica. </w:t>
      </w:r>
      <w:r w:rsidRPr="005B03F9">
        <w:rPr>
          <w:sz w:val="24"/>
          <w:szCs w:val="24"/>
          <w:highlight w:val="white"/>
          <w:lang w:val="es-ES_tradnl"/>
        </w:rPr>
        <w:t>Por ello, consideramos que las reformas político electorales de 2022-2023 ponen en riesgo la capacidad de que el I</w:t>
      </w:r>
      <w:r w:rsidR="00E21D19" w:rsidRPr="005B03F9">
        <w:rPr>
          <w:sz w:val="24"/>
          <w:szCs w:val="24"/>
          <w:highlight w:val="white"/>
          <w:lang w:val="es-ES_tradnl"/>
        </w:rPr>
        <w:t xml:space="preserve">nstituto </w:t>
      </w:r>
      <w:r w:rsidRPr="005B03F9">
        <w:rPr>
          <w:sz w:val="24"/>
          <w:szCs w:val="24"/>
          <w:highlight w:val="white"/>
          <w:lang w:val="es-ES_tradnl"/>
        </w:rPr>
        <w:t>N</w:t>
      </w:r>
      <w:r w:rsidR="00E21D19" w:rsidRPr="005B03F9">
        <w:rPr>
          <w:sz w:val="24"/>
          <w:szCs w:val="24"/>
          <w:highlight w:val="white"/>
          <w:lang w:val="es-ES_tradnl"/>
        </w:rPr>
        <w:t xml:space="preserve">acional </w:t>
      </w:r>
      <w:r w:rsidRPr="005B03F9">
        <w:rPr>
          <w:sz w:val="24"/>
          <w:szCs w:val="24"/>
          <w:highlight w:val="white"/>
          <w:lang w:val="es-ES_tradnl"/>
        </w:rPr>
        <w:t>E</w:t>
      </w:r>
      <w:r w:rsidR="00E21D19" w:rsidRPr="005B03F9">
        <w:rPr>
          <w:sz w:val="24"/>
          <w:szCs w:val="24"/>
          <w:highlight w:val="white"/>
          <w:lang w:val="es-ES_tradnl"/>
        </w:rPr>
        <w:t>lectoral</w:t>
      </w:r>
      <w:r w:rsidRPr="005B03F9">
        <w:rPr>
          <w:sz w:val="24"/>
          <w:szCs w:val="24"/>
          <w:highlight w:val="white"/>
          <w:lang w:val="es-ES_tradnl"/>
        </w:rPr>
        <w:t xml:space="preserve"> limite las acciones partidistas y conduzca con imparcialidad los procesos de </w:t>
      </w:r>
      <w:proofErr w:type="spellStart"/>
      <w:r w:rsidRPr="005B03F9">
        <w:rPr>
          <w:sz w:val="24"/>
          <w:szCs w:val="24"/>
          <w:highlight w:val="white"/>
          <w:lang w:val="es-ES_tradnl"/>
        </w:rPr>
        <w:t>redistritación</w:t>
      </w:r>
      <w:proofErr w:type="spellEnd"/>
      <w:r w:rsidRPr="005B03F9">
        <w:rPr>
          <w:sz w:val="24"/>
          <w:szCs w:val="24"/>
          <w:highlight w:val="white"/>
          <w:lang w:val="es-ES_tradnl"/>
        </w:rPr>
        <w:t xml:space="preserve"> en un futuro. </w:t>
      </w:r>
    </w:p>
    <w:p w14:paraId="00000045" w14:textId="77777777" w:rsidR="002A374E" w:rsidRPr="005B03F9" w:rsidRDefault="000D6ABD" w:rsidP="004B0CB1">
      <w:pPr>
        <w:spacing w:after="0" w:line="480" w:lineRule="auto"/>
        <w:jc w:val="both"/>
        <w:rPr>
          <w:rFonts w:eastAsia="Times New Roman"/>
          <w:sz w:val="24"/>
          <w:szCs w:val="24"/>
          <w:lang w:val="es-ES_tradnl"/>
        </w:rPr>
      </w:pPr>
      <w:r w:rsidRPr="005B03F9">
        <w:rPr>
          <w:rFonts w:eastAsia="Times New Roman"/>
          <w:sz w:val="24"/>
          <w:szCs w:val="24"/>
          <w:lang w:val="es-ES_tradnl"/>
        </w:rPr>
        <w:t xml:space="preserve"> </w:t>
      </w:r>
    </w:p>
    <w:p w14:paraId="00000046" w14:textId="308F9659" w:rsidR="002A374E" w:rsidRPr="005B03F9" w:rsidRDefault="000D6ABD" w:rsidP="004B0CB1">
      <w:pPr>
        <w:spacing w:after="0" w:line="480" w:lineRule="auto"/>
        <w:ind w:firstLine="720"/>
        <w:jc w:val="both"/>
        <w:rPr>
          <w:sz w:val="24"/>
          <w:szCs w:val="24"/>
          <w:highlight w:val="white"/>
          <w:lang w:val="es-ES_tradnl"/>
        </w:rPr>
      </w:pPr>
      <w:r w:rsidRPr="005B03F9">
        <w:rPr>
          <w:sz w:val="24"/>
          <w:szCs w:val="24"/>
          <w:highlight w:val="white"/>
          <w:lang w:val="es-ES_tradnl"/>
        </w:rPr>
        <w:t xml:space="preserve">En tercer lugar, en un análisis independiente emitido por la Comisión Europea (la Comisión de Venecia) se confirma que las reformas político electorales pueden poner en riesgo </w:t>
      </w:r>
      <w:r w:rsidRPr="005B03F9">
        <w:rPr>
          <w:i/>
          <w:iCs/>
          <w:sz w:val="24"/>
          <w:szCs w:val="24"/>
          <w:highlight w:val="white"/>
          <w:lang w:val="es-ES_tradnl"/>
        </w:rPr>
        <w:t>“la operación imparcial e independiente de la administración electoral en distintos niveles”</w:t>
      </w:r>
      <w:r w:rsidRPr="005B03F9">
        <w:rPr>
          <w:sz w:val="24"/>
          <w:szCs w:val="24"/>
          <w:highlight w:val="white"/>
          <w:lang w:val="es-ES_tradnl"/>
        </w:rPr>
        <w:t xml:space="preserve"> y que </w:t>
      </w:r>
      <w:r w:rsidRPr="005B03F9">
        <w:rPr>
          <w:i/>
          <w:iCs/>
          <w:sz w:val="24"/>
          <w:szCs w:val="24"/>
          <w:highlight w:val="white"/>
          <w:lang w:val="es-ES_tradnl"/>
        </w:rPr>
        <w:t>“la eliminación de las estructuras administrativas locales</w:t>
      </w:r>
      <w:r w:rsidRPr="005B03F9">
        <w:rPr>
          <w:sz w:val="24"/>
          <w:szCs w:val="24"/>
          <w:highlight w:val="white"/>
          <w:lang w:val="es-ES_tradnl"/>
        </w:rPr>
        <w:t xml:space="preserve"> </w:t>
      </w:r>
      <w:r w:rsidR="00A32929" w:rsidRPr="005B03F9">
        <w:rPr>
          <w:sz w:val="24"/>
          <w:szCs w:val="24"/>
          <w:highlight w:val="white"/>
          <w:lang w:val="es-ES_tradnl"/>
        </w:rPr>
        <w:t>(OPLES)</w:t>
      </w:r>
      <w:r w:rsidR="00A32929" w:rsidRPr="005B03F9">
        <w:rPr>
          <w:i/>
          <w:iCs/>
          <w:sz w:val="24"/>
          <w:szCs w:val="24"/>
          <w:highlight w:val="white"/>
          <w:lang w:val="es-ES_tradnl"/>
        </w:rPr>
        <w:t xml:space="preserve"> </w:t>
      </w:r>
      <w:r w:rsidRPr="005B03F9">
        <w:rPr>
          <w:i/>
          <w:iCs/>
          <w:sz w:val="24"/>
          <w:szCs w:val="24"/>
          <w:highlight w:val="white"/>
          <w:lang w:val="es-ES_tradnl"/>
        </w:rPr>
        <w:t>y la creación de estructuras temporales ad hoc tendrán un efecto negativo en la calidad de las elecciones en diferentes ámbitos”</w:t>
      </w:r>
      <w:r w:rsidRPr="005B03F9">
        <w:rPr>
          <w:sz w:val="24"/>
          <w:szCs w:val="24"/>
          <w:highlight w:val="white"/>
          <w:lang w:val="es-ES_tradnl"/>
        </w:rPr>
        <w:t>.</w:t>
      </w:r>
      <w:r w:rsidRPr="005B03F9">
        <w:rPr>
          <w:sz w:val="24"/>
          <w:szCs w:val="24"/>
          <w:highlight w:val="white"/>
          <w:vertAlign w:val="superscript"/>
          <w:lang w:val="es-ES_tradnl"/>
        </w:rPr>
        <w:footnoteReference w:id="14"/>
      </w:r>
      <w:r w:rsidR="005F4D26" w:rsidRPr="005B03F9">
        <w:rPr>
          <w:sz w:val="24"/>
          <w:szCs w:val="24"/>
          <w:highlight w:val="white"/>
          <w:lang w:val="es-ES_tradnl"/>
        </w:rPr>
        <w:t xml:space="preserve"> </w:t>
      </w:r>
      <w:r w:rsidR="005F4D26" w:rsidRPr="005B03F9">
        <w:rPr>
          <w:color w:val="000000" w:themeColor="text1"/>
          <w:sz w:val="24"/>
          <w:szCs w:val="24"/>
          <w:shd w:val="clear" w:color="auto" w:fill="FFFFFF"/>
          <w:lang w:val="es-ES"/>
        </w:rPr>
        <w:t xml:space="preserve">Si bien esta opinión no es vinculante, se suma a las resoluciones del Tribunal Electoral del Poder </w:t>
      </w:r>
      <w:r w:rsidR="005F4D26" w:rsidRPr="005B03F9">
        <w:rPr>
          <w:color w:val="000000" w:themeColor="text1"/>
          <w:sz w:val="24"/>
          <w:szCs w:val="24"/>
          <w:shd w:val="clear" w:color="auto" w:fill="FFFFFF"/>
          <w:lang w:val="es-ES"/>
        </w:rPr>
        <w:lastRenderedPageBreak/>
        <w:t>Judicial de la Federación (TEPJF) que han resguardado la operación independiente de las estructuras administrativas del INE. Consideramos que las instancias nacionales e internacionales encargadas de velar por los derechos político electorales y de representación democrática, coinciden en la necesidad de resguardar la autonomía de los órganos encargados de administrar los procesos electorales en México.</w:t>
      </w:r>
    </w:p>
    <w:p w14:paraId="00000047" w14:textId="77777777" w:rsidR="002A374E" w:rsidRPr="005B03F9" w:rsidRDefault="002A374E" w:rsidP="004B0CB1">
      <w:pPr>
        <w:spacing w:after="0" w:line="480" w:lineRule="auto"/>
        <w:ind w:firstLine="720"/>
        <w:jc w:val="both"/>
        <w:rPr>
          <w:sz w:val="24"/>
          <w:szCs w:val="24"/>
          <w:highlight w:val="white"/>
          <w:lang w:val="es-ES_tradnl"/>
        </w:rPr>
      </w:pPr>
    </w:p>
    <w:p w14:paraId="00000048" w14:textId="185B6873" w:rsidR="002A374E" w:rsidRPr="005B03F9" w:rsidRDefault="000D6ABD" w:rsidP="004B0CB1">
      <w:pPr>
        <w:spacing w:after="0" w:line="480" w:lineRule="auto"/>
        <w:ind w:firstLine="720"/>
        <w:jc w:val="both"/>
        <w:rPr>
          <w:sz w:val="24"/>
          <w:szCs w:val="24"/>
          <w:highlight w:val="white"/>
          <w:lang w:val="es-ES_tradnl"/>
        </w:rPr>
      </w:pPr>
      <w:r w:rsidRPr="005B03F9">
        <w:rPr>
          <w:sz w:val="24"/>
          <w:szCs w:val="24"/>
          <w:highlight w:val="white"/>
          <w:lang w:val="es-ES_tradnl"/>
        </w:rPr>
        <w:t>Por ejemplo, la reducción presupuestal, la reestructura administrativa y el desmantelamiento de la estructura territorial del I</w:t>
      </w:r>
      <w:r w:rsidR="0016634C" w:rsidRPr="005B03F9">
        <w:rPr>
          <w:sz w:val="24"/>
          <w:szCs w:val="24"/>
          <w:highlight w:val="white"/>
          <w:lang w:val="es-ES_tradnl"/>
        </w:rPr>
        <w:t xml:space="preserve">nstituto </w:t>
      </w:r>
      <w:r w:rsidRPr="005B03F9">
        <w:rPr>
          <w:sz w:val="24"/>
          <w:szCs w:val="24"/>
          <w:highlight w:val="white"/>
          <w:lang w:val="es-ES_tradnl"/>
        </w:rPr>
        <w:t>N</w:t>
      </w:r>
      <w:r w:rsidR="0016634C" w:rsidRPr="005B03F9">
        <w:rPr>
          <w:sz w:val="24"/>
          <w:szCs w:val="24"/>
          <w:highlight w:val="white"/>
          <w:lang w:val="es-ES_tradnl"/>
        </w:rPr>
        <w:t xml:space="preserve">acional </w:t>
      </w:r>
      <w:r w:rsidRPr="005B03F9">
        <w:rPr>
          <w:sz w:val="24"/>
          <w:szCs w:val="24"/>
          <w:highlight w:val="white"/>
          <w:lang w:val="es-ES_tradnl"/>
        </w:rPr>
        <w:t>E</w:t>
      </w:r>
      <w:r w:rsidR="0016634C" w:rsidRPr="005B03F9">
        <w:rPr>
          <w:sz w:val="24"/>
          <w:szCs w:val="24"/>
          <w:highlight w:val="white"/>
          <w:lang w:val="es-ES_tradnl"/>
        </w:rPr>
        <w:t>lectoral</w:t>
      </w:r>
      <w:r w:rsidRPr="005B03F9">
        <w:rPr>
          <w:sz w:val="24"/>
          <w:szCs w:val="24"/>
          <w:highlight w:val="white"/>
          <w:lang w:val="es-ES_tradnl"/>
        </w:rPr>
        <w:t xml:space="preserve"> planteada por la reforma electoral afectaría tanto la capacidad del Registro Federal de Electores de actualizar de manera oportuna la geografía electoral (actividad mejor conocida como el </w:t>
      </w:r>
      <w:r w:rsidRPr="005B03F9">
        <w:rPr>
          <w:i/>
          <w:iCs/>
          <w:sz w:val="24"/>
          <w:szCs w:val="24"/>
          <w:highlight w:val="white"/>
          <w:lang w:val="es-ES_tradnl"/>
        </w:rPr>
        <w:t>“</w:t>
      </w:r>
      <w:proofErr w:type="spellStart"/>
      <w:r w:rsidRPr="005B03F9">
        <w:rPr>
          <w:i/>
          <w:iCs/>
          <w:sz w:val="24"/>
          <w:szCs w:val="24"/>
          <w:highlight w:val="white"/>
          <w:lang w:val="es-ES_tradnl"/>
        </w:rPr>
        <w:t>reseccionamiento</w:t>
      </w:r>
      <w:proofErr w:type="spellEnd"/>
      <w:r w:rsidRPr="005B03F9">
        <w:rPr>
          <w:i/>
          <w:iCs/>
          <w:sz w:val="24"/>
          <w:szCs w:val="24"/>
          <w:highlight w:val="white"/>
          <w:lang w:val="es-ES_tradnl"/>
        </w:rPr>
        <w:t xml:space="preserve">”), </w:t>
      </w:r>
      <w:r w:rsidRPr="005B03F9">
        <w:rPr>
          <w:sz w:val="24"/>
          <w:szCs w:val="24"/>
          <w:highlight w:val="white"/>
          <w:lang w:val="es-ES_tradnl"/>
        </w:rPr>
        <w:t xml:space="preserve">así como de llevar a cabo las actividades relacionadas a las consultas a las comunidades indígenas durante los procesos de </w:t>
      </w:r>
      <w:proofErr w:type="spellStart"/>
      <w:r w:rsidRPr="005B03F9">
        <w:rPr>
          <w:sz w:val="24"/>
          <w:szCs w:val="24"/>
          <w:highlight w:val="white"/>
          <w:lang w:val="es-ES_tradnl"/>
        </w:rPr>
        <w:t>redistritación</w:t>
      </w:r>
      <w:proofErr w:type="spellEnd"/>
      <w:r w:rsidRPr="005B03F9">
        <w:rPr>
          <w:sz w:val="24"/>
          <w:szCs w:val="24"/>
          <w:highlight w:val="white"/>
          <w:lang w:val="es-ES_tradnl"/>
        </w:rPr>
        <w:t>.</w:t>
      </w:r>
      <w:r w:rsidRPr="005B03F9">
        <w:rPr>
          <w:sz w:val="24"/>
          <w:szCs w:val="24"/>
          <w:highlight w:val="white"/>
          <w:vertAlign w:val="superscript"/>
          <w:lang w:val="es-ES_tradnl"/>
        </w:rPr>
        <w:footnoteReference w:id="15"/>
      </w:r>
    </w:p>
    <w:p w14:paraId="00000049" w14:textId="77777777" w:rsidR="002A374E" w:rsidRPr="005B03F9" w:rsidRDefault="002A374E" w:rsidP="004B0CB1">
      <w:pPr>
        <w:spacing w:after="0" w:line="480" w:lineRule="auto"/>
        <w:ind w:firstLine="720"/>
        <w:jc w:val="both"/>
        <w:rPr>
          <w:sz w:val="24"/>
          <w:szCs w:val="24"/>
          <w:highlight w:val="white"/>
          <w:lang w:val="es-ES_tradnl"/>
        </w:rPr>
      </w:pPr>
    </w:p>
    <w:p w14:paraId="0000004A" w14:textId="0357FB7B" w:rsidR="002A374E" w:rsidRPr="005B03F9" w:rsidRDefault="000D6ABD" w:rsidP="004B0CB1">
      <w:pPr>
        <w:spacing w:after="0" w:line="480" w:lineRule="auto"/>
        <w:ind w:firstLine="720"/>
        <w:jc w:val="both"/>
        <w:rPr>
          <w:sz w:val="24"/>
          <w:szCs w:val="24"/>
          <w:highlight w:val="white"/>
          <w:lang w:val="es-ES_tradnl"/>
        </w:rPr>
      </w:pPr>
      <w:r w:rsidRPr="005B03F9">
        <w:rPr>
          <w:sz w:val="24"/>
          <w:szCs w:val="24"/>
          <w:highlight w:val="white"/>
          <w:lang w:val="es-ES_tradnl"/>
        </w:rPr>
        <w:t xml:space="preserve"> De acuerdo con la modificación propuesta a la normatividad electoral, la desaparición de </w:t>
      </w:r>
      <w:r w:rsidRPr="005B03F9">
        <w:rPr>
          <w:b/>
          <w:bCs/>
          <w:sz w:val="24"/>
          <w:szCs w:val="24"/>
          <w:highlight w:val="white"/>
          <w:lang w:val="es-ES_tradnl"/>
        </w:rPr>
        <w:t>las 300 Juntas Distritales</w:t>
      </w:r>
      <w:r w:rsidRPr="005B03F9">
        <w:rPr>
          <w:sz w:val="24"/>
          <w:szCs w:val="24"/>
          <w:highlight w:val="white"/>
          <w:lang w:val="es-ES_tradnl"/>
        </w:rPr>
        <w:t xml:space="preserve"> limitaría sustancialmente las tareas que estas estructuras administrativas a nivel distrital han desempeñado durante décadas. Los vocales del RFE a nivel distrital, por ejemplo, poseen una especialización y perfil técnico que es fundamental para la actualización y mantenimiento de la geografía electoral, compuesta por aproximadamente 69,000 secciones electorales.</w:t>
      </w:r>
      <w:r w:rsidRPr="005B03F9">
        <w:rPr>
          <w:sz w:val="24"/>
          <w:szCs w:val="24"/>
          <w:highlight w:val="white"/>
          <w:vertAlign w:val="superscript"/>
          <w:lang w:val="es-ES_tradnl"/>
        </w:rPr>
        <w:footnoteReference w:id="16"/>
      </w:r>
      <w:r w:rsidRPr="005B03F9">
        <w:rPr>
          <w:sz w:val="24"/>
          <w:szCs w:val="24"/>
          <w:highlight w:val="white"/>
          <w:lang w:val="es-ES_tradnl"/>
        </w:rPr>
        <w:t xml:space="preserve"> </w:t>
      </w:r>
      <w:r w:rsidRPr="005B03F9">
        <w:rPr>
          <w:b/>
          <w:bCs/>
          <w:sz w:val="24"/>
          <w:szCs w:val="24"/>
          <w:highlight w:val="white"/>
          <w:lang w:val="es-ES_tradnl"/>
        </w:rPr>
        <w:t>Estas unidades geoestadística</w:t>
      </w:r>
      <w:r w:rsidR="00F129F7" w:rsidRPr="005B03F9">
        <w:rPr>
          <w:b/>
          <w:bCs/>
          <w:sz w:val="24"/>
          <w:szCs w:val="24"/>
          <w:highlight w:val="white"/>
          <w:lang w:val="es-ES_tradnl"/>
        </w:rPr>
        <w:t>s,</w:t>
      </w:r>
      <w:r w:rsidRPr="005B03F9">
        <w:rPr>
          <w:b/>
          <w:bCs/>
          <w:sz w:val="24"/>
          <w:szCs w:val="24"/>
          <w:highlight w:val="white"/>
          <w:lang w:val="es-ES_tradnl"/>
        </w:rPr>
        <w:t xml:space="preserve"> conformadas por una población que oscila entre las 1,000 y 3,000 personas</w:t>
      </w:r>
      <w:r w:rsidR="00F129F7" w:rsidRPr="005B03F9">
        <w:rPr>
          <w:b/>
          <w:bCs/>
          <w:sz w:val="24"/>
          <w:szCs w:val="24"/>
          <w:highlight w:val="white"/>
          <w:lang w:val="es-ES_tradnl"/>
        </w:rPr>
        <w:t>,</w:t>
      </w:r>
      <w:r w:rsidRPr="005B03F9">
        <w:rPr>
          <w:b/>
          <w:bCs/>
          <w:sz w:val="24"/>
          <w:szCs w:val="24"/>
          <w:highlight w:val="white"/>
          <w:lang w:val="es-ES_tradnl"/>
        </w:rPr>
        <w:t xml:space="preserve"> son la base para la organización de las elecciones, la instalación de casillas, la conformación del padrón y para renovar los distritos electorales aproximadamente cada década. </w:t>
      </w:r>
      <w:r w:rsidRPr="005B03F9">
        <w:rPr>
          <w:sz w:val="24"/>
          <w:szCs w:val="24"/>
          <w:highlight w:val="white"/>
          <w:lang w:val="es-ES_tradnl"/>
        </w:rPr>
        <w:t xml:space="preserve">Gracias a la </w:t>
      </w:r>
      <w:proofErr w:type="spellStart"/>
      <w:r w:rsidRPr="005B03F9">
        <w:rPr>
          <w:sz w:val="24"/>
          <w:szCs w:val="24"/>
          <w:highlight w:val="white"/>
          <w:lang w:val="es-ES_tradnl"/>
        </w:rPr>
        <w:t>redistritación</w:t>
      </w:r>
      <w:proofErr w:type="spellEnd"/>
      <w:r w:rsidRPr="005B03F9">
        <w:rPr>
          <w:sz w:val="24"/>
          <w:szCs w:val="24"/>
          <w:highlight w:val="white"/>
          <w:lang w:val="es-ES_tradnl"/>
        </w:rPr>
        <w:t xml:space="preserve">, es posible garantizar el principio fundamental de igualdad del voto (también conocido como “una persona, un voto”). </w:t>
      </w:r>
    </w:p>
    <w:p w14:paraId="0000004B" w14:textId="77777777" w:rsidR="002A374E" w:rsidRPr="005B03F9" w:rsidRDefault="002A374E" w:rsidP="004B0CB1">
      <w:pPr>
        <w:spacing w:after="0" w:line="480" w:lineRule="auto"/>
        <w:ind w:firstLine="720"/>
        <w:jc w:val="both"/>
        <w:rPr>
          <w:sz w:val="24"/>
          <w:szCs w:val="24"/>
          <w:highlight w:val="white"/>
          <w:lang w:val="es-ES_tradnl"/>
        </w:rPr>
      </w:pPr>
    </w:p>
    <w:p w14:paraId="0000004C" w14:textId="4BC60B98" w:rsidR="002A374E" w:rsidRPr="005B03F9" w:rsidRDefault="000D6ABD" w:rsidP="004B0CB1">
      <w:pPr>
        <w:spacing w:after="0" w:line="480" w:lineRule="auto"/>
        <w:ind w:firstLine="720"/>
        <w:jc w:val="both"/>
        <w:rPr>
          <w:sz w:val="24"/>
          <w:szCs w:val="24"/>
          <w:highlight w:val="white"/>
          <w:lang w:val="es-ES_tradnl"/>
        </w:rPr>
      </w:pPr>
      <w:r w:rsidRPr="005B03F9">
        <w:rPr>
          <w:sz w:val="24"/>
          <w:szCs w:val="24"/>
          <w:highlight w:val="white"/>
          <w:lang w:val="es-ES_tradnl"/>
        </w:rPr>
        <w:t xml:space="preserve">A su vez, </w:t>
      </w:r>
      <w:r w:rsidRPr="005B03F9">
        <w:rPr>
          <w:b/>
          <w:bCs/>
          <w:sz w:val="24"/>
          <w:szCs w:val="24"/>
          <w:highlight w:val="white"/>
          <w:lang w:val="es-ES_tradnl"/>
        </w:rPr>
        <w:t xml:space="preserve">los vocales del registro en cada una de las 300 Juntas Distritales han sido los responsables de realizar las campañas de actualización, el levantamiento de la información en el campo y de realizar las consultas a las comunidades indígenas y grupos minoritarios como lo establece la Constitución. </w:t>
      </w:r>
      <w:r w:rsidRPr="005B03F9">
        <w:rPr>
          <w:sz w:val="24"/>
          <w:szCs w:val="24"/>
          <w:highlight w:val="white"/>
          <w:lang w:val="es-ES_tradnl"/>
        </w:rPr>
        <w:t xml:space="preserve">Por ejemplo, en el último proceso de </w:t>
      </w:r>
      <w:proofErr w:type="spellStart"/>
      <w:r w:rsidRPr="005B03F9">
        <w:rPr>
          <w:sz w:val="24"/>
          <w:szCs w:val="24"/>
          <w:highlight w:val="white"/>
          <w:lang w:val="es-ES_tradnl"/>
        </w:rPr>
        <w:t>redistritación</w:t>
      </w:r>
      <w:proofErr w:type="spellEnd"/>
      <w:r w:rsidRPr="005B03F9">
        <w:rPr>
          <w:sz w:val="24"/>
          <w:szCs w:val="24"/>
          <w:highlight w:val="white"/>
          <w:lang w:val="es-ES_tradnl"/>
        </w:rPr>
        <w:t xml:space="preserve">, la estructura territorial del INE a nivel distrital fue fundamental para organizar las 219 reuniones en los distritos en donde participaron 6,897 representantes de comunidades indígenas y afromexicanas. Estas actividades culminaron </w:t>
      </w:r>
      <w:r w:rsidR="004E3BF9" w:rsidRPr="005B03F9">
        <w:rPr>
          <w:sz w:val="24"/>
          <w:szCs w:val="24"/>
          <w:highlight w:val="white"/>
          <w:lang w:val="es-ES_tradnl"/>
        </w:rPr>
        <w:t>con</w:t>
      </w:r>
      <w:r w:rsidRPr="005B03F9">
        <w:rPr>
          <w:sz w:val="24"/>
          <w:szCs w:val="24"/>
          <w:highlight w:val="white"/>
          <w:lang w:val="es-ES_tradnl"/>
        </w:rPr>
        <w:t xml:space="preserve"> la creación de 44 distritos electorales federales de mayoría indígena y afromexicana (14.66% del total de los 300 distritos de mayoría relativa), así como 115 distritos electorales locales de mayoría indígena y afromexicana (16.93% del total de los 679 distritos de mayoría relativa).</w:t>
      </w:r>
      <w:r w:rsidRPr="005B03F9">
        <w:rPr>
          <w:sz w:val="24"/>
          <w:szCs w:val="24"/>
          <w:highlight w:val="white"/>
          <w:vertAlign w:val="superscript"/>
          <w:lang w:val="es-ES_tradnl"/>
        </w:rPr>
        <w:footnoteReference w:id="17"/>
      </w:r>
    </w:p>
    <w:p w14:paraId="0000004D" w14:textId="77777777" w:rsidR="002A374E" w:rsidRPr="005B03F9" w:rsidRDefault="000D6ABD" w:rsidP="004B0CB1">
      <w:pPr>
        <w:spacing w:after="0" w:line="480" w:lineRule="auto"/>
        <w:jc w:val="both"/>
        <w:rPr>
          <w:rFonts w:eastAsia="Times New Roman"/>
          <w:sz w:val="24"/>
          <w:szCs w:val="24"/>
          <w:lang w:val="es-ES_tradnl"/>
        </w:rPr>
      </w:pPr>
      <w:r w:rsidRPr="005B03F9">
        <w:rPr>
          <w:rFonts w:eastAsia="Times New Roman"/>
          <w:sz w:val="24"/>
          <w:szCs w:val="24"/>
          <w:lang w:val="es-ES_tradnl"/>
        </w:rPr>
        <w:t xml:space="preserve"> </w:t>
      </w:r>
    </w:p>
    <w:p w14:paraId="0000004E" w14:textId="7472D4AC" w:rsidR="002A374E" w:rsidRPr="005B03F9" w:rsidRDefault="000D6ABD" w:rsidP="004B0CB1">
      <w:pPr>
        <w:spacing w:after="0" w:line="480" w:lineRule="auto"/>
        <w:ind w:firstLine="720"/>
        <w:jc w:val="both"/>
        <w:rPr>
          <w:sz w:val="24"/>
          <w:szCs w:val="24"/>
          <w:lang w:val="es-ES"/>
        </w:rPr>
      </w:pPr>
      <w:r w:rsidRPr="005B03F9">
        <w:rPr>
          <w:sz w:val="24"/>
          <w:szCs w:val="24"/>
          <w:lang w:val="es-ES_tradnl"/>
        </w:rPr>
        <w:t>Por último, no hay evidencia en la literatura académica que demuestre que los trabajos de delimitación electoral llevados a cabo por el órgano electoral en las últimas dos décadas se hayan politizado, que hayan sido afectados de manera arbitraria por un partido o grupo de partidos, o que hayan favorecido la sobre</w:t>
      </w:r>
      <w:r w:rsidR="00416B1F" w:rsidRPr="005B03F9">
        <w:rPr>
          <w:sz w:val="24"/>
          <w:szCs w:val="24"/>
          <w:lang w:val="es-ES_tradnl"/>
        </w:rPr>
        <w:t>-</w:t>
      </w:r>
      <w:r w:rsidRPr="005B03F9">
        <w:rPr>
          <w:sz w:val="24"/>
          <w:szCs w:val="24"/>
          <w:lang w:val="es-ES_tradnl"/>
        </w:rPr>
        <w:t>representación de alguna de las fuerzas políticas a nivel federal y local.</w:t>
      </w:r>
      <w:r w:rsidRPr="005B03F9">
        <w:rPr>
          <w:sz w:val="24"/>
          <w:szCs w:val="24"/>
          <w:vertAlign w:val="superscript"/>
          <w:lang w:val="es-ES_tradnl"/>
        </w:rPr>
        <w:footnoteReference w:id="18"/>
      </w:r>
      <w:r w:rsidRPr="005B03F9">
        <w:rPr>
          <w:sz w:val="24"/>
          <w:szCs w:val="24"/>
          <w:lang w:val="es-ES_tradnl"/>
        </w:rPr>
        <w:t xml:space="preserve"> </w:t>
      </w:r>
      <w:r w:rsidR="005F4D26" w:rsidRPr="005B03F9">
        <w:rPr>
          <w:color w:val="000000" w:themeColor="text1"/>
          <w:sz w:val="24"/>
          <w:szCs w:val="24"/>
          <w:lang w:val="es-ES"/>
        </w:rPr>
        <w:t xml:space="preserve">El análisis histórico de las sentencias relacionadas a estos procesos muestran cómo la Sala Superior del TEPJF ha dado un peso muy importante a los fundamentos, motivaciones y justificación técnica utilizados por el INE para sustentar las decisiones tomadas en los procesos de </w:t>
      </w:r>
      <w:proofErr w:type="spellStart"/>
      <w:r w:rsidR="005F4D26" w:rsidRPr="005B03F9">
        <w:rPr>
          <w:color w:val="000000" w:themeColor="text1"/>
          <w:sz w:val="24"/>
          <w:szCs w:val="24"/>
          <w:lang w:val="es-ES"/>
        </w:rPr>
        <w:t>redistritación</w:t>
      </w:r>
      <w:proofErr w:type="spellEnd"/>
      <w:r w:rsidR="005F4D26" w:rsidRPr="005B03F9">
        <w:rPr>
          <w:color w:val="000000" w:themeColor="text1"/>
          <w:sz w:val="24"/>
          <w:szCs w:val="24"/>
          <w:lang w:val="es-ES"/>
        </w:rPr>
        <w:t xml:space="preserve">. Esto último demuestra que la </w:t>
      </w:r>
      <w:proofErr w:type="spellStart"/>
      <w:r w:rsidR="005F4D26" w:rsidRPr="005B03F9">
        <w:rPr>
          <w:color w:val="000000" w:themeColor="text1"/>
          <w:sz w:val="24"/>
          <w:szCs w:val="24"/>
          <w:lang w:val="es-ES"/>
        </w:rPr>
        <w:t>redistritación</w:t>
      </w:r>
      <w:proofErr w:type="spellEnd"/>
      <w:r w:rsidR="005F4D26" w:rsidRPr="005B03F9">
        <w:rPr>
          <w:color w:val="000000" w:themeColor="text1"/>
          <w:sz w:val="24"/>
          <w:szCs w:val="24"/>
          <w:lang w:val="es-ES"/>
        </w:rPr>
        <w:t xml:space="preserve"> es un proceso que ha sido ratificado no solo por la sede administrativa, sino también por la jurisdiccional.</w:t>
      </w:r>
      <w:r w:rsidR="005F4D26" w:rsidRPr="005B03F9">
        <w:rPr>
          <w:rStyle w:val="Refdenotaalpie"/>
          <w:color w:val="000000" w:themeColor="text1"/>
          <w:sz w:val="24"/>
          <w:szCs w:val="24"/>
          <w:lang w:val="es-ES"/>
        </w:rPr>
        <w:footnoteReference w:id="19"/>
      </w:r>
    </w:p>
    <w:p w14:paraId="0000004F" w14:textId="77777777" w:rsidR="002A374E" w:rsidRPr="005B03F9" w:rsidRDefault="000D6ABD" w:rsidP="004B0CB1">
      <w:pPr>
        <w:spacing w:after="0" w:line="480" w:lineRule="auto"/>
        <w:jc w:val="both"/>
        <w:rPr>
          <w:rFonts w:eastAsia="Times New Roman"/>
          <w:sz w:val="24"/>
          <w:szCs w:val="24"/>
          <w:lang w:val="es-ES_tradnl"/>
        </w:rPr>
      </w:pPr>
      <w:r w:rsidRPr="005B03F9">
        <w:rPr>
          <w:rFonts w:eastAsia="Times New Roman"/>
          <w:sz w:val="24"/>
          <w:szCs w:val="24"/>
          <w:lang w:val="es-ES_tradnl"/>
        </w:rPr>
        <w:t xml:space="preserve"> </w:t>
      </w:r>
    </w:p>
    <w:p w14:paraId="00000051" w14:textId="4FFD79A8" w:rsidR="002A374E" w:rsidRPr="005B03F9" w:rsidRDefault="000D6ABD" w:rsidP="004B0CB1">
      <w:pPr>
        <w:spacing w:after="0" w:line="480" w:lineRule="auto"/>
        <w:ind w:firstLine="720"/>
        <w:jc w:val="both"/>
        <w:rPr>
          <w:sz w:val="24"/>
          <w:szCs w:val="24"/>
          <w:lang w:val="es-ES_tradnl"/>
        </w:rPr>
      </w:pPr>
      <w:r w:rsidRPr="005B03F9">
        <w:rPr>
          <w:sz w:val="24"/>
          <w:szCs w:val="24"/>
          <w:lang w:val="es-ES_tradnl"/>
        </w:rPr>
        <w:t xml:space="preserve">Tampoco existe evidencia empírica que demuestre que la estructura administrativa a nivel local y distrital sea innecesaria pare el funcionamiento </w:t>
      </w:r>
      <w:r w:rsidRPr="005B03F9">
        <w:rPr>
          <w:sz w:val="24"/>
          <w:szCs w:val="24"/>
          <w:lang w:val="es-ES_tradnl"/>
        </w:rPr>
        <w:lastRenderedPageBreak/>
        <w:t xml:space="preserve">adecuado del árbitro electoral en la implementación de los procesos de </w:t>
      </w:r>
      <w:proofErr w:type="spellStart"/>
      <w:r w:rsidRPr="005B03F9">
        <w:rPr>
          <w:sz w:val="24"/>
          <w:szCs w:val="24"/>
          <w:lang w:val="es-ES_tradnl"/>
        </w:rPr>
        <w:t>redistritación</w:t>
      </w:r>
      <w:proofErr w:type="spellEnd"/>
      <w:r w:rsidRPr="005B03F9">
        <w:rPr>
          <w:sz w:val="24"/>
          <w:szCs w:val="24"/>
          <w:lang w:val="es-ES_tradnl"/>
        </w:rPr>
        <w:t xml:space="preserve"> o de la cual se pueda desprender que es necesario reducir sustancialmente el presupuesto del órgano electoral, tomando en cuenta su dimensión administrativa y ámbitos de responsabilidad, </w:t>
      </w:r>
      <w:r w:rsidR="00416B1F" w:rsidRPr="005B03F9">
        <w:rPr>
          <w:sz w:val="24"/>
          <w:szCs w:val="24"/>
          <w:lang w:val="es-ES_tradnl"/>
        </w:rPr>
        <w:t>sin afectar la</w:t>
      </w:r>
      <w:r w:rsidRPr="005B03F9">
        <w:rPr>
          <w:sz w:val="24"/>
          <w:szCs w:val="24"/>
          <w:lang w:val="es-ES_tradnl"/>
        </w:rPr>
        <w:t xml:space="preserve"> implementa</w:t>
      </w:r>
      <w:r w:rsidR="00416B1F" w:rsidRPr="005B03F9">
        <w:rPr>
          <w:sz w:val="24"/>
          <w:szCs w:val="24"/>
          <w:lang w:val="es-ES_tradnl"/>
        </w:rPr>
        <w:t>ción</w:t>
      </w:r>
      <w:r w:rsidRPr="005B03F9">
        <w:rPr>
          <w:sz w:val="24"/>
          <w:szCs w:val="24"/>
          <w:lang w:val="es-ES_tradnl"/>
        </w:rPr>
        <w:t xml:space="preserve"> eficiente</w:t>
      </w:r>
      <w:r w:rsidR="00416B1F" w:rsidRPr="005B03F9">
        <w:rPr>
          <w:sz w:val="24"/>
          <w:szCs w:val="24"/>
          <w:lang w:val="es-ES_tradnl"/>
        </w:rPr>
        <w:t xml:space="preserve"> de</w:t>
      </w:r>
      <w:r w:rsidRPr="005B03F9">
        <w:rPr>
          <w:sz w:val="24"/>
          <w:szCs w:val="24"/>
          <w:lang w:val="es-ES_tradnl"/>
        </w:rPr>
        <w:t xml:space="preserve"> este proceso clave para la representación política federal y local</w:t>
      </w:r>
      <w:r w:rsidR="00AF79EB" w:rsidRPr="005B03F9">
        <w:rPr>
          <w:sz w:val="24"/>
          <w:szCs w:val="24"/>
          <w:lang w:val="es-ES_tradnl"/>
        </w:rPr>
        <w:t xml:space="preserve"> (</w:t>
      </w:r>
      <w:proofErr w:type="spellStart"/>
      <w:r w:rsidR="00AF79EB" w:rsidRPr="005B03F9">
        <w:rPr>
          <w:sz w:val="24"/>
          <w:szCs w:val="24"/>
          <w:lang w:val="es-ES_tradnl"/>
        </w:rPr>
        <w:t>redistritación</w:t>
      </w:r>
      <w:proofErr w:type="spellEnd"/>
      <w:r w:rsidR="00AF79EB" w:rsidRPr="005B03F9">
        <w:rPr>
          <w:sz w:val="24"/>
          <w:szCs w:val="24"/>
          <w:lang w:val="es-ES_tradnl"/>
        </w:rPr>
        <w:t>)</w:t>
      </w:r>
      <w:r w:rsidRPr="005B03F9">
        <w:rPr>
          <w:sz w:val="24"/>
          <w:szCs w:val="24"/>
          <w:lang w:val="es-ES_tradnl"/>
        </w:rPr>
        <w:t xml:space="preserve">. </w:t>
      </w:r>
    </w:p>
    <w:p w14:paraId="00000052" w14:textId="77777777" w:rsidR="002A374E" w:rsidRPr="005B03F9" w:rsidRDefault="000D6ABD" w:rsidP="004B0CB1">
      <w:pPr>
        <w:spacing w:after="0" w:line="480" w:lineRule="auto"/>
        <w:jc w:val="both"/>
        <w:rPr>
          <w:rFonts w:eastAsia="Times New Roman"/>
          <w:sz w:val="24"/>
          <w:szCs w:val="24"/>
          <w:lang w:val="es-ES_tradnl"/>
        </w:rPr>
      </w:pPr>
      <w:r w:rsidRPr="005B03F9">
        <w:rPr>
          <w:rFonts w:eastAsia="Times New Roman"/>
          <w:sz w:val="24"/>
          <w:szCs w:val="24"/>
          <w:lang w:val="es-ES_tradnl"/>
        </w:rPr>
        <w:t xml:space="preserve"> </w:t>
      </w:r>
    </w:p>
    <w:p w14:paraId="00000053" w14:textId="67A727A0" w:rsidR="002A374E" w:rsidRPr="005B03F9" w:rsidRDefault="00416B1F" w:rsidP="004B0CB1">
      <w:pPr>
        <w:spacing w:after="0" w:line="480" w:lineRule="auto"/>
        <w:ind w:firstLine="709"/>
        <w:jc w:val="both"/>
        <w:rPr>
          <w:b/>
          <w:sz w:val="24"/>
          <w:szCs w:val="24"/>
          <w:lang w:val="es-ES_tradnl"/>
        </w:rPr>
      </w:pPr>
      <w:r w:rsidRPr="005B03F9">
        <w:rPr>
          <w:b/>
          <w:sz w:val="24"/>
          <w:szCs w:val="24"/>
          <w:lang w:val="es-ES_tradnl"/>
        </w:rPr>
        <w:t xml:space="preserve">2.- </w:t>
      </w:r>
      <w:r w:rsidR="000D6ABD" w:rsidRPr="005B03F9">
        <w:rPr>
          <w:b/>
          <w:sz w:val="24"/>
          <w:szCs w:val="24"/>
          <w:lang w:val="es-ES_tradnl"/>
        </w:rPr>
        <w:t xml:space="preserve">Conclusión </w:t>
      </w:r>
    </w:p>
    <w:p w14:paraId="00000054" w14:textId="77777777" w:rsidR="002A374E" w:rsidRPr="005B03F9" w:rsidRDefault="000D6ABD" w:rsidP="004B0CB1">
      <w:pPr>
        <w:spacing w:after="0" w:line="480" w:lineRule="auto"/>
        <w:ind w:firstLine="709"/>
        <w:jc w:val="both"/>
        <w:rPr>
          <w:rFonts w:eastAsia="Times New Roman"/>
          <w:sz w:val="24"/>
          <w:szCs w:val="24"/>
          <w:lang w:val="es-ES_tradnl"/>
        </w:rPr>
      </w:pPr>
      <w:r w:rsidRPr="005B03F9">
        <w:rPr>
          <w:rFonts w:eastAsia="Times New Roman"/>
          <w:sz w:val="24"/>
          <w:szCs w:val="24"/>
          <w:lang w:val="es-ES_tradnl"/>
        </w:rPr>
        <w:t xml:space="preserve"> </w:t>
      </w:r>
    </w:p>
    <w:p w14:paraId="00000055" w14:textId="3BC15165" w:rsidR="002A374E" w:rsidRPr="005B03F9" w:rsidRDefault="000D6ABD" w:rsidP="004B0CB1">
      <w:pPr>
        <w:spacing w:after="0" w:line="480" w:lineRule="auto"/>
        <w:ind w:firstLine="709"/>
        <w:jc w:val="both"/>
        <w:rPr>
          <w:sz w:val="24"/>
          <w:szCs w:val="24"/>
          <w:lang w:val="es-ES_tradnl"/>
        </w:rPr>
      </w:pPr>
      <w:r w:rsidRPr="005B03F9">
        <w:rPr>
          <w:sz w:val="24"/>
          <w:szCs w:val="24"/>
          <w:lang w:val="es-ES_tradnl"/>
        </w:rPr>
        <w:t>Reconociendo los desafíos y espacios de mejora, la administración electoral en México cuenta con el reconocimiento de expertos y organismos internacionales. El I</w:t>
      </w:r>
      <w:r w:rsidR="00B43750" w:rsidRPr="005B03F9">
        <w:rPr>
          <w:sz w:val="24"/>
          <w:szCs w:val="24"/>
          <w:lang w:val="es-ES_tradnl"/>
        </w:rPr>
        <w:t xml:space="preserve">nstituto </w:t>
      </w:r>
      <w:r w:rsidRPr="005B03F9">
        <w:rPr>
          <w:sz w:val="24"/>
          <w:szCs w:val="24"/>
          <w:lang w:val="es-ES_tradnl"/>
        </w:rPr>
        <w:t>N</w:t>
      </w:r>
      <w:r w:rsidR="00B43750" w:rsidRPr="005B03F9">
        <w:rPr>
          <w:sz w:val="24"/>
          <w:szCs w:val="24"/>
          <w:lang w:val="es-ES_tradnl"/>
        </w:rPr>
        <w:t xml:space="preserve">acional </w:t>
      </w:r>
      <w:r w:rsidRPr="005B03F9">
        <w:rPr>
          <w:sz w:val="24"/>
          <w:szCs w:val="24"/>
          <w:lang w:val="es-ES_tradnl"/>
        </w:rPr>
        <w:t>E</w:t>
      </w:r>
      <w:r w:rsidR="00B43750" w:rsidRPr="005B03F9">
        <w:rPr>
          <w:sz w:val="24"/>
          <w:szCs w:val="24"/>
          <w:lang w:val="es-ES_tradnl"/>
        </w:rPr>
        <w:t>lectoral</w:t>
      </w:r>
      <w:r w:rsidRPr="005B03F9">
        <w:rPr>
          <w:sz w:val="24"/>
          <w:szCs w:val="24"/>
          <w:lang w:val="es-ES_tradnl"/>
        </w:rPr>
        <w:t xml:space="preserve"> es un referente internacional de mejores prácticas. Aproximadamente</w:t>
      </w:r>
      <w:r w:rsidR="0006210F" w:rsidRPr="005B03F9">
        <w:rPr>
          <w:sz w:val="24"/>
          <w:szCs w:val="24"/>
          <w:lang w:val="es-ES_tradnl"/>
        </w:rPr>
        <w:t>,</w:t>
      </w:r>
      <w:r w:rsidRPr="005B03F9">
        <w:rPr>
          <w:sz w:val="24"/>
          <w:szCs w:val="24"/>
          <w:lang w:val="es-ES_tradnl"/>
        </w:rPr>
        <w:t xml:space="preserve"> cada década, el árbitro electoral ha cumplido el objetivo central de reducir la desproporcionalidad entre los distritos electorales y redistribu</w:t>
      </w:r>
      <w:r w:rsidR="0006210F" w:rsidRPr="005B03F9">
        <w:rPr>
          <w:sz w:val="24"/>
          <w:szCs w:val="24"/>
          <w:lang w:val="es-ES_tradnl"/>
        </w:rPr>
        <w:t>ir</w:t>
      </w:r>
      <w:r w:rsidRPr="005B03F9">
        <w:rPr>
          <w:sz w:val="24"/>
          <w:szCs w:val="24"/>
          <w:lang w:val="es-ES_tradnl"/>
        </w:rPr>
        <w:t xml:space="preserve"> a la población</w:t>
      </w:r>
      <w:r w:rsidR="0006210F" w:rsidRPr="005B03F9">
        <w:rPr>
          <w:sz w:val="24"/>
          <w:szCs w:val="24"/>
          <w:lang w:val="es-ES_tradnl"/>
        </w:rPr>
        <w:t>,</w:t>
      </w:r>
      <w:r w:rsidRPr="005B03F9">
        <w:rPr>
          <w:sz w:val="24"/>
          <w:szCs w:val="24"/>
          <w:lang w:val="es-ES_tradnl"/>
        </w:rPr>
        <w:t xml:space="preserve"> con el objeto de respetar el principio de proporcionalidad en distritos de mayoría relativa (una persona, un voto). Al utilizar su experiencia y objetividad para desarrollar un proceso sistematizado, ha actuado de manera imparcial generando estabilidad y fortaleciendo la democracia. En materia de </w:t>
      </w:r>
      <w:proofErr w:type="spellStart"/>
      <w:r w:rsidRPr="005B03F9">
        <w:rPr>
          <w:sz w:val="24"/>
          <w:szCs w:val="24"/>
          <w:lang w:val="es-ES_tradnl"/>
        </w:rPr>
        <w:t>redistritación</w:t>
      </w:r>
      <w:proofErr w:type="spellEnd"/>
      <w:r w:rsidRPr="005B03F9">
        <w:rPr>
          <w:sz w:val="24"/>
          <w:szCs w:val="24"/>
          <w:lang w:val="es-ES_tradnl"/>
        </w:rPr>
        <w:t>, el I</w:t>
      </w:r>
      <w:r w:rsidR="0006210F" w:rsidRPr="005B03F9">
        <w:rPr>
          <w:sz w:val="24"/>
          <w:szCs w:val="24"/>
          <w:lang w:val="es-ES_tradnl"/>
        </w:rPr>
        <w:t xml:space="preserve">nstituto </w:t>
      </w:r>
      <w:r w:rsidRPr="005B03F9">
        <w:rPr>
          <w:sz w:val="24"/>
          <w:szCs w:val="24"/>
          <w:lang w:val="es-ES_tradnl"/>
        </w:rPr>
        <w:t>N</w:t>
      </w:r>
      <w:r w:rsidR="0006210F" w:rsidRPr="005B03F9">
        <w:rPr>
          <w:sz w:val="24"/>
          <w:szCs w:val="24"/>
          <w:lang w:val="es-ES_tradnl"/>
        </w:rPr>
        <w:t xml:space="preserve">acional </w:t>
      </w:r>
      <w:r w:rsidRPr="005B03F9">
        <w:rPr>
          <w:sz w:val="24"/>
          <w:szCs w:val="24"/>
          <w:lang w:val="es-ES_tradnl"/>
        </w:rPr>
        <w:t>E</w:t>
      </w:r>
      <w:r w:rsidR="0006210F" w:rsidRPr="005B03F9">
        <w:rPr>
          <w:sz w:val="24"/>
          <w:szCs w:val="24"/>
          <w:lang w:val="es-ES_tradnl"/>
        </w:rPr>
        <w:t>lectoral</w:t>
      </w:r>
      <w:r w:rsidRPr="005B03F9">
        <w:rPr>
          <w:sz w:val="24"/>
          <w:szCs w:val="24"/>
          <w:lang w:val="es-ES_tradnl"/>
        </w:rPr>
        <w:t xml:space="preserve"> ha prevenido con efectividad que México entre en una dinámica similar a la que hemos observado en otros contextos, principalmente en E</w:t>
      </w:r>
      <w:r w:rsidR="004718A3" w:rsidRPr="005B03F9">
        <w:rPr>
          <w:sz w:val="24"/>
          <w:szCs w:val="24"/>
          <w:lang w:val="es-ES_tradnl"/>
        </w:rPr>
        <w:t xml:space="preserve">stados </w:t>
      </w:r>
      <w:r w:rsidRPr="005B03F9">
        <w:rPr>
          <w:sz w:val="24"/>
          <w:szCs w:val="24"/>
          <w:lang w:val="es-ES_tradnl"/>
        </w:rPr>
        <w:t>U</w:t>
      </w:r>
      <w:r w:rsidR="004718A3" w:rsidRPr="005B03F9">
        <w:rPr>
          <w:sz w:val="24"/>
          <w:szCs w:val="24"/>
          <w:lang w:val="es-ES_tradnl"/>
        </w:rPr>
        <w:t xml:space="preserve">nidos de </w:t>
      </w:r>
      <w:r w:rsidRPr="005B03F9">
        <w:rPr>
          <w:sz w:val="24"/>
          <w:szCs w:val="24"/>
          <w:lang w:val="es-ES_tradnl"/>
        </w:rPr>
        <w:t>A</w:t>
      </w:r>
      <w:r w:rsidR="004718A3" w:rsidRPr="005B03F9">
        <w:rPr>
          <w:sz w:val="24"/>
          <w:szCs w:val="24"/>
          <w:lang w:val="es-ES_tradnl"/>
        </w:rPr>
        <w:t>mérica</w:t>
      </w:r>
      <w:r w:rsidRPr="005B03F9">
        <w:rPr>
          <w:sz w:val="24"/>
          <w:szCs w:val="24"/>
          <w:lang w:val="es-ES_tradnl"/>
        </w:rPr>
        <w:t xml:space="preserve">. </w:t>
      </w:r>
    </w:p>
    <w:p w14:paraId="00000056" w14:textId="77777777" w:rsidR="002A374E" w:rsidRPr="005B03F9" w:rsidRDefault="000D6ABD" w:rsidP="004B0CB1">
      <w:pPr>
        <w:spacing w:after="0" w:line="480" w:lineRule="auto"/>
        <w:jc w:val="both"/>
        <w:rPr>
          <w:rFonts w:eastAsia="Times New Roman"/>
          <w:sz w:val="24"/>
          <w:szCs w:val="24"/>
          <w:lang w:val="es-ES_tradnl"/>
        </w:rPr>
      </w:pPr>
      <w:r w:rsidRPr="005B03F9">
        <w:rPr>
          <w:rFonts w:eastAsia="Times New Roman"/>
          <w:sz w:val="24"/>
          <w:szCs w:val="24"/>
          <w:lang w:val="es-ES_tradnl"/>
        </w:rPr>
        <w:t xml:space="preserve"> </w:t>
      </w:r>
    </w:p>
    <w:p w14:paraId="00000057" w14:textId="06752071" w:rsidR="002A374E" w:rsidRPr="005B03F9" w:rsidRDefault="000D6ABD" w:rsidP="004B0CB1">
      <w:pPr>
        <w:spacing w:after="0" w:line="480" w:lineRule="auto"/>
        <w:jc w:val="both"/>
        <w:rPr>
          <w:sz w:val="24"/>
          <w:szCs w:val="24"/>
          <w:lang w:val="es-ES_tradnl"/>
        </w:rPr>
      </w:pPr>
      <w:r w:rsidRPr="005B03F9">
        <w:rPr>
          <w:sz w:val="24"/>
          <w:szCs w:val="24"/>
          <w:lang w:val="es-ES_tradnl"/>
        </w:rPr>
        <w:t xml:space="preserve">        </w:t>
      </w:r>
      <w:r w:rsidRPr="005B03F9">
        <w:rPr>
          <w:sz w:val="24"/>
          <w:szCs w:val="24"/>
          <w:lang w:val="es-ES_tradnl"/>
        </w:rPr>
        <w:tab/>
        <w:t>Millones de personas en México, de todas las regiones y condiciones socioeconómicas han luchado por generaciones para que el país cuente con instituciones que garanticen la libertad del sufragio, la independencia e imparcialidad del órgano electoral, y las condiciones de equidad en la contienda. Para que el I</w:t>
      </w:r>
      <w:r w:rsidR="00452B07" w:rsidRPr="005B03F9">
        <w:rPr>
          <w:sz w:val="24"/>
          <w:szCs w:val="24"/>
          <w:lang w:val="es-ES_tradnl"/>
        </w:rPr>
        <w:t xml:space="preserve">nstituto </w:t>
      </w:r>
      <w:r w:rsidRPr="005B03F9">
        <w:rPr>
          <w:sz w:val="24"/>
          <w:szCs w:val="24"/>
          <w:lang w:val="es-ES_tradnl"/>
        </w:rPr>
        <w:t>N</w:t>
      </w:r>
      <w:r w:rsidR="00452B07" w:rsidRPr="005B03F9">
        <w:rPr>
          <w:sz w:val="24"/>
          <w:szCs w:val="24"/>
          <w:lang w:val="es-ES_tradnl"/>
        </w:rPr>
        <w:t xml:space="preserve">acional </w:t>
      </w:r>
      <w:r w:rsidRPr="005B03F9">
        <w:rPr>
          <w:sz w:val="24"/>
          <w:szCs w:val="24"/>
          <w:lang w:val="es-ES_tradnl"/>
        </w:rPr>
        <w:t>E</w:t>
      </w:r>
      <w:r w:rsidR="00452B07" w:rsidRPr="005B03F9">
        <w:rPr>
          <w:sz w:val="24"/>
          <w:szCs w:val="24"/>
          <w:lang w:val="es-ES_tradnl"/>
        </w:rPr>
        <w:t>lectoral</w:t>
      </w:r>
      <w:r w:rsidRPr="005B03F9">
        <w:rPr>
          <w:sz w:val="24"/>
          <w:szCs w:val="24"/>
          <w:lang w:val="es-ES_tradnl"/>
        </w:rPr>
        <w:t xml:space="preserve"> pueda seguir garantizando estos principios, el árbitro electoral requiere contar con los recursos presupuestales, autonomía, y estructura administrativa que han sido otorgados en el marco constitucional. Las reformas político electorales vulneran la garantía de estos principios y, por ello, deben de ser rechazadas por la Suprema Corte de Justicia de la Nación. </w:t>
      </w:r>
    </w:p>
    <w:p w14:paraId="377A45C0" w14:textId="68D29517" w:rsidR="009B2211" w:rsidRPr="005B03F9" w:rsidRDefault="009B2211" w:rsidP="004B0CB1">
      <w:pPr>
        <w:spacing w:after="0" w:line="480" w:lineRule="auto"/>
        <w:jc w:val="both"/>
        <w:rPr>
          <w:sz w:val="24"/>
          <w:szCs w:val="24"/>
          <w:lang w:val="es-ES_tradnl"/>
        </w:rPr>
      </w:pPr>
    </w:p>
    <w:p w14:paraId="71AE71FD" w14:textId="01F9E612" w:rsidR="009B2211" w:rsidRPr="005B03F9" w:rsidRDefault="009B2211" w:rsidP="004B0CB1">
      <w:pPr>
        <w:spacing w:after="0" w:line="480" w:lineRule="auto"/>
        <w:ind w:firstLine="709"/>
        <w:jc w:val="both"/>
        <w:rPr>
          <w:sz w:val="24"/>
          <w:szCs w:val="24"/>
          <w:lang w:val="es-ES_tradnl"/>
        </w:rPr>
      </w:pPr>
      <w:r w:rsidRPr="005B03F9">
        <w:rPr>
          <w:sz w:val="24"/>
          <w:szCs w:val="24"/>
          <w:lang w:val="es-ES_tradnl"/>
        </w:rPr>
        <w:lastRenderedPageBreak/>
        <w:t xml:space="preserve">En mérito, de lo expuesto y fundado, se solicita a esa H. Suprema Corte de Justicia de la </w:t>
      </w:r>
      <w:r w:rsidR="00231864" w:rsidRPr="005B03F9">
        <w:rPr>
          <w:sz w:val="24"/>
          <w:szCs w:val="24"/>
          <w:lang w:val="es-ES_tradnl"/>
        </w:rPr>
        <w:t>Nación</w:t>
      </w:r>
      <w:r w:rsidRPr="005B03F9">
        <w:rPr>
          <w:sz w:val="24"/>
          <w:szCs w:val="24"/>
          <w:lang w:val="es-ES_tradnl"/>
        </w:rPr>
        <w:t xml:space="preserve">, se sirva declarar la invalidez de las porciones normativas que atentan en contra de autonomía presupuestal, técnica y administrativa del Instituto Nacional Electoral en detrimento de la </w:t>
      </w:r>
      <w:proofErr w:type="spellStart"/>
      <w:r w:rsidRPr="005B03F9">
        <w:rPr>
          <w:sz w:val="24"/>
          <w:szCs w:val="24"/>
          <w:lang w:val="es-ES_tradnl"/>
        </w:rPr>
        <w:t>redistritación</w:t>
      </w:r>
      <w:proofErr w:type="spellEnd"/>
      <w:r w:rsidRPr="005B03F9">
        <w:rPr>
          <w:sz w:val="24"/>
          <w:szCs w:val="24"/>
          <w:lang w:val="es-ES_tradnl"/>
        </w:rPr>
        <w:t xml:space="preserve">. </w:t>
      </w:r>
    </w:p>
    <w:p w14:paraId="38A97BC5" w14:textId="77777777" w:rsidR="005F4D26" w:rsidRPr="005B03F9" w:rsidRDefault="005F4D26" w:rsidP="00984D29">
      <w:pPr>
        <w:spacing w:after="0"/>
        <w:jc w:val="both"/>
        <w:rPr>
          <w:sz w:val="24"/>
          <w:szCs w:val="24"/>
          <w:lang w:val="es-ES_tradnl"/>
        </w:rPr>
      </w:pPr>
    </w:p>
    <w:p w14:paraId="25A97B63" w14:textId="77777777" w:rsidR="005F4D26" w:rsidRPr="005B03F9" w:rsidRDefault="005F4D26" w:rsidP="009B2211">
      <w:pPr>
        <w:spacing w:after="0"/>
        <w:ind w:firstLine="709"/>
        <w:jc w:val="both"/>
        <w:rPr>
          <w:sz w:val="24"/>
          <w:szCs w:val="24"/>
          <w:lang w:val="es-ES_tradnl"/>
        </w:rPr>
      </w:pPr>
    </w:p>
    <w:p w14:paraId="02E1C6E1" w14:textId="77777777" w:rsidR="005F4D26" w:rsidRPr="005B03F9" w:rsidRDefault="005F4D26" w:rsidP="009B2211">
      <w:pPr>
        <w:spacing w:after="0"/>
        <w:ind w:firstLine="709"/>
        <w:jc w:val="both"/>
        <w:rPr>
          <w:sz w:val="24"/>
          <w:szCs w:val="24"/>
          <w:lang w:val="es-ES_tradnl"/>
        </w:rPr>
      </w:pPr>
    </w:p>
    <w:p w14:paraId="1398248C" w14:textId="5C37CC6D" w:rsidR="004B0CB1" w:rsidRPr="005B03F9" w:rsidRDefault="004B0CB1" w:rsidP="001161B7">
      <w:pPr>
        <w:spacing w:after="0"/>
        <w:jc w:val="center"/>
        <w:rPr>
          <w:sz w:val="24"/>
          <w:szCs w:val="24"/>
          <w:lang w:val="es-ES_tradnl"/>
        </w:rPr>
      </w:pPr>
      <w:r w:rsidRPr="005B03F9">
        <w:rPr>
          <w:sz w:val="24"/>
          <w:szCs w:val="24"/>
          <w:lang w:val="es-ES_tradnl"/>
        </w:rPr>
        <w:t>Ciudad de México, a 25 de abril de 2023.</w:t>
      </w:r>
    </w:p>
    <w:p w14:paraId="0C37D9CB" w14:textId="77777777" w:rsidR="005F4D26" w:rsidRPr="005B03F9" w:rsidRDefault="005F4D26" w:rsidP="0038075A">
      <w:pPr>
        <w:spacing w:after="0"/>
        <w:jc w:val="center"/>
        <w:rPr>
          <w:sz w:val="24"/>
          <w:szCs w:val="24"/>
          <w:lang w:val="es-ES_tradnl"/>
        </w:rPr>
      </w:pPr>
    </w:p>
    <w:p w14:paraId="1DA6BB02" w14:textId="77777777" w:rsidR="005F4D26" w:rsidRPr="005B03F9" w:rsidRDefault="005F4D26" w:rsidP="0038075A">
      <w:pPr>
        <w:spacing w:after="0"/>
        <w:jc w:val="center"/>
        <w:rPr>
          <w:sz w:val="24"/>
          <w:szCs w:val="24"/>
          <w:lang w:val="es-ES_tradnl"/>
        </w:rPr>
      </w:pPr>
    </w:p>
    <w:p w14:paraId="41721350" w14:textId="77777777" w:rsidR="005F4D26" w:rsidRPr="005B03F9" w:rsidRDefault="005F4D26" w:rsidP="0038075A">
      <w:pPr>
        <w:spacing w:after="0"/>
        <w:jc w:val="center"/>
        <w:rPr>
          <w:sz w:val="24"/>
          <w:szCs w:val="24"/>
          <w:lang w:val="es-ES_tradnl"/>
        </w:rPr>
      </w:pPr>
    </w:p>
    <w:p w14:paraId="6B2971BC" w14:textId="77777777" w:rsidR="005F4D26" w:rsidRPr="005B03F9" w:rsidRDefault="005F4D26" w:rsidP="0038075A">
      <w:pPr>
        <w:spacing w:after="0"/>
        <w:jc w:val="center"/>
        <w:rPr>
          <w:sz w:val="24"/>
          <w:szCs w:val="24"/>
          <w:lang w:val="es-ES_tradnl"/>
        </w:rPr>
      </w:pPr>
    </w:p>
    <w:p w14:paraId="63AA4C69" w14:textId="174237AE" w:rsidR="004B0CB1" w:rsidRPr="005B03F9" w:rsidRDefault="004B0CB1" w:rsidP="004B0CB1">
      <w:pPr>
        <w:spacing w:after="0"/>
        <w:ind w:firstLine="709"/>
        <w:jc w:val="center"/>
        <w:rPr>
          <w:sz w:val="24"/>
          <w:szCs w:val="24"/>
          <w:lang w:val="es-ES_tradnl"/>
        </w:rPr>
      </w:pPr>
    </w:p>
    <w:p w14:paraId="470EC66B" w14:textId="77777777" w:rsidR="005F4D26" w:rsidRPr="005B03F9" w:rsidRDefault="005F4D26" w:rsidP="004B0CB1">
      <w:pPr>
        <w:spacing w:after="0"/>
        <w:ind w:firstLine="709"/>
        <w:jc w:val="center"/>
        <w:rPr>
          <w:sz w:val="24"/>
          <w:szCs w:val="24"/>
          <w:lang w:val="es-ES_tradnl"/>
        </w:rPr>
      </w:pPr>
    </w:p>
    <w:p w14:paraId="009404AA" w14:textId="77777777" w:rsidR="005F4D26" w:rsidRPr="005B03F9" w:rsidRDefault="005F4D26" w:rsidP="004B0CB1">
      <w:pPr>
        <w:spacing w:after="0"/>
        <w:ind w:firstLine="709"/>
        <w:jc w:val="center"/>
        <w:rPr>
          <w:sz w:val="24"/>
          <w:szCs w:val="24"/>
          <w:lang w:val="es-ES_tradnl"/>
        </w:rPr>
      </w:pPr>
      <w:r w:rsidRPr="005B03F9">
        <w:rPr>
          <w:sz w:val="24"/>
          <w:szCs w:val="24"/>
          <w:lang w:val="es-ES_tradnl"/>
        </w:rPr>
        <w:t>___________________</w:t>
      </w:r>
    </w:p>
    <w:p w14:paraId="625ED863" w14:textId="0358CBED" w:rsidR="004B0CB1" w:rsidRPr="005B03F9" w:rsidRDefault="005F4D26" w:rsidP="004B0CB1">
      <w:pPr>
        <w:spacing w:after="0"/>
        <w:ind w:firstLine="709"/>
        <w:jc w:val="center"/>
        <w:rPr>
          <w:sz w:val="24"/>
          <w:szCs w:val="24"/>
          <w:lang w:val="es-ES_tradnl"/>
        </w:rPr>
      </w:pPr>
      <w:r w:rsidRPr="005B03F9">
        <w:rPr>
          <w:sz w:val="24"/>
          <w:szCs w:val="24"/>
          <w:lang w:val="es-ES_tradnl"/>
        </w:rPr>
        <w:t>Alejandro Trelles, PhD</w:t>
      </w:r>
    </w:p>
    <w:p w14:paraId="07CD0A48" w14:textId="5D022675" w:rsidR="005F4D26" w:rsidRPr="005B03F9" w:rsidRDefault="005F4D26" w:rsidP="004B0CB1">
      <w:pPr>
        <w:spacing w:after="0"/>
        <w:ind w:firstLine="709"/>
        <w:jc w:val="center"/>
        <w:rPr>
          <w:sz w:val="24"/>
          <w:szCs w:val="24"/>
          <w:lang w:val="es-ES_tradnl"/>
        </w:rPr>
      </w:pPr>
      <w:proofErr w:type="spellStart"/>
      <w:r w:rsidRPr="005B03F9">
        <w:rPr>
          <w:sz w:val="24"/>
          <w:szCs w:val="24"/>
          <w:lang w:val="es-ES_tradnl"/>
        </w:rPr>
        <w:t>Brandeis</w:t>
      </w:r>
      <w:proofErr w:type="spellEnd"/>
      <w:r w:rsidRPr="005B03F9">
        <w:rPr>
          <w:sz w:val="24"/>
          <w:szCs w:val="24"/>
          <w:lang w:val="es-ES_tradnl"/>
        </w:rPr>
        <w:t xml:space="preserve"> </w:t>
      </w:r>
      <w:proofErr w:type="spellStart"/>
      <w:r w:rsidRPr="005B03F9">
        <w:rPr>
          <w:sz w:val="24"/>
          <w:szCs w:val="24"/>
          <w:lang w:val="es-ES_tradnl"/>
        </w:rPr>
        <w:t>University</w:t>
      </w:r>
      <w:proofErr w:type="spellEnd"/>
    </w:p>
    <w:p w14:paraId="5DD5B561" w14:textId="77777777" w:rsidR="005F4D26" w:rsidRPr="005B03F9" w:rsidRDefault="005F4D26" w:rsidP="004B0CB1">
      <w:pPr>
        <w:spacing w:after="0"/>
        <w:ind w:firstLine="709"/>
        <w:jc w:val="center"/>
        <w:rPr>
          <w:sz w:val="24"/>
          <w:szCs w:val="24"/>
          <w:lang w:val="es-ES_tradnl"/>
        </w:rPr>
      </w:pPr>
    </w:p>
    <w:p w14:paraId="71D18A95" w14:textId="77777777" w:rsidR="005F4D26" w:rsidRPr="005B03F9" w:rsidRDefault="005F4D26" w:rsidP="004B0CB1">
      <w:pPr>
        <w:spacing w:after="0"/>
        <w:ind w:firstLine="709"/>
        <w:jc w:val="center"/>
        <w:rPr>
          <w:sz w:val="24"/>
          <w:szCs w:val="24"/>
          <w:lang w:val="es-ES_tradnl"/>
        </w:rPr>
      </w:pPr>
    </w:p>
    <w:p w14:paraId="5C369B43" w14:textId="77777777" w:rsidR="005F4D26" w:rsidRPr="005B03F9" w:rsidRDefault="005F4D26" w:rsidP="004B0CB1">
      <w:pPr>
        <w:spacing w:after="0"/>
        <w:ind w:firstLine="709"/>
        <w:jc w:val="center"/>
        <w:rPr>
          <w:sz w:val="24"/>
          <w:szCs w:val="24"/>
          <w:lang w:val="es-ES_tradnl"/>
        </w:rPr>
      </w:pPr>
    </w:p>
    <w:p w14:paraId="29C8F580" w14:textId="77777777" w:rsidR="005F4D26" w:rsidRPr="005B03F9" w:rsidRDefault="005F4D26" w:rsidP="004B0CB1">
      <w:pPr>
        <w:spacing w:after="0"/>
        <w:ind w:firstLine="709"/>
        <w:jc w:val="center"/>
        <w:rPr>
          <w:sz w:val="24"/>
          <w:szCs w:val="24"/>
          <w:lang w:val="es-ES_tradnl"/>
        </w:rPr>
      </w:pPr>
    </w:p>
    <w:p w14:paraId="34E45960" w14:textId="77777777" w:rsidR="005F4D26" w:rsidRPr="005B03F9" w:rsidRDefault="005F4D26" w:rsidP="004B0CB1">
      <w:pPr>
        <w:spacing w:after="0"/>
        <w:ind w:firstLine="709"/>
        <w:jc w:val="center"/>
        <w:rPr>
          <w:sz w:val="24"/>
          <w:szCs w:val="24"/>
          <w:lang w:val="es-ES_tradnl"/>
        </w:rPr>
      </w:pPr>
    </w:p>
    <w:p w14:paraId="39338AA1" w14:textId="18B2A3DC" w:rsidR="005F4D26" w:rsidRPr="005B03F9" w:rsidRDefault="005F4D26" w:rsidP="005F4D26">
      <w:pPr>
        <w:spacing w:after="0"/>
        <w:ind w:firstLine="709"/>
        <w:jc w:val="center"/>
        <w:rPr>
          <w:sz w:val="24"/>
          <w:szCs w:val="24"/>
          <w:lang w:val="es-ES_tradnl"/>
        </w:rPr>
      </w:pPr>
      <w:r w:rsidRPr="005B03F9">
        <w:rPr>
          <w:sz w:val="24"/>
          <w:szCs w:val="24"/>
          <w:lang w:val="es-ES_tradnl"/>
        </w:rPr>
        <w:t>___________________</w:t>
      </w:r>
    </w:p>
    <w:p w14:paraId="21FCF0A4" w14:textId="34FCEBF7" w:rsidR="005F4D26" w:rsidRPr="005B03F9" w:rsidRDefault="005F4D26" w:rsidP="004B0CB1">
      <w:pPr>
        <w:spacing w:after="0"/>
        <w:ind w:firstLine="709"/>
        <w:jc w:val="center"/>
        <w:rPr>
          <w:sz w:val="24"/>
          <w:szCs w:val="24"/>
          <w:lang w:val="en-US"/>
        </w:rPr>
      </w:pPr>
      <w:r w:rsidRPr="005B03F9">
        <w:rPr>
          <w:sz w:val="24"/>
          <w:szCs w:val="24"/>
          <w:lang w:val="en-US"/>
        </w:rPr>
        <w:t>Eric Magar, PhD</w:t>
      </w:r>
    </w:p>
    <w:p w14:paraId="73592214" w14:textId="0CD05F38" w:rsidR="005F4D26" w:rsidRPr="005B03F9" w:rsidRDefault="005F4D26" w:rsidP="004B0CB1">
      <w:pPr>
        <w:spacing w:after="0"/>
        <w:ind w:firstLine="709"/>
        <w:jc w:val="center"/>
        <w:rPr>
          <w:sz w:val="24"/>
          <w:szCs w:val="24"/>
          <w:lang w:val="en-US"/>
        </w:rPr>
      </w:pPr>
      <w:r w:rsidRPr="005B03F9">
        <w:rPr>
          <w:sz w:val="24"/>
          <w:szCs w:val="24"/>
          <w:lang w:val="en-US"/>
        </w:rPr>
        <w:t>ITAM</w:t>
      </w:r>
    </w:p>
    <w:p w14:paraId="7DFD3978" w14:textId="77777777" w:rsidR="005F4D26" w:rsidRPr="005B03F9" w:rsidRDefault="005F4D26" w:rsidP="004B0CB1">
      <w:pPr>
        <w:spacing w:after="0"/>
        <w:ind w:firstLine="709"/>
        <w:jc w:val="center"/>
        <w:rPr>
          <w:sz w:val="24"/>
          <w:szCs w:val="24"/>
          <w:lang w:val="en-US"/>
        </w:rPr>
      </w:pPr>
    </w:p>
    <w:p w14:paraId="65AC1FD1" w14:textId="77777777" w:rsidR="005F4D26" w:rsidRPr="005B03F9" w:rsidRDefault="005F4D26" w:rsidP="004B0CB1">
      <w:pPr>
        <w:spacing w:after="0"/>
        <w:ind w:firstLine="709"/>
        <w:jc w:val="center"/>
        <w:rPr>
          <w:sz w:val="24"/>
          <w:szCs w:val="24"/>
          <w:lang w:val="en-US"/>
        </w:rPr>
      </w:pPr>
    </w:p>
    <w:p w14:paraId="29FE49AA" w14:textId="77777777" w:rsidR="005F4D26" w:rsidRPr="005B03F9" w:rsidRDefault="005F4D26" w:rsidP="004B0CB1">
      <w:pPr>
        <w:spacing w:after="0"/>
        <w:ind w:firstLine="709"/>
        <w:jc w:val="center"/>
        <w:rPr>
          <w:sz w:val="24"/>
          <w:szCs w:val="24"/>
          <w:lang w:val="en-US"/>
        </w:rPr>
      </w:pPr>
    </w:p>
    <w:p w14:paraId="13A18438" w14:textId="77777777" w:rsidR="005F4D26" w:rsidRPr="005B03F9" w:rsidRDefault="005F4D26" w:rsidP="004B0CB1">
      <w:pPr>
        <w:spacing w:after="0"/>
        <w:ind w:firstLine="709"/>
        <w:jc w:val="center"/>
        <w:rPr>
          <w:sz w:val="24"/>
          <w:szCs w:val="24"/>
          <w:lang w:val="en-US"/>
        </w:rPr>
      </w:pPr>
    </w:p>
    <w:p w14:paraId="00FCE1CA" w14:textId="178C435B" w:rsidR="005F4D26" w:rsidRPr="00321E2B" w:rsidRDefault="005F4D26" w:rsidP="005F4D26">
      <w:pPr>
        <w:spacing w:after="0"/>
        <w:ind w:firstLine="709"/>
        <w:jc w:val="center"/>
        <w:rPr>
          <w:sz w:val="24"/>
          <w:szCs w:val="24"/>
          <w:lang w:val="en-US"/>
        </w:rPr>
      </w:pPr>
      <w:r w:rsidRPr="00321E2B">
        <w:rPr>
          <w:sz w:val="24"/>
          <w:szCs w:val="24"/>
          <w:lang w:val="en-US"/>
        </w:rPr>
        <w:t>___________________</w:t>
      </w:r>
    </w:p>
    <w:p w14:paraId="080BEC4C" w14:textId="4DB2585A" w:rsidR="005F4D26" w:rsidRPr="005B03F9" w:rsidRDefault="005F4D26" w:rsidP="004B0CB1">
      <w:pPr>
        <w:spacing w:after="0"/>
        <w:ind w:firstLine="709"/>
        <w:jc w:val="center"/>
        <w:rPr>
          <w:sz w:val="24"/>
          <w:szCs w:val="24"/>
          <w:lang w:val="en-US"/>
        </w:rPr>
      </w:pPr>
      <w:r w:rsidRPr="005B03F9">
        <w:rPr>
          <w:sz w:val="24"/>
          <w:szCs w:val="24"/>
          <w:lang w:val="en-US"/>
        </w:rPr>
        <w:t>Micah Altman, PhD</w:t>
      </w:r>
    </w:p>
    <w:p w14:paraId="171BB1AF" w14:textId="231E60A9" w:rsidR="005F4D26" w:rsidRPr="005B03F9" w:rsidRDefault="005F4D26" w:rsidP="004B0CB1">
      <w:pPr>
        <w:spacing w:after="0"/>
        <w:ind w:firstLine="709"/>
        <w:jc w:val="center"/>
        <w:rPr>
          <w:sz w:val="24"/>
          <w:szCs w:val="24"/>
          <w:lang w:val="en-US"/>
        </w:rPr>
      </w:pPr>
      <w:r w:rsidRPr="005B03F9">
        <w:rPr>
          <w:sz w:val="24"/>
          <w:szCs w:val="24"/>
          <w:lang w:val="en-US"/>
        </w:rPr>
        <w:t xml:space="preserve">MIT </w:t>
      </w:r>
    </w:p>
    <w:p w14:paraId="5A171ACC" w14:textId="77777777" w:rsidR="005F4D26" w:rsidRPr="005B03F9" w:rsidRDefault="005F4D26" w:rsidP="004B0CB1">
      <w:pPr>
        <w:spacing w:after="0"/>
        <w:ind w:firstLine="709"/>
        <w:jc w:val="center"/>
        <w:rPr>
          <w:sz w:val="24"/>
          <w:szCs w:val="24"/>
          <w:lang w:val="en-US"/>
        </w:rPr>
      </w:pPr>
    </w:p>
    <w:p w14:paraId="1C860403" w14:textId="77777777" w:rsidR="005F4D26" w:rsidRPr="005B03F9" w:rsidRDefault="005F4D26" w:rsidP="004B0CB1">
      <w:pPr>
        <w:spacing w:after="0"/>
        <w:ind w:firstLine="709"/>
        <w:jc w:val="center"/>
        <w:rPr>
          <w:sz w:val="24"/>
          <w:szCs w:val="24"/>
          <w:lang w:val="en-US"/>
        </w:rPr>
      </w:pPr>
    </w:p>
    <w:p w14:paraId="5045216A" w14:textId="77777777" w:rsidR="005F4D26" w:rsidRPr="005B03F9" w:rsidRDefault="005F4D26" w:rsidP="004B0CB1">
      <w:pPr>
        <w:spacing w:after="0"/>
        <w:ind w:firstLine="709"/>
        <w:jc w:val="center"/>
        <w:rPr>
          <w:sz w:val="24"/>
          <w:szCs w:val="24"/>
          <w:lang w:val="en-US"/>
        </w:rPr>
      </w:pPr>
    </w:p>
    <w:p w14:paraId="357B15AF" w14:textId="77777777" w:rsidR="005F4D26" w:rsidRPr="005B03F9" w:rsidRDefault="005F4D26" w:rsidP="004B0CB1">
      <w:pPr>
        <w:spacing w:after="0"/>
        <w:ind w:firstLine="709"/>
        <w:jc w:val="center"/>
        <w:rPr>
          <w:sz w:val="24"/>
          <w:szCs w:val="24"/>
          <w:lang w:val="en-US"/>
        </w:rPr>
      </w:pPr>
    </w:p>
    <w:p w14:paraId="2959DCDF" w14:textId="77777777" w:rsidR="005F4D26" w:rsidRPr="005B03F9" w:rsidRDefault="005F4D26" w:rsidP="004B0CB1">
      <w:pPr>
        <w:spacing w:after="0"/>
        <w:ind w:firstLine="709"/>
        <w:jc w:val="center"/>
        <w:rPr>
          <w:sz w:val="24"/>
          <w:szCs w:val="24"/>
          <w:lang w:val="en-US"/>
        </w:rPr>
      </w:pPr>
    </w:p>
    <w:p w14:paraId="4B118604" w14:textId="17E1A397" w:rsidR="005F4D26" w:rsidRPr="00321E2B" w:rsidRDefault="005F4D26" w:rsidP="005F4D26">
      <w:pPr>
        <w:spacing w:after="0"/>
        <w:ind w:firstLine="709"/>
        <w:jc w:val="center"/>
        <w:rPr>
          <w:sz w:val="24"/>
          <w:szCs w:val="24"/>
          <w:lang w:val="en-US"/>
        </w:rPr>
      </w:pPr>
      <w:r w:rsidRPr="00321E2B">
        <w:rPr>
          <w:sz w:val="24"/>
          <w:szCs w:val="24"/>
          <w:lang w:val="en-US"/>
        </w:rPr>
        <w:t>___________________</w:t>
      </w:r>
    </w:p>
    <w:p w14:paraId="1C4E2387" w14:textId="504755DC" w:rsidR="005F4D26" w:rsidRPr="005B03F9" w:rsidRDefault="005F4D26" w:rsidP="004B0CB1">
      <w:pPr>
        <w:spacing w:after="0"/>
        <w:ind w:firstLine="709"/>
        <w:jc w:val="center"/>
        <w:rPr>
          <w:sz w:val="24"/>
          <w:szCs w:val="24"/>
          <w:lang w:val="en-US"/>
        </w:rPr>
      </w:pPr>
      <w:r w:rsidRPr="005B03F9">
        <w:rPr>
          <w:sz w:val="24"/>
          <w:szCs w:val="24"/>
          <w:lang w:val="en-US"/>
        </w:rPr>
        <w:t>Michael McDonald, PhD</w:t>
      </w:r>
    </w:p>
    <w:p w14:paraId="7FBC4FF6" w14:textId="63FC7B7E" w:rsidR="005F4D26" w:rsidRPr="005B03F9" w:rsidRDefault="005F4D26" w:rsidP="004B0CB1">
      <w:pPr>
        <w:spacing w:after="0"/>
        <w:ind w:firstLine="709"/>
        <w:jc w:val="center"/>
        <w:rPr>
          <w:sz w:val="24"/>
          <w:szCs w:val="24"/>
          <w:lang w:val="en-US"/>
        </w:rPr>
      </w:pPr>
      <w:r w:rsidRPr="005B03F9">
        <w:rPr>
          <w:sz w:val="24"/>
          <w:szCs w:val="24"/>
          <w:lang w:val="en-US"/>
        </w:rPr>
        <w:t>University of Florida</w:t>
      </w:r>
    </w:p>
    <w:p w14:paraId="26D2CE12" w14:textId="00385DE3" w:rsidR="004B0CB1" w:rsidRPr="005B03F9" w:rsidRDefault="004B0CB1" w:rsidP="009B2211">
      <w:pPr>
        <w:spacing w:after="0"/>
        <w:ind w:firstLine="709"/>
        <w:jc w:val="both"/>
        <w:rPr>
          <w:sz w:val="24"/>
          <w:szCs w:val="24"/>
          <w:lang w:val="en-US"/>
        </w:rPr>
      </w:pPr>
    </w:p>
    <w:p w14:paraId="0D767CAC" w14:textId="15999699" w:rsidR="004B0CB1" w:rsidRPr="005B03F9" w:rsidRDefault="004B0CB1" w:rsidP="009B2211">
      <w:pPr>
        <w:spacing w:after="0"/>
        <w:ind w:firstLine="709"/>
        <w:jc w:val="both"/>
        <w:rPr>
          <w:sz w:val="24"/>
          <w:szCs w:val="24"/>
          <w:lang w:val="en-US"/>
        </w:rPr>
      </w:pPr>
    </w:p>
    <w:p w14:paraId="403331B2" w14:textId="07065BF4" w:rsidR="004B0CB1" w:rsidRPr="005B03F9" w:rsidRDefault="004B0CB1" w:rsidP="009B2211">
      <w:pPr>
        <w:spacing w:after="0"/>
        <w:ind w:firstLine="709"/>
        <w:jc w:val="both"/>
        <w:rPr>
          <w:sz w:val="24"/>
          <w:szCs w:val="24"/>
          <w:lang w:val="en-US"/>
        </w:rPr>
      </w:pPr>
    </w:p>
    <w:p w14:paraId="1A0266FA" w14:textId="77777777" w:rsidR="004B0CB1" w:rsidRPr="005B03F9" w:rsidRDefault="004B0CB1" w:rsidP="009B2211">
      <w:pPr>
        <w:spacing w:after="0"/>
        <w:ind w:firstLine="709"/>
        <w:jc w:val="both"/>
        <w:rPr>
          <w:sz w:val="24"/>
          <w:szCs w:val="24"/>
          <w:lang w:val="en-US"/>
        </w:rPr>
      </w:pPr>
    </w:p>
    <w:p w14:paraId="00000058" w14:textId="77777777" w:rsidR="002A374E" w:rsidRPr="005B03F9" w:rsidRDefault="000D6ABD" w:rsidP="005B3C6F">
      <w:pPr>
        <w:spacing w:after="240"/>
        <w:jc w:val="both"/>
        <w:rPr>
          <w:rFonts w:eastAsia="Times New Roman"/>
          <w:sz w:val="24"/>
          <w:szCs w:val="24"/>
          <w:lang w:val="en-US"/>
        </w:rPr>
      </w:pPr>
      <w:r w:rsidRPr="005B03F9">
        <w:rPr>
          <w:rFonts w:eastAsia="Times New Roman"/>
          <w:sz w:val="24"/>
          <w:szCs w:val="24"/>
          <w:lang w:val="en-US"/>
        </w:rPr>
        <w:t xml:space="preserve"> </w:t>
      </w:r>
    </w:p>
    <w:p w14:paraId="00000059" w14:textId="77777777" w:rsidR="002A374E" w:rsidRPr="005B03F9" w:rsidRDefault="002A374E" w:rsidP="005B3C6F">
      <w:pPr>
        <w:spacing w:after="0"/>
        <w:jc w:val="both"/>
        <w:rPr>
          <w:sz w:val="24"/>
          <w:szCs w:val="24"/>
          <w:lang w:val="en-US"/>
        </w:rPr>
      </w:pPr>
    </w:p>
    <w:sectPr w:rsidR="002A374E" w:rsidRPr="005B03F9" w:rsidSect="00120C0C">
      <w:headerReference w:type="default" r:id="rId8"/>
      <w:footerReference w:type="default" r:id="rId9"/>
      <w:pgSz w:w="12240" w:h="20160"/>
      <w:pgMar w:top="1417" w:right="1701" w:bottom="1417" w:left="1701"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40CF4CB" w14:textId="77777777" w:rsidR="004E6342" w:rsidRDefault="004E6342">
      <w:pPr>
        <w:spacing w:after="0" w:line="240" w:lineRule="auto"/>
      </w:pPr>
      <w:r>
        <w:separator/>
      </w:r>
    </w:p>
  </w:endnote>
  <w:endnote w:type="continuationSeparator" w:id="0">
    <w:p w14:paraId="0096EF19" w14:textId="77777777" w:rsidR="004E6342" w:rsidRDefault="004E63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5A" w14:textId="7828D4AE" w:rsidR="002A374E" w:rsidRDefault="000D6ABD">
    <w:pPr>
      <w:jc w:val="right"/>
    </w:pPr>
    <w:r>
      <w:fldChar w:fldCharType="begin"/>
    </w:r>
    <w:r>
      <w:instrText>PAGE</w:instrText>
    </w:r>
    <w:r>
      <w:fldChar w:fldCharType="separate"/>
    </w:r>
    <w:r w:rsidR="00AA5584">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3A48D6D" w14:textId="77777777" w:rsidR="004E6342" w:rsidRDefault="004E6342">
      <w:pPr>
        <w:spacing w:after="0" w:line="240" w:lineRule="auto"/>
      </w:pPr>
      <w:r>
        <w:separator/>
      </w:r>
    </w:p>
  </w:footnote>
  <w:footnote w:type="continuationSeparator" w:id="0">
    <w:p w14:paraId="7245C1A7" w14:textId="77777777" w:rsidR="004E6342" w:rsidRDefault="004E6342">
      <w:pPr>
        <w:spacing w:after="0" w:line="240" w:lineRule="auto"/>
      </w:pPr>
      <w:r>
        <w:continuationSeparator/>
      </w:r>
    </w:p>
  </w:footnote>
  <w:footnote w:id="1">
    <w:p w14:paraId="56FA18AD" w14:textId="2908CE61" w:rsidR="005532CA" w:rsidRPr="00A77D5C" w:rsidRDefault="005532CA" w:rsidP="009C254F">
      <w:pPr>
        <w:pStyle w:val="Textonotapie"/>
        <w:jc w:val="both"/>
        <w:rPr>
          <w:lang w:val="es-ES"/>
        </w:rPr>
      </w:pPr>
      <w:r w:rsidRPr="00A77D5C">
        <w:rPr>
          <w:rStyle w:val="Refdenotaalpie"/>
        </w:rPr>
        <w:footnoteRef/>
      </w:r>
      <w:r w:rsidR="009C254F" w:rsidRPr="00A77D5C">
        <w:t xml:space="preserve"> </w:t>
      </w:r>
      <w:hyperlink r:id="rId1" w:history="1">
        <w:r w:rsidR="005554DB" w:rsidRPr="00321E2B">
          <w:rPr>
            <w:rStyle w:val="Hipervnculo"/>
            <w:rFonts w:eastAsia="Times New Roman"/>
            <w:lang w:val="en-US"/>
          </w:rPr>
          <w:t>https://scholarworks.brandeis.edu/esploro/profile/alejandro_trelles/overview</w:t>
        </w:r>
      </w:hyperlink>
      <w:r w:rsidR="009C254F" w:rsidRPr="00321E2B">
        <w:rPr>
          <w:rFonts w:eastAsia="Times New Roman"/>
          <w:color w:val="000000"/>
          <w:lang w:val="en-US"/>
        </w:rPr>
        <w:t xml:space="preserve"> </w:t>
      </w:r>
      <w:r w:rsidR="00070AFD" w:rsidRPr="00321E2B">
        <w:rPr>
          <w:rFonts w:eastAsia="Times New Roman"/>
          <w:color w:val="000000"/>
          <w:lang w:val="en-US"/>
        </w:rPr>
        <w:t>(</w:t>
      </w:r>
      <w:r w:rsidR="00C91DBC" w:rsidRPr="00321E2B">
        <w:rPr>
          <w:rFonts w:eastAsia="Times New Roman"/>
          <w:color w:val="000000"/>
          <w:lang w:val="en-US"/>
        </w:rPr>
        <w:t xml:space="preserve">a) domicilio: Brandeis University, 415 South Street. </w:t>
      </w:r>
      <w:r w:rsidR="00C91DBC" w:rsidRPr="00A77D5C">
        <w:rPr>
          <w:rFonts w:eastAsia="Times New Roman"/>
          <w:color w:val="000000"/>
          <w:lang w:val="es-ES_tradnl"/>
        </w:rPr>
        <w:t>Waltham, MA 02453-2728. Olin-Sang American Civilization Center, 111; (b) teléfono de contacto: +1(781) 736 2748; y (c) correo electrónico: atrelles@brandeis.edu.</w:t>
      </w:r>
    </w:p>
  </w:footnote>
  <w:footnote w:id="2">
    <w:p w14:paraId="18BD166D" w14:textId="51E22CDD" w:rsidR="005554DB" w:rsidRPr="00A77D5C" w:rsidRDefault="005554DB" w:rsidP="005554DB">
      <w:pPr>
        <w:pStyle w:val="Textonotapie"/>
        <w:jc w:val="both"/>
        <w:rPr>
          <w:lang w:val="es-ES"/>
        </w:rPr>
      </w:pPr>
      <w:r w:rsidRPr="00A77D5C">
        <w:rPr>
          <w:rStyle w:val="Refdenotaalpie"/>
        </w:rPr>
        <w:footnoteRef/>
      </w:r>
      <w:r w:rsidRPr="00321E2B">
        <w:rPr>
          <w:lang w:val="es-ES"/>
        </w:rPr>
        <w:t xml:space="preserve"> </w:t>
      </w:r>
      <w:hyperlink r:id="rId2" w:history="1">
        <w:r w:rsidRPr="00321E2B">
          <w:rPr>
            <w:rStyle w:val="Hipervnculo"/>
            <w:lang w:val="es-ES"/>
          </w:rPr>
          <w:t>https://facultad.itam.mx/es/facultad/13729-eric-magar-meurs</w:t>
        </w:r>
      </w:hyperlink>
      <w:r w:rsidRPr="00321E2B">
        <w:rPr>
          <w:lang w:val="es-ES"/>
        </w:rPr>
        <w:t xml:space="preserve">. </w:t>
      </w:r>
      <w:r w:rsidR="00070AFD" w:rsidRPr="00321E2B">
        <w:rPr>
          <w:lang w:val="es-MX"/>
        </w:rPr>
        <w:t>(</w:t>
      </w:r>
      <w:r w:rsidR="00C91DBC" w:rsidRPr="00321E2B">
        <w:rPr>
          <w:lang w:val="es-MX"/>
        </w:rPr>
        <w:t>a) domicilio: ITAM, Ri­o Hondo #1, Progreso Tizapan, MExico, D.F., 01080; (b) teléfono de contacto: +52(55)6284000; y (c) correo electrónico: emagar@itam.mx.</w:t>
      </w:r>
    </w:p>
  </w:footnote>
  <w:footnote w:id="3">
    <w:p w14:paraId="641C6092" w14:textId="24AD57AA" w:rsidR="00016C84" w:rsidRPr="00321E2B" w:rsidRDefault="00016C84" w:rsidP="00C91DBC">
      <w:pPr>
        <w:pStyle w:val="Textonotapie"/>
        <w:jc w:val="both"/>
        <w:rPr>
          <w:lang w:val="en-US"/>
        </w:rPr>
      </w:pPr>
      <w:r w:rsidRPr="00A77D5C">
        <w:rPr>
          <w:rStyle w:val="Refdenotaalpie"/>
        </w:rPr>
        <w:footnoteRef/>
      </w:r>
      <w:r w:rsidRPr="00A77D5C">
        <w:t xml:space="preserve"> </w:t>
      </w:r>
      <w:hyperlink r:id="rId3" w:history="1">
        <w:r w:rsidRPr="00321E2B">
          <w:rPr>
            <w:rStyle w:val="Hipervnculo"/>
            <w:rFonts w:eastAsia="Times New Roman"/>
            <w:lang w:val="en-US"/>
          </w:rPr>
          <w:t>http://micahaltman.com/</w:t>
        </w:r>
      </w:hyperlink>
      <w:r w:rsidRPr="00321E2B">
        <w:rPr>
          <w:rFonts w:eastAsia="Times New Roman"/>
          <w:color w:val="000000"/>
          <w:lang w:val="en-US"/>
        </w:rPr>
        <w:t xml:space="preserve"> </w:t>
      </w:r>
      <w:r w:rsidR="00070AFD" w:rsidRPr="00321E2B">
        <w:rPr>
          <w:rFonts w:eastAsia="Times New Roman"/>
          <w:color w:val="000000"/>
          <w:lang w:val="en-US"/>
        </w:rPr>
        <w:t>(</w:t>
      </w:r>
      <w:r w:rsidR="00C91DBC" w:rsidRPr="00321E2B">
        <w:rPr>
          <w:rFonts w:eastAsia="Times New Roman"/>
          <w:color w:val="000000"/>
          <w:lang w:val="en-US"/>
        </w:rPr>
        <w:t>a) domicilio: The Massachusetts Institute of Technology (MIT), E25-131, 77 Massachusetts Ave, Cambridge, Massachusetts, 02139; (b) teléfono de contacto: +1(585)4664224; y (c) correo electrónico: escience@mit.edu.</w:t>
      </w:r>
    </w:p>
  </w:footnote>
  <w:footnote w:id="4">
    <w:p w14:paraId="0E9E54EE" w14:textId="2B137647" w:rsidR="00393D80" w:rsidRPr="00A77D5C" w:rsidRDefault="00393D80" w:rsidP="000F003E">
      <w:pPr>
        <w:pStyle w:val="Textonotapie"/>
        <w:jc w:val="both"/>
        <w:rPr>
          <w:lang w:val="es-ES"/>
        </w:rPr>
      </w:pPr>
      <w:r w:rsidRPr="00A77D5C">
        <w:rPr>
          <w:rStyle w:val="Refdenotaalpie"/>
        </w:rPr>
        <w:footnoteRef/>
      </w:r>
      <w:r w:rsidRPr="00A77D5C">
        <w:t xml:space="preserve"> </w:t>
      </w:r>
      <w:hyperlink r:id="rId4" w:history="1">
        <w:r w:rsidRPr="00A77D5C">
          <w:rPr>
            <w:rStyle w:val="Hipervnculo"/>
          </w:rPr>
          <w:t>https://polisci.ufl.edu/michael-mcdonald/</w:t>
        </w:r>
      </w:hyperlink>
      <w:r w:rsidR="00C91DBC" w:rsidRPr="00A77D5C">
        <w:t xml:space="preserve"> </w:t>
      </w:r>
      <w:r w:rsidR="00070AFD" w:rsidRPr="00A77D5C">
        <w:t>(</w:t>
      </w:r>
      <w:r w:rsidR="00C91DBC" w:rsidRPr="00A77D5C">
        <w:t xml:space="preserve">a) domicilio: The University of Florida, Gainsville. </w:t>
      </w:r>
      <w:r w:rsidR="00C91DBC" w:rsidRPr="00321E2B">
        <w:rPr>
          <w:lang w:val="es-MX"/>
        </w:rPr>
        <w:t>234 Anderson Hall, Gainesville, Florida, 32611; (b) teléfono de contacto: +1(352)3920262; y, (c) correo electrónico: michael.mcdonald@ufl.edu.</w:t>
      </w:r>
    </w:p>
  </w:footnote>
  <w:footnote w:id="5">
    <w:p w14:paraId="68E12F7A" w14:textId="77777777" w:rsidR="008953DF" w:rsidRDefault="000D6ABD" w:rsidP="008953DF">
      <w:pPr>
        <w:spacing w:after="0" w:line="240" w:lineRule="auto"/>
        <w:jc w:val="both"/>
        <w:rPr>
          <w:sz w:val="20"/>
          <w:szCs w:val="20"/>
          <w:lang w:val="es-ES"/>
        </w:rPr>
      </w:pPr>
      <w:r w:rsidRPr="00A77D5C">
        <w:rPr>
          <w:sz w:val="20"/>
          <w:szCs w:val="20"/>
          <w:vertAlign w:val="superscript"/>
        </w:rPr>
        <w:footnoteRef/>
      </w:r>
      <w:r w:rsidRPr="00A77D5C">
        <w:rPr>
          <w:sz w:val="20"/>
          <w:szCs w:val="20"/>
          <w:lang w:val="es-ES"/>
        </w:rPr>
        <w:t xml:space="preserve"> </w:t>
      </w:r>
      <w:r w:rsidRPr="008953DF">
        <w:rPr>
          <w:sz w:val="20"/>
          <w:szCs w:val="20"/>
          <w:lang w:val="es-ES"/>
        </w:rPr>
        <w:t>Ugalde, Luis Carlos y Said Hernández Quintana, Coord. 2020. Elecciones, justicia y democracia en México: fortalezas y debilidades del sistema electoral, 1990-2020. 3a Edición. Vols. 1 &amp; 2. Tribunal Electoral del Poder Judicial de la Federación; Ugalde, Luis Carlos y Said Hernández Quintana, Coord. 2017. Fortalezas y debilidades del sistema electoral mexicano: perspectiva federal</w:t>
      </w:r>
      <w:r w:rsidR="005F4D26" w:rsidRPr="008953DF">
        <w:rPr>
          <w:sz w:val="20"/>
          <w:szCs w:val="20"/>
          <w:lang w:val="es-ES"/>
        </w:rPr>
        <w:t xml:space="preserve"> </w:t>
      </w:r>
      <w:r w:rsidRPr="008953DF">
        <w:rPr>
          <w:sz w:val="20"/>
          <w:szCs w:val="20"/>
          <w:lang w:val="es-ES"/>
        </w:rPr>
        <w:t>y local. Tribunal Electoral del Poder Judicial de la Federación; y Ugalde, Luis Carlos y Gustavo Rivera Loret de Mola, Coord. 2014. Fortalezas y debilidades del sistema electoral mexicano: perspectiva nacional e internacional. Tribunal Electoral del Poder Judicial de la Federación.</w:t>
      </w:r>
      <w:r w:rsidRPr="00A77D5C">
        <w:rPr>
          <w:sz w:val="20"/>
          <w:szCs w:val="20"/>
          <w:lang w:val="es-ES"/>
        </w:rPr>
        <w:t xml:space="preserve"> </w:t>
      </w:r>
      <w:hyperlink r:id="rId5" w:history="1">
        <w:r w:rsidR="008953DF" w:rsidRPr="006F2718">
          <w:rPr>
            <w:rStyle w:val="Hipervnculo"/>
            <w:sz w:val="20"/>
            <w:szCs w:val="20"/>
            <w:lang w:val="es-ES"/>
          </w:rPr>
          <w:t>https://www.te.gob.mx/publicaciones/sites/default/files/archivos_libros/Elecciones_Justicia_Democracia_Electronico.pdf</w:t>
        </w:r>
      </w:hyperlink>
    </w:p>
    <w:p w14:paraId="30EE4414" w14:textId="5BBC7BAB" w:rsidR="0076623C" w:rsidRPr="0076623C" w:rsidRDefault="0076623C" w:rsidP="008953DF">
      <w:pPr>
        <w:spacing w:after="0" w:line="240" w:lineRule="auto"/>
        <w:jc w:val="both"/>
        <w:rPr>
          <w:sz w:val="20"/>
          <w:szCs w:val="20"/>
          <w:lang w:val="es-ES"/>
        </w:rPr>
      </w:pPr>
      <w:r>
        <w:rPr>
          <w:sz w:val="20"/>
          <w:szCs w:val="20"/>
          <w:lang w:val="es-ES"/>
        </w:rPr>
        <w:t>Trelles, Alejandro.</w:t>
      </w:r>
      <w:r w:rsidR="008953DF">
        <w:rPr>
          <w:sz w:val="20"/>
          <w:szCs w:val="20"/>
          <w:lang w:val="es-ES"/>
        </w:rPr>
        <w:t xml:space="preserve"> </w:t>
      </w:r>
      <w:r>
        <w:rPr>
          <w:i/>
          <w:iCs/>
          <w:sz w:val="20"/>
          <w:szCs w:val="20"/>
          <w:lang w:val="es-ES"/>
        </w:rPr>
        <w:t>Geografía Electoral, Grupos Minoritarios y Representación Política en México, 1990-2017.</w:t>
      </w:r>
      <w:r>
        <w:rPr>
          <w:sz w:val="20"/>
          <w:szCs w:val="20"/>
          <w:lang w:val="es-ES"/>
        </w:rPr>
        <w:t xml:space="preserve">, que se adjunta como </w:t>
      </w:r>
      <w:r w:rsidRPr="0076623C">
        <w:rPr>
          <w:b/>
          <w:bCs/>
          <w:sz w:val="20"/>
          <w:szCs w:val="20"/>
          <w:lang w:val="es-ES"/>
        </w:rPr>
        <w:t>ANEXO 1</w:t>
      </w:r>
      <w:r>
        <w:rPr>
          <w:sz w:val="20"/>
          <w:szCs w:val="20"/>
          <w:lang w:val="es-ES"/>
        </w:rPr>
        <w:t xml:space="preserve"> en el presente escrito. </w:t>
      </w:r>
    </w:p>
  </w:footnote>
  <w:footnote w:id="6">
    <w:p w14:paraId="4F999D77" w14:textId="77777777" w:rsidR="008953DF" w:rsidRDefault="000D6ABD" w:rsidP="009C254F">
      <w:pPr>
        <w:spacing w:line="240" w:lineRule="auto"/>
        <w:jc w:val="both"/>
        <w:rPr>
          <w:sz w:val="20"/>
          <w:szCs w:val="20"/>
          <w:lang w:val="es-MX"/>
        </w:rPr>
      </w:pPr>
      <w:r w:rsidRPr="008953DF">
        <w:rPr>
          <w:sz w:val="20"/>
          <w:szCs w:val="20"/>
          <w:vertAlign w:val="superscript"/>
        </w:rPr>
        <w:footnoteRef/>
      </w:r>
      <w:r w:rsidRPr="008953DF">
        <w:rPr>
          <w:sz w:val="20"/>
          <w:szCs w:val="20"/>
          <w:lang w:val="es-ES"/>
        </w:rPr>
        <w:t xml:space="preserve"> Ver Martín Reyes, Javier y María Marván Laborde, Coord. 2023. Radiografía del Plan B: La Reforma Electoral de 2023 a Examen. Instituto de Investigaciones Jurídicas. Universidad Nacional Autónoma de México.  </w:t>
      </w:r>
      <w:r w:rsidRPr="008953DF">
        <w:rPr>
          <w:sz w:val="20"/>
          <w:szCs w:val="20"/>
          <w:lang w:val="es-MX"/>
        </w:rPr>
        <w:t xml:space="preserve">Primera Edición, 23 de febrero de 2023; ver </w:t>
      </w:r>
      <w:r w:rsidRPr="008953DF">
        <w:rPr>
          <w:i/>
          <w:sz w:val="20"/>
          <w:szCs w:val="20"/>
          <w:lang w:val="es-MX"/>
        </w:rPr>
        <w:t>European Commi</w:t>
      </w:r>
      <w:r w:rsidR="005F4D26" w:rsidRPr="008953DF">
        <w:rPr>
          <w:i/>
          <w:sz w:val="20"/>
          <w:szCs w:val="20"/>
          <w:lang w:val="es-MX"/>
        </w:rPr>
        <w:t>s</w:t>
      </w:r>
      <w:r w:rsidRPr="008953DF">
        <w:rPr>
          <w:i/>
          <w:sz w:val="20"/>
          <w:szCs w:val="20"/>
          <w:lang w:val="es-MX"/>
        </w:rPr>
        <w:t xml:space="preserve">sion for Democracy Through Law </w:t>
      </w:r>
      <w:r w:rsidRPr="008953DF">
        <w:rPr>
          <w:sz w:val="20"/>
          <w:szCs w:val="20"/>
          <w:lang w:val="es-MX"/>
        </w:rPr>
        <w:t>(Venice Commission), Opinion No. 1087/2022.</w:t>
      </w:r>
      <w:r w:rsidRPr="00321E2B">
        <w:rPr>
          <w:sz w:val="20"/>
          <w:szCs w:val="20"/>
          <w:lang w:val="es-MX"/>
        </w:rPr>
        <w:t xml:space="preserve"> </w:t>
      </w:r>
    </w:p>
    <w:p w14:paraId="000662C4" w14:textId="37D8459C" w:rsidR="007C05AC" w:rsidRPr="00321E2B" w:rsidRDefault="00884B00" w:rsidP="009C254F">
      <w:pPr>
        <w:spacing w:line="240" w:lineRule="auto"/>
        <w:jc w:val="both"/>
        <w:rPr>
          <w:sz w:val="20"/>
          <w:szCs w:val="20"/>
          <w:lang w:val="es-MX"/>
        </w:rPr>
      </w:pPr>
      <w:r>
        <w:rPr>
          <w:sz w:val="20"/>
          <w:szCs w:val="20"/>
          <w:lang w:val="es-MX"/>
        </w:rPr>
        <w:t xml:space="preserve"> </w:t>
      </w:r>
      <w:r w:rsidR="008953DF">
        <w:rPr>
          <w:sz w:val="20"/>
          <w:szCs w:val="20"/>
          <w:lang w:val="es-MX"/>
        </w:rPr>
        <w:t>Alejandro</w:t>
      </w:r>
      <w:r>
        <w:rPr>
          <w:sz w:val="20"/>
          <w:szCs w:val="20"/>
          <w:lang w:val="es-MX"/>
        </w:rPr>
        <w:t xml:space="preserve"> Trelles y Diego Martínez.2012. Fronteras electorales: Lecciones de la redistritación en México para California, que se adjunta al presente escrito como </w:t>
      </w:r>
      <w:r w:rsidRPr="00884B00">
        <w:rPr>
          <w:b/>
          <w:bCs/>
          <w:sz w:val="20"/>
          <w:szCs w:val="20"/>
          <w:lang w:val="es-MX"/>
        </w:rPr>
        <w:t>ANEXO 2</w:t>
      </w:r>
      <w:r w:rsidR="007C05AC">
        <w:rPr>
          <w:sz w:val="20"/>
          <w:szCs w:val="20"/>
          <w:lang w:val="es-MX"/>
        </w:rPr>
        <w:t xml:space="preserve"> </w:t>
      </w:r>
    </w:p>
  </w:footnote>
  <w:footnote w:id="7">
    <w:p w14:paraId="7C094275" w14:textId="39123C6E" w:rsidR="008953DF" w:rsidRDefault="000D6ABD" w:rsidP="009C254F">
      <w:pPr>
        <w:spacing w:line="240" w:lineRule="auto"/>
        <w:jc w:val="both"/>
        <w:rPr>
          <w:sz w:val="20"/>
          <w:szCs w:val="20"/>
          <w:lang w:val="en-US"/>
        </w:rPr>
      </w:pPr>
      <w:r w:rsidRPr="008953DF">
        <w:rPr>
          <w:sz w:val="20"/>
          <w:szCs w:val="20"/>
          <w:vertAlign w:val="superscript"/>
        </w:rPr>
        <w:footnoteRef/>
      </w:r>
      <w:r w:rsidRPr="008953DF">
        <w:rPr>
          <w:sz w:val="20"/>
          <w:szCs w:val="20"/>
        </w:rPr>
        <w:t xml:space="preserve"> Ver Micah Altman and Michael P. McDonald, “Redistricting Principles for the Twenty-First Century.” Case Western Reserve Law Review 62, no. 4 (2012): 1179-1204 for a detailed discussion; Ver Altman M, McDonald MP.  2014, How Independent Commissions Could Use the Internet and Open Software to Maximize Transparency and Public Engagement in Redistricting. Scholars Strategy Network; Ver Handley, Lisa and Bernard Grofman. 2008. Redistricting in Comparative Perspective. </w:t>
      </w:r>
      <w:r w:rsidRPr="008953DF">
        <w:rPr>
          <w:sz w:val="20"/>
          <w:szCs w:val="20"/>
          <w:lang w:val="en-US"/>
        </w:rPr>
        <w:t>Oxford: Oxford University Press.</w:t>
      </w:r>
      <w:r w:rsidR="008953DF" w:rsidRPr="008953DF">
        <w:rPr>
          <w:sz w:val="20"/>
          <w:szCs w:val="20"/>
          <w:lang w:val="en-US"/>
        </w:rPr>
        <w:t xml:space="preserve"> </w:t>
      </w:r>
      <w:hyperlink r:id="rId6" w:history="1">
        <w:r w:rsidR="008953DF" w:rsidRPr="008953DF">
          <w:rPr>
            <w:rStyle w:val="Hipervnculo"/>
            <w:sz w:val="20"/>
            <w:szCs w:val="20"/>
            <w:lang w:val="en-US"/>
          </w:rPr>
          <w:t>https://scholarlycommons.law.case.edu/cgi/viewcontent.cgi?article=1283&amp;context=caselrev</w:t>
        </w:r>
      </w:hyperlink>
    </w:p>
    <w:p w14:paraId="4A75C2B6" w14:textId="64FF5719" w:rsidR="007C05AC" w:rsidRPr="00A77D5C" w:rsidRDefault="007C05AC" w:rsidP="009C254F">
      <w:pPr>
        <w:spacing w:line="240" w:lineRule="auto"/>
        <w:jc w:val="both"/>
        <w:rPr>
          <w:sz w:val="20"/>
          <w:szCs w:val="20"/>
          <w:lang w:val="es-ES"/>
        </w:rPr>
      </w:pPr>
      <w:r>
        <w:rPr>
          <w:sz w:val="20"/>
          <w:szCs w:val="20"/>
          <w:lang w:val="es-ES"/>
        </w:rPr>
        <w:t xml:space="preserve">Alejandro Trelles, Micah Altman, Eric Magar y Michael P. McDonald “Datos Abiertos, Transparencia y redistritación en México” que se adjunta como </w:t>
      </w:r>
      <w:r w:rsidRPr="007C05AC">
        <w:rPr>
          <w:b/>
          <w:bCs/>
          <w:sz w:val="20"/>
          <w:szCs w:val="20"/>
          <w:lang w:val="es-ES"/>
        </w:rPr>
        <w:t xml:space="preserve">ANEXO </w:t>
      </w:r>
      <w:r w:rsidR="00884B00">
        <w:rPr>
          <w:b/>
          <w:bCs/>
          <w:sz w:val="20"/>
          <w:szCs w:val="20"/>
          <w:lang w:val="es-ES"/>
        </w:rPr>
        <w:t>3</w:t>
      </w:r>
      <w:r>
        <w:rPr>
          <w:sz w:val="20"/>
          <w:szCs w:val="20"/>
          <w:lang w:val="es-ES"/>
        </w:rPr>
        <w:t xml:space="preserve"> en el presente escrito. </w:t>
      </w:r>
    </w:p>
  </w:footnote>
  <w:footnote w:id="8">
    <w:p w14:paraId="00000060" w14:textId="77777777" w:rsidR="002A374E" w:rsidRPr="00A77D5C" w:rsidRDefault="000D6ABD" w:rsidP="009C254F">
      <w:pPr>
        <w:spacing w:after="0" w:line="240" w:lineRule="auto"/>
        <w:jc w:val="both"/>
        <w:rPr>
          <w:sz w:val="20"/>
          <w:szCs w:val="20"/>
          <w:lang w:val="es-ES"/>
        </w:rPr>
      </w:pPr>
      <w:r w:rsidRPr="00A77D5C">
        <w:rPr>
          <w:sz w:val="20"/>
          <w:szCs w:val="20"/>
          <w:vertAlign w:val="superscript"/>
        </w:rPr>
        <w:footnoteRef/>
      </w:r>
      <w:r w:rsidRPr="00A77D5C">
        <w:rPr>
          <w:sz w:val="20"/>
          <w:szCs w:val="20"/>
          <w:lang w:val="es-ES"/>
        </w:rPr>
        <w:t xml:space="preserve">  El Ejecutivo Federal ha recurrido constantemente a la desclasificación del órgano electoral, específicamente de su cuerpo colegiado y estructura directiva. </w:t>
      </w:r>
    </w:p>
  </w:footnote>
  <w:footnote w:id="9">
    <w:p w14:paraId="00000061" w14:textId="2EA06619" w:rsidR="002A374E" w:rsidRPr="00321E2B" w:rsidRDefault="000D6ABD" w:rsidP="009C254F">
      <w:pPr>
        <w:spacing w:after="0" w:line="240" w:lineRule="auto"/>
        <w:jc w:val="both"/>
        <w:rPr>
          <w:sz w:val="20"/>
          <w:szCs w:val="20"/>
          <w:lang w:val="es-MX"/>
        </w:rPr>
      </w:pPr>
      <w:r w:rsidRPr="00A77D5C">
        <w:rPr>
          <w:sz w:val="20"/>
          <w:szCs w:val="20"/>
          <w:vertAlign w:val="superscript"/>
        </w:rPr>
        <w:footnoteRef/>
      </w:r>
      <w:r w:rsidRPr="00A77D5C">
        <w:rPr>
          <w:sz w:val="20"/>
          <w:szCs w:val="20"/>
          <w:lang w:val="es-ES"/>
        </w:rPr>
        <w:t xml:space="preserve">  Ver Trelles, Alejandro, Micah Altman, Eric Magar, and Michael McDonald. </w:t>
      </w:r>
      <w:r w:rsidRPr="00A77D5C">
        <w:rPr>
          <w:sz w:val="20"/>
          <w:szCs w:val="20"/>
        </w:rPr>
        <w:t xml:space="preserve">"No Accountability Without Transparency and Consistency: Evaluating Mexico's Redistricting-by-Formula." </w:t>
      </w:r>
      <w:r w:rsidRPr="00A77D5C">
        <w:rPr>
          <w:i/>
          <w:iCs/>
          <w:sz w:val="20"/>
          <w:szCs w:val="20"/>
          <w:lang w:val="es-ES"/>
        </w:rPr>
        <w:t>Election Law Journal: Rules, Politics, and Policy</w:t>
      </w:r>
      <w:r w:rsidRPr="00A77D5C">
        <w:rPr>
          <w:sz w:val="20"/>
          <w:szCs w:val="20"/>
          <w:lang w:val="es-ES"/>
        </w:rPr>
        <w:t xml:space="preserve"> 22, no. 1 (2023): 80-99; Ver Saldaña, José Roberto Ruiz, and Pablo Alfonso Cervantes González. "Redistritación federal en México: una revisión de sentencias en preparación de la siguiente." </w:t>
      </w:r>
      <w:r w:rsidRPr="00321E2B">
        <w:rPr>
          <w:sz w:val="20"/>
          <w:szCs w:val="20"/>
          <w:lang w:val="es-MX"/>
        </w:rPr>
        <w:t>Revista Justicia Electoral 1, no. 26 (2020): 249-303</w:t>
      </w:r>
      <w:r w:rsidR="00321E2B" w:rsidRPr="00321E2B">
        <w:rPr>
          <w:sz w:val="20"/>
          <w:szCs w:val="20"/>
          <w:lang w:val="es-MX"/>
        </w:rPr>
        <w:t xml:space="preserve">, que se acompaña como </w:t>
      </w:r>
      <w:r w:rsidR="007C05AC">
        <w:rPr>
          <w:b/>
          <w:bCs/>
          <w:sz w:val="20"/>
          <w:szCs w:val="20"/>
          <w:lang w:val="es-MX"/>
        </w:rPr>
        <w:t xml:space="preserve">ANEXO </w:t>
      </w:r>
      <w:r w:rsidR="00884B00">
        <w:rPr>
          <w:b/>
          <w:bCs/>
          <w:sz w:val="20"/>
          <w:szCs w:val="20"/>
          <w:lang w:val="es-MX"/>
        </w:rPr>
        <w:t>4</w:t>
      </w:r>
      <w:r w:rsidR="00321E2B" w:rsidRPr="00321E2B">
        <w:rPr>
          <w:b/>
          <w:bCs/>
          <w:sz w:val="20"/>
          <w:szCs w:val="20"/>
          <w:lang w:val="es-MX"/>
        </w:rPr>
        <w:t xml:space="preserve"> </w:t>
      </w:r>
      <w:r w:rsidR="00321E2B" w:rsidRPr="00321E2B">
        <w:rPr>
          <w:sz w:val="20"/>
          <w:szCs w:val="20"/>
          <w:lang w:val="es-MX"/>
        </w:rPr>
        <w:t>e</w:t>
      </w:r>
      <w:r w:rsidR="00321E2B">
        <w:rPr>
          <w:sz w:val="20"/>
          <w:szCs w:val="20"/>
          <w:lang w:val="es-MX"/>
        </w:rPr>
        <w:t>n el presente escrito.</w:t>
      </w:r>
    </w:p>
  </w:footnote>
  <w:footnote w:id="10">
    <w:p w14:paraId="67705CE3" w14:textId="07BAC0C6" w:rsidR="00321E2B" w:rsidRPr="00321E2B" w:rsidRDefault="000D6ABD" w:rsidP="00321E2B">
      <w:pPr>
        <w:spacing w:after="0" w:line="240" w:lineRule="auto"/>
        <w:jc w:val="both"/>
        <w:rPr>
          <w:sz w:val="20"/>
          <w:szCs w:val="20"/>
          <w:lang w:val="es-MX"/>
        </w:rPr>
      </w:pPr>
      <w:r w:rsidRPr="00A77D5C">
        <w:rPr>
          <w:sz w:val="20"/>
          <w:szCs w:val="20"/>
          <w:vertAlign w:val="superscript"/>
        </w:rPr>
        <w:footnoteRef/>
      </w:r>
      <w:r w:rsidRPr="00A77D5C">
        <w:rPr>
          <w:sz w:val="20"/>
          <w:szCs w:val="20"/>
        </w:rPr>
        <w:t xml:space="preserve"> Ver Trelles, Alejandro and Altman, Micah and Magar, Eric and McDonald, Michael P. and McDonald, Michael P., How Does Redistricting Matter? </w:t>
      </w:r>
      <w:r w:rsidRPr="0076623C">
        <w:rPr>
          <w:sz w:val="20"/>
          <w:szCs w:val="20"/>
          <w:lang w:val="es-MX"/>
        </w:rPr>
        <w:t xml:space="preserve">Evidence from a Quasi-Experimental Setting in Mexico (April 5, 2022). </w:t>
      </w:r>
      <w:r w:rsidRPr="00321E2B">
        <w:rPr>
          <w:sz w:val="20"/>
          <w:szCs w:val="20"/>
          <w:lang w:val="es-MX"/>
        </w:rPr>
        <w:t xml:space="preserve">Available at SSRN: https://ssrn.com/abstract=4076322 or </w:t>
      </w:r>
      <w:hyperlink r:id="rId7" w:history="1">
        <w:r w:rsidR="00321E2B" w:rsidRPr="00321E2B">
          <w:rPr>
            <w:rStyle w:val="Hipervnculo"/>
            <w:sz w:val="20"/>
            <w:szCs w:val="20"/>
            <w:lang w:val="es-MX"/>
          </w:rPr>
          <w:t>http://dx.doi.org/10.2139/ssrn.4076322</w:t>
        </w:r>
      </w:hyperlink>
      <w:r w:rsidR="00321E2B" w:rsidRPr="00321E2B">
        <w:rPr>
          <w:sz w:val="20"/>
          <w:szCs w:val="20"/>
          <w:lang w:val="es-MX"/>
        </w:rPr>
        <w:t xml:space="preserve">, que se acompaña como </w:t>
      </w:r>
      <w:r w:rsidR="007C05AC">
        <w:rPr>
          <w:b/>
          <w:bCs/>
          <w:sz w:val="20"/>
          <w:szCs w:val="20"/>
          <w:lang w:val="es-MX"/>
        </w:rPr>
        <w:t>ANEXO</w:t>
      </w:r>
      <w:r w:rsidR="00321E2B" w:rsidRPr="00321E2B">
        <w:rPr>
          <w:b/>
          <w:bCs/>
          <w:sz w:val="20"/>
          <w:szCs w:val="20"/>
          <w:lang w:val="es-MX"/>
        </w:rPr>
        <w:t xml:space="preserve"> </w:t>
      </w:r>
      <w:r w:rsidR="00884B00">
        <w:rPr>
          <w:b/>
          <w:bCs/>
          <w:sz w:val="20"/>
          <w:szCs w:val="20"/>
          <w:lang w:val="es-MX"/>
        </w:rPr>
        <w:t>5</w:t>
      </w:r>
      <w:r w:rsidR="00321E2B" w:rsidRPr="00321E2B">
        <w:rPr>
          <w:b/>
          <w:bCs/>
          <w:sz w:val="20"/>
          <w:szCs w:val="20"/>
          <w:lang w:val="es-MX"/>
        </w:rPr>
        <w:t xml:space="preserve"> </w:t>
      </w:r>
      <w:r w:rsidR="00321E2B" w:rsidRPr="00321E2B">
        <w:rPr>
          <w:sz w:val="20"/>
          <w:szCs w:val="20"/>
          <w:lang w:val="es-MX"/>
        </w:rPr>
        <w:t>e</w:t>
      </w:r>
      <w:r w:rsidR="00321E2B">
        <w:rPr>
          <w:sz w:val="20"/>
          <w:szCs w:val="20"/>
          <w:lang w:val="es-MX"/>
        </w:rPr>
        <w:t>n el presente escrito.</w:t>
      </w:r>
    </w:p>
    <w:p w14:paraId="00000062" w14:textId="5CA86BDF" w:rsidR="002A374E" w:rsidRPr="00321E2B" w:rsidRDefault="002A374E" w:rsidP="009C254F">
      <w:pPr>
        <w:jc w:val="both"/>
        <w:rPr>
          <w:sz w:val="20"/>
          <w:szCs w:val="20"/>
          <w:lang w:val="es-MX"/>
        </w:rPr>
      </w:pPr>
    </w:p>
  </w:footnote>
  <w:footnote w:id="11">
    <w:p w14:paraId="1C4374E9" w14:textId="21D77126" w:rsidR="00321E2B" w:rsidRPr="00321E2B" w:rsidRDefault="000D6ABD" w:rsidP="00321E2B">
      <w:pPr>
        <w:spacing w:after="0" w:line="240" w:lineRule="auto"/>
        <w:jc w:val="both"/>
        <w:rPr>
          <w:sz w:val="20"/>
          <w:szCs w:val="20"/>
          <w:lang w:val="es-MX"/>
        </w:rPr>
      </w:pPr>
      <w:r w:rsidRPr="00A77D5C">
        <w:rPr>
          <w:sz w:val="20"/>
          <w:szCs w:val="20"/>
          <w:vertAlign w:val="superscript"/>
        </w:rPr>
        <w:footnoteRef/>
      </w:r>
      <w:r w:rsidRPr="00A77D5C">
        <w:rPr>
          <w:sz w:val="20"/>
          <w:szCs w:val="20"/>
          <w:lang w:val="es-ES"/>
        </w:rPr>
        <w:t xml:space="preserve">  Magar, Eric, Alejandro Trelles, Micah Altman, and Michael P. McDonald. </w:t>
      </w:r>
      <w:r w:rsidRPr="00A77D5C">
        <w:rPr>
          <w:sz w:val="20"/>
          <w:szCs w:val="20"/>
        </w:rPr>
        <w:t xml:space="preserve">"Components of partisan bias originating from single-member districts in multi-party systems: An application to Mexico." </w:t>
      </w:r>
      <w:r w:rsidRPr="00A77D5C">
        <w:rPr>
          <w:sz w:val="20"/>
          <w:szCs w:val="20"/>
          <w:lang w:val="es-ES"/>
        </w:rPr>
        <w:t>Political Geography 57 (2017): 1-12</w:t>
      </w:r>
      <w:r w:rsidR="00321E2B">
        <w:rPr>
          <w:sz w:val="20"/>
          <w:szCs w:val="20"/>
          <w:lang w:val="es-ES"/>
        </w:rPr>
        <w:t xml:space="preserve">., </w:t>
      </w:r>
      <w:r w:rsidR="00321E2B" w:rsidRPr="00321E2B">
        <w:rPr>
          <w:sz w:val="20"/>
          <w:szCs w:val="20"/>
          <w:lang w:val="es-MX"/>
        </w:rPr>
        <w:t xml:space="preserve">que se acompaña como </w:t>
      </w:r>
      <w:r w:rsidR="00884B00">
        <w:rPr>
          <w:b/>
          <w:bCs/>
          <w:sz w:val="20"/>
          <w:szCs w:val="20"/>
          <w:lang w:val="es-MX"/>
        </w:rPr>
        <w:t xml:space="preserve">ANEXO 6 </w:t>
      </w:r>
      <w:r w:rsidR="00321E2B" w:rsidRPr="00321E2B">
        <w:rPr>
          <w:sz w:val="20"/>
          <w:szCs w:val="20"/>
          <w:lang w:val="es-MX"/>
        </w:rPr>
        <w:t>e</w:t>
      </w:r>
      <w:r w:rsidR="00321E2B">
        <w:rPr>
          <w:sz w:val="20"/>
          <w:szCs w:val="20"/>
          <w:lang w:val="es-MX"/>
        </w:rPr>
        <w:t>n el presente escrito.</w:t>
      </w:r>
    </w:p>
    <w:p w14:paraId="00000063" w14:textId="62E8C1BE" w:rsidR="002A374E" w:rsidRPr="00321E2B" w:rsidRDefault="002A374E" w:rsidP="009C254F">
      <w:pPr>
        <w:spacing w:after="0" w:line="240" w:lineRule="auto"/>
        <w:jc w:val="both"/>
        <w:rPr>
          <w:sz w:val="20"/>
          <w:szCs w:val="20"/>
          <w:lang w:val="es-MX"/>
        </w:rPr>
      </w:pPr>
    </w:p>
  </w:footnote>
  <w:footnote w:id="12">
    <w:p w14:paraId="00000064" w14:textId="77777777" w:rsidR="002A374E" w:rsidRPr="00A77D5C" w:rsidRDefault="000D6ABD" w:rsidP="009C254F">
      <w:pPr>
        <w:spacing w:after="0" w:line="240" w:lineRule="auto"/>
        <w:jc w:val="both"/>
        <w:rPr>
          <w:sz w:val="20"/>
          <w:szCs w:val="20"/>
          <w:lang w:val="es-ES"/>
        </w:rPr>
      </w:pPr>
      <w:r w:rsidRPr="00A77D5C">
        <w:rPr>
          <w:sz w:val="20"/>
          <w:szCs w:val="20"/>
          <w:vertAlign w:val="superscript"/>
        </w:rPr>
        <w:footnoteRef/>
      </w:r>
      <w:r w:rsidRPr="00A77D5C">
        <w:rPr>
          <w:sz w:val="20"/>
          <w:szCs w:val="20"/>
          <w:lang w:val="es-ES"/>
        </w:rPr>
        <w:t xml:space="preserve">  Ver, Ibid. Trelles, et al., 2022; Trelles et. al., 2023. </w:t>
      </w:r>
    </w:p>
  </w:footnote>
  <w:footnote w:id="13">
    <w:p w14:paraId="00000065" w14:textId="77777777" w:rsidR="002A374E" w:rsidRPr="00A77D5C" w:rsidRDefault="000D6ABD" w:rsidP="009C254F">
      <w:pPr>
        <w:spacing w:after="0" w:line="240" w:lineRule="auto"/>
        <w:jc w:val="both"/>
        <w:rPr>
          <w:sz w:val="20"/>
          <w:szCs w:val="20"/>
          <w:lang w:val="es-ES"/>
        </w:rPr>
      </w:pPr>
      <w:r w:rsidRPr="00A77D5C">
        <w:rPr>
          <w:sz w:val="20"/>
          <w:szCs w:val="20"/>
          <w:vertAlign w:val="superscript"/>
        </w:rPr>
        <w:footnoteRef/>
      </w:r>
      <w:r w:rsidRPr="00A77D5C">
        <w:rPr>
          <w:sz w:val="20"/>
          <w:szCs w:val="20"/>
          <w:lang w:val="es-ES"/>
        </w:rPr>
        <w:t xml:space="preserve"> Ibid. Trelles et. al., 2022 y Saldaña y Cervantes 2020.</w:t>
      </w:r>
    </w:p>
  </w:footnote>
  <w:footnote w:id="14">
    <w:p w14:paraId="00000066" w14:textId="5F1FCAC5" w:rsidR="002A374E" w:rsidRPr="00984D29" w:rsidRDefault="000D6ABD" w:rsidP="009C254F">
      <w:pPr>
        <w:spacing w:after="0" w:line="240" w:lineRule="auto"/>
        <w:jc w:val="both"/>
        <w:rPr>
          <w:sz w:val="20"/>
          <w:szCs w:val="20"/>
          <w:lang w:val="es-ES"/>
        </w:rPr>
      </w:pPr>
      <w:r w:rsidRPr="00984D29">
        <w:rPr>
          <w:sz w:val="20"/>
          <w:szCs w:val="20"/>
          <w:vertAlign w:val="superscript"/>
        </w:rPr>
        <w:footnoteRef/>
      </w:r>
      <w:r w:rsidRPr="00984D29">
        <w:rPr>
          <w:sz w:val="20"/>
          <w:szCs w:val="20"/>
        </w:rPr>
        <w:t xml:space="preserve"> Ver  </w:t>
      </w:r>
      <w:r w:rsidRPr="00984D29">
        <w:rPr>
          <w:i/>
          <w:sz w:val="20"/>
          <w:szCs w:val="20"/>
        </w:rPr>
        <w:t xml:space="preserve">European </w:t>
      </w:r>
      <w:r w:rsidR="005F4D26" w:rsidRPr="00984D29">
        <w:rPr>
          <w:i/>
          <w:sz w:val="20"/>
          <w:szCs w:val="20"/>
        </w:rPr>
        <w:t>Commission</w:t>
      </w:r>
      <w:r w:rsidRPr="00984D29">
        <w:rPr>
          <w:i/>
          <w:sz w:val="20"/>
          <w:szCs w:val="20"/>
        </w:rPr>
        <w:t xml:space="preserve"> for Democracy Through Law </w:t>
      </w:r>
      <w:r w:rsidRPr="00984D29">
        <w:rPr>
          <w:sz w:val="20"/>
          <w:szCs w:val="20"/>
        </w:rPr>
        <w:t xml:space="preserve">(Venice Commission), Opinion No. 1087/2022 at 68(c). </w:t>
      </w:r>
      <w:r w:rsidRPr="00984D29">
        <w:rPr>
          <w:sz w:val="20"/>
          <w:szCs w:val="20"/>
          <w:lang w:val="es-ES"/>
        </w:rPr>
        <w:t xml:space="preserve">Ver </w:t>
      </w:r>
      <w:hyperlink r:id="rId8">
        <w:r w:rsidRPr="00984D29">
          <w:rPr>
            <w:color w:val="1155CC"/>
            <w:sz w:val="20"/>
            <w:szCs w:val="20"/>
            <w:u w:val="single"/>
            <w:lang w:val="es-ES"/>
          </w:rPr>
          <w:t>https://www.venice.coe.int/webforms/documents/?opinion=1087&amp;year=all</w:t>
        </w:r>
      </w:hyperlink>
      <w:r w:rsidRPr="00984D29">
        <w:rPr>
          <w:sz w:val="20"/>
          <w:szCs w:val="20"/>
          <w:lang w:val="es-ES"/>
        </w:rPr>
        <w:t xml:space="preserve"> </w:t>
      </w:r>
    </w:p>
  </w:footnote>
  <w:footnote w:id="15">
    <w:p w14:paraId="05AC74DF" w14:textId="257FEE41" w:rsidR="00884B00" w:rsidRPr="00A77D5C" w:rsidRDefault="000D6ABD" w:rsidP="009C254F">
      <w:pPr>
        <w:spacing w:after="0" w:line="240" w:lineRule="auto"/>
        <w:jc w:val="both"/>
        <w:rPr>
          <w:sz w:val="20"/>
          <w:szCs w:val="20"/>
          <w:lang w:val="es-ES"/>
        </w:rPr>
      </w:pPr>
      <w:r w:rsidRPr="00984D29">
        <w:rPr>
          <w:sz w:val="20"/>
          <w:szCs w:val="20"/>
          <w:vertAlign w:val="superscript"/>
        </w:rPr>
        <w:footnoteRef/>
      </w:r>
      <w:r w:rsidRPr="00984D29">
        <w:rPr>
          <w:sz w:val="20"/>
          <w:szCs w:val="20"/>
          <w:lang w:val="es-ES"/>
        </w:rPr>
        <w:t xml:space="preserve"> Ver Miranda Jaimes, René y Farah Munayer. 2022. “Plan B: El embate al padrón electoral y la lista de electores”. En Martín Reyes, Javier y María Marván Laborde, Coord. 2023. Radiografía del Plan B: La Reforma Electoral de 2023 a Examen. Instituto de Investigaciones Jurídicas. Universidad Nacional </w:t>
      </w:r>
      <w:r w:rsidR="005F4D26" w:rsidRPr="00984D29">
        <w:rPr>
          <w:sz w:val="20"/>
          <w:szCs w:val="20"/>
          <w:lang w:val="es-ES"/>
        </w:rPr>
        <w:t>Autónoma</w:t>
      </w:r>
      <w:r w:rsidRPr="00984D29">
        <w:rPr>
          <w:sz w:val="20"/>
          <w:szCs w:val="20"/>
          <w:lang w:val="es-ES"/>
        </w:rPr>
        <w:t xml:space="preserve"> de México.  Primera Edición, 23 de febrero de 2023.</w:t>
      </w:r>
    </w:p>
  </w:footnote>
  <w:footnote w:id="16">
    <w:p w14:paraId="00000069" w14:textId="77777777" w:rsidR="002A374E" w:rsidRPr="00A77D5C" w:rsidRDefault="000D6ABD" w:rsidP="009C254F">
      <w:pPr>
        <w:spacing w:after="0" w:line="240" w:lineRule="auto"/>
        <w:jc w:val="both"/>
        <w:rPr>
          <w:sz w:val="20"/>
          <w:szCs w:val="20"/>
          <w:lang w:val="es-ES"/>
        </w:rPr>
      </w:pPr>
      <w:r w:rsidRPr="00A77D5C">
        <w:rPr>
          <w:sz w:val="20"/>
          <w:szCs w:val="20"/>
          <w:vertAlign w:val="superscript"/>
        </w:rPr>
        <w:footnoteRef/>
      </w:r>
      <w:r w:rsidRPr="00A77D5C">
        <w:rPr>
          <w:sz w:val="20"/>
          <w:szCs w:val="20"/>
          <w:lang w:val="es-ES"/>
        </w:rPr>
        <w:t xml:space="preserve"> Los vocales distritales son responsables de trabajos fundamentales como la operación en campo, el análisis de gabinete, la digitalización de la cartografía electoral, la generación de archivos de impresión de los diversos productos cartográficos, la asignación de datos geoelectorales y de casillas electorales, la generación de aplicaciones e infraestructura cartográfica, así como las tareas básicas relacionadas al reseccionamiento y redistritación.</w:t>
      </w:r>
    </w:p>
  </w:footnote>
  <w:footnote w:id="17">
    <w:p w14:paraId="0000006A" w14:textId="77777777" w:rsidR="002A374E" w:rsidRPr="00A77D5C" w:rsidRDefault="000D6ABD" w:rsidP="009C254F">
      <w:pPr>
        <w:spacing w:after="0" w:line="240" w:lineRule="auto"/>
        <w:jc w:val="both"/>
        <w:rPr>
          <w:sz w:val="20"/>
          <w:szCs w:val="20"/>
          <w:lang w:val="es-ES"/>
        </w:rPr>
      </w:pPr>
      <w:r w:rsidRPr="00A77D5C">
        <w:rPr>
          <w:sz w:val="20"/>
          <w:szCs w:val="20"/>
          <w:vertAlign w:val="superscript"/>
        </w:rPr>
        <w:footnoteRef/>
      </w:r>
      <w:r w:rsidRPr="00A77D5C">
        <w:rPr>
          <w:sz w:val="20"/>
          <w:szCs w:val="20"/>
          <w:lang w:val="es-ES"/>
        </w:rPr>
        <w:t xml:space="preserve"> Ver Memoria de la Distritación Electoral 2021-2022. Instituto Nacional Electoral. </w:t>
      </w:r>
      <w:hyperlink r:id="rId9">
        <w:r w:rsidRPr="00A77D5C">
          <w:rPr>
            <w:color w:val="1155CC"/>
            <w:sz w:val="20"/>
            <w:szCs w:val="20"/>
            <w:u w:val="single"/>
            <w:lang w:val="es-ES"/>
          </w:rPr>
          <w:t>https://www.ine.mx/sobre-el-ine/distritacion-electoral-2021/</w:t>
        </w:r>
      </w:hyperlink>
      <w:r w:rsidRPr="00A77D5C">
        <w:rPr>
          <w:sz w:val="20"/>
          <w:szCs w:val="20"/>
          <w:lang w:val="es-ES"/>
        </w:rPr>
        <w:t xml:space="preserve"> y </w:t>
      </w:r>
      <w:r w:rsidRPr="00A77D5C">
        <w:rPr>
          <w:color w:val="0D0D0D"/>
          <w:sz w:val="20"/>
          <w:szCs w:val="20"/>
          <w:lang w:val="es-ES"/>
        </w:rPr>
        <w:t>Artículo Tercero Transitorio del Decreto de fecha 18 de julio de 2001, publicado en el Diario Oficial de la Federación el día 14 de agosto del mismo año, por el que se reformó el Artículo 2 de la Constitución Política de los Estados Unidos Mexicanos</w:t>
      </w:r>
    </w:p>
  </w:footnote>
  <w:footnote w:id="18">
    <w:p w14:paraId="00000067" w14:textId="495B3055" w:rsidR="002A374E" w:rsidRPr="00A77D5C" w:rsidRDefault="000D6ABD" w:rsidP="009C254F">
      <w:pPr>
        <w:spacing w:after="0" w:line="240" w:lineRule="auto"/>
        <w:jc w:val="both"/>
        <w:rPr>
          <w:sz w:val="20"/>
          <w:szCs w:val="20"/>
          <w:lang w:val="es-ES"/>
        </w:rPr>
      </w:pPr>
      <w:r w:rsidRPr="00A77D5C">
        <w:rPr>
          <w:sz w:val="20"/>
          <w:szCs w:val="20"/>
          <w:vertAlign w:val="superscript"/>
        </w:rPr>
        <w:footnoteRef/>
      </w:r>
      <w:r w:rsidRPr="00A77D5C">
        <w:rPr>
          <w:sz w:val="20"/>
          <w:szCs w:val="20"/>
          <w:lang w:val="es-ES"/>
        </w:rPr>
        <w:t xml:space="preserve"> Ibid. Trelles et. al., 2022.</w:t>
      </w:r>
    </w:p>
  </w:footnote>
  <w:footnote w:id="19">
    <w:p w14:paraId="41894979" w14:textId="7C490A77" w:rsidR="005F4D26" w:rsidRPr="00A77D5C" w:rsidRDefault="005F4D26" w:rsidP="009C254F">
      <w:pPr>
        <w:pStyle w:val="Textonotapie"/>
        <w:jc w:val="both"/>
        <w:rPr>
          <w:lang w:val="es-ES"/>
        </w:rPr>
      </w:pPr>
      <w:r w:rsidRPr="00A77D5C">
        <w:rPr>
          <w:rStyle w:val="Refdenotaalpie"/>
        </w:rPr>
        <w:footnoteRef/>
      </w:r>
      <w:r w:rsidRPr="00A77D5C">
        <w:rPr>
          <w:lang w:val="es-ES"/>
        </w:rPr>
        <w:t xml:space="preserve"> Ibid. Saldaña y Cervantes 2020.</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5B" w14:textId="77777777" w:rsidR="002A374E" w:rsidRDefault="002A374E"/>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57A4F19"/>
    <w:multiLevelType w:val="multilevel"/>
    <w:tmpl w:val="929CCE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69202BE"/>
    <w:multiLevelType w:val="multilevel"/>
    <w:tmpl w:val="E6F032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7BBC3B67"/>
    <w:multiLevelType w:val="multilevel"/>
    <w:tmpl w:val="3D6A88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9"/>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A374E"/>
    <w:rsid w:val="00001473"/>
    <w:rsid w:val="00001918"/>
    <w:rsid w:val="00016C84"/>
    <w:rsid w:val="00047830"/>
    <w:rsid w:val="0006210F"/>
    <w:rsid w:val="00070AFD"/>
    <w:rsid w:val="000C3ECA"/>
    <w:rsid w:val="000D6ABD"/>
    <w:rsid w:val="000F003E"/>
    <w:rsid w:val="001161B7"/>
    <w:rsid w:val="00120C0C"/>
    <w:rsid w:val="00127333"/>
    <w:rsid w:val="00147603"/>
    <w:rsid w:val="0016634C"/>
    <w:rsid w:val="001E276F"/>
    <w:rsid w:val="00206004"/>
    <w:rsid w:val="00231864"/>
    <w:rsid w:val="002422EF"/>
    <w:rsid w:val="002611C6"/>
    <w:rsid w:val="00263C82"/>
    <w:rsid w:val="002A374E"/>
    <w:rsid w:val="00321E2B"/>
    <w:rsid w:val="00346DC9"/>
    <w:rsid w:val="0038075A"/>
    <w:rsid w:val="003854B9"/>
    <w:rsid w:val="00393D80"/>
    <w:rsid w:val="003B2992"/>
    <w:rsid w:val="003E41E8"/>
    <w:rsid w:val="00416B1F"/>
    <w:rsid w:val="00452B07"/>
    <w:rsid w:val="004678AC"/>
    <w:rsid w:val="00467A24"/>
    <w:rsid w:val="004718A3"/>
    <w:rsid w:val="004B0CB1"/>
    <w:rsid w:val="004E1239"/>
    <w:rsid w:val="004E30F9"/>
    <w:rsid w:val="004E3BF9"/>
    <w:rsid w:val="004E6342"/>
    <w:rsid w:val="005532CA"/>
    <w:rsid w:val="005554DB"/>
    <w:rsid w:val="005A0731"/>
    <w:rsid w:val="005B03F9"/>
    <w:rsid w:val="005B3C6F"/>
    <w:rsid w:val="005F134A"/>
    <w:rsid w:val="005F4D26"/>
    <w:rsid w:val="00616231"/>
    <w:rsid w:val="00697EDA"/>
    <w:rsid w:val="00700084"/>
    <w:rsid w:val="0074642D"/>
    <w:rsid w:val="0076623C"/>
    <w:rsid w:val="007C05AC"/>
    <w:rsid w:val="007F6EEF"/>
    <w:rsid w:val="008520DB"/>
    <w:rsid w:val="008568A4"/>
    <w:rsid w:val="00884B00"/>
    <w:rsid w:val="008953DF"/>
    <w:rsid w:val="008F192F"/>
    <w:rsid w:val="00915633"/>
    <w:rsid w:val="0094253C"/>
    <w:rsid w:val="009604BD"/>
    <w:rsid w:val="00984D29"/>
    <w:rsid w:val="009B2211"/>
    <w:rsid w:val="009C254F"/>
    <w:rsid w:val="009C71A4"/>
    <w:rsid w:val="00A0456C"/>
    <w:rsid w:val="00A16114"/>
    <w:rsid w:val="00A32929"/>
    <w:rsid w:val="00A774CF"/>
    <w:rsid w:val="00A77D5C"/>
    <w:rsid w:val="00AA5584"/>
    <w:rsid w:val="00AE50E0"/>
    <w:rsid w:val="00AF79EB"/>
    <w:rsid w:val="00B32135"/>
    <w:rsid w:val="00B35517"/>
    <w:rsid w:val="00B4048C"/>
    <w:rsid w:val="00B43750"/>
    <w:rsid w:val="00B82905"/>
    <w:rsid w:val="00BD2169"/>
    <w:rsid w:val="00C150CB"/>
    <w:rsid w:val="00C91DBC"/>
    <w:rsid w:val="00CB03EF"/>
    <w:rsid w:val="00D13F0F"/>
    <w:rsid w:val="00D232E3"/>
    <w:rsid w:val="00D45DB7"/>
    <w:rsid w:val="00D619B1"/>
    <w:rsid w:val="00D94A33"/>
    <w:rsid w:val="00DC6856"/>
    <w:rsid w:val="00E21D19"/>
    <w:rsid w:val="00E265F2"/>
    <w:rsid w:val="00EB253E"/>
    <w:rsid w:val="00EE21D3"/>
    <w:rsid w:val="00F129F7"/>
    <w:rsid w:val="00F50844"/>
    <w:rsid w:val="00F93ED2"/>
    <w:rsid w:val="00FD102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140F6B"/>
  <w15:docId w15:val="{083B8C46-C4EC-9448-9E8D-5376E5DF74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s-MX"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paragraph" w:customStyle="1" w:styleId="CuerpoA">
    <w:name w:val="Cuerpo A"/>
    <w:rsid w:val="00DC6856"/>
    <w:pPr>
      <w:pBdr>
        <w:top w:val="nil"/>
        <w:left w:val="nil"/>
        <w:bottom w:val="nil"/>
        <w:right w:val="nil"/>
        <w:between w:val="nil"/>
        <w:bar w:val="nil"/>
      </w:pBdr>
      <w:spacing w:after="0" w:line="240" w:lineRule="auto"/>
      <w:jc w:val="both"/>
    </w:pPr>
    <w:rPr>
      <w:rFonts w:eastAsia="Arial Unicode MS" w:hAnsi="Arial Unicode MS" w:cs="Arial Unicode MS"/>
      <w:color w:val="000000"/>
      <w:u w:color="000000"/>
      <w:bdr w:val="nil"/>
      <w:lang w:val="es-MX"/>
    </w:rPr>
  </w:style>
  <w:style w:type="character" w:styleId="Hipervnculo">
    <w:name w:val="Hyperlink"/>
    <w:basedOn w:val="Fuentedeprrafopredeter"/>
    <w:uiPriority w:val="99"/>
    <w:unhideWhenUsed/>
    <w:rsid w:val="008F192F"/>
    <w:rPr>
      <w:color w:val="0000FF" w:themeColor="hyperlink"/>
      <w:u w:val="single"/>
    </w:rPr>
  </w:style>
  <w:style w:type="character" w:styleId="Mencinsinresolver">
    <w:name w:val="Unresolved Mention"/>
    <w:basedOn w:val="Fuentedeprrafopredeter"/>
    <w:uiPriority w:val="99"/>
    <w:semiHidden/>
    <w:unhideWhenUsed/>
    <w:rsid w:val="008F192F"/>
    <w:rPr>
      <w:color w:val="605E5C"/>
      <w:shd w:val="clear" w:color="auto" w:fill="E1DFDD"/>
    </w:rPr>
  </w:style>
  <w:style w:type="paragraph" w:styleId="NormalWeb">
    <w:name w:val="Normal (Web)"/>
    <w:basedOn w:val="Normal"/>
    <w:uiPriority w:val="99"/>
    <w:semiHidden/>
    <w:unhideWhenUsed/>
    <w:rsid w:val="00EB253E"/>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character" w:styleId="Hipervnculovisitado">
    <w:name w:val="FollowedHyperlink"/>
    <w:basedOn w:val="Fuentedeprrafopredeter"/>
    <w:uiPriority w:val="99"/>
    <w:semiHidden/>
    <w:unhideWhenUsed/>
    <w:rsid w:val="00EB253E"/>
    <w:rPr>
      <w:color w:val="800080" w:themeColor="followedHyperlink"/>
      <w:u w:val="single"/>
    </w:rPr>
  </w:style>
  <w:style w:type="paragraph" w:styleId="Textonotapie">
    <w:name w:val="footnote text"/>
    <w:basedOn w:val="Normal"/>
    <w:link w:val="TextonotapieCar"/>
    <w:uiPriority w:val="99"/>
    <w:semiHidden/>
    <w:unhideWhenUsed/>
    <w:rsid w:val="005F4D26"/>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5F4D26"/>
    <w:rPr>
      <w:sz w:val="20"/>
      <w:szCs w:val="20"/>
    </w:rPr>
  </w:style>
  <w:style w:type="character" w:styleId="Refdenotaalpie">
    <w:name w:val="footnote reference"/>
    <w:basedOn w:val="Fuentedeprrafopredeter"/>
    <w:uiPriority w:val="99"/>
    <w:semiHidden/>
    <w:unhideWhenUsed/>
    <w:rsid w:val="005F4D2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1939280">
      <w:bodyDiv w:val="1"/>
      <w:marLeft w:val="0"/>
      <w:marRight w:val="0"/>
      <w:marTop w:val="0"/>
      <w:marBottom w:val="0"/>
      <w:divBdr>
        <w:top w:val="none" w:sz="0" w:space="0" w:color="auto"/>
        <w:left w:val="none" w:sz="0" w:space="0" w:color="auto"/>
        <w:bottom w:val="none" w:sz="0" w:space="0" w:color="auto"/>
        <w:right w:val="none" w:sz="0" w:space="0" w:color="auto"/>
      </w:divBdr>
      <w:divsChild>
        <w:div w:id="156599168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9884880">
              <w:marLeft w:val="0"/>
              <w:marRight w:val="0"/>
              <w:marTop w:val="0"/>
              <w:marBottom w:val="0"/>
              <w:divBdr>
                <w:top w:val="none" w:sz="0" w:space="0" w:color="auto"/>
                <w:left w:val="none" w:sz="0" w:space="0" w:color="auto"/>
                <w:bottom w:val="none" w:sz="0" w:space="0" w:color="auto"/>
                <w:right w:val="none" w:sz="0" w:space="0" w:color="auto"/>
              </w:divBdr>
              <w:divsChild>
                <w:div w:id="115804421">
                  <w:marLeft w:val="0"/>
                  <w:marRight w:val="0"/>
                  <w:marTop w:val="0"/>
                  <w:marBottom w:val="0"/>
                  <w:divBdr>
                    <w:top w:val="none" w:sz="0" w:space="0" w:color="auto"/>
                    <w:left w:val="none" w:sz="0" w:space="0" w:color="auto"/>
                    <w:bottom w:val="none" w:sz="0" w:space="0" w:color="auto"/>
                    <w:right w:val="none" w:sz="0" w:space="0" w:color="auto"/>
                  </w:divBdr>
                  <w:divsChild>
                    <w:div w:id="1105734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4606445">
      <w:bodyDiv w:val="1"/>
      <w:marLeft w:val="0"/>
      <w:marRight w:val="0"/>
      <w:marTop w:val="0"/>
      <w:marBottom w:val="0"/>
      <w:divBdr>
        <w:top w:val="none" w:sz="0" w:space="0" w:color="auto"/>
        <w:left w:val="none" w:sz="0" w:space="0" w:color="auto"/>
        <w:bottom w:val="none" w:sz="0" w:space="0" w:color="auto"/>
        <w:right w:val="none" w:sz="0" w:space="0" w:color="auto"/>
      </w:divBdr>
      <w:divsChild>
        <w:div w:id="178811384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53961263">
              <w:marLeft w:val="0"/>
              <w:marRight w:val="0"/>
              <w:marTop w:val="0"/>
              <w:marBottom w:val="0"/>
              <w:divBdr>
                <w:top w:val="none" w:sz="0" w:space="0" w:color="auto"/>
                <w:left w:val="none" w:sz="0" w:space="0" w:color="auto"/>
                <w:bottom w:val="none" w:sz="0" w:space="0" w:color="auto"/>
                <w:right w:val="none" w:sz="0" w:space="0" w:color="auto"/>
              </w:divBdr>
              <w:divsChild>
                <w:div w:id="1559635461">
                  <w:marLeft w:val="0"/>
                  <w:marRight w:val="0"/>
                  <w:marTop w:val="0"/>
                  <w:marBottom w:val="0"/>
                  <w:divBdr>
                    <w:top w:val="none" w:sz="0" w:space="0" w:color="auto"/>
                    <w:left w:val="none" w:sz="0" w:space="0" w:color="auto"/>
                    <w:bottom w:val="none" w:sz="0" w:space="0" w:color="auto"/>
                    <w:right w:val="none" w:sz="0" w:space="0" w:color="auto"/>
                  </w:divBdr>
                  <w:divsChild>
                    <w:div w:id="1258949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2110698">
      <w:bodyDiv w:val="1"/>
      <w:marLeft w:val="0"/>
      <w:marRight w:val="0"/>
      <w:marTop w:val="0"/>
      <w:marBottom w:val="0"/>
      <w:divBdr>
        <w:top w:val="none" w:sz="0" w:space="0" w:color="auto"/>
        <w:left w:val="none" w:sz="0" w:space="0" w:color="auto"/>
        <w:bottom w:val="none" w:sz="0" w:space="0" w:color="auto"/>
        <w:right w:val="none" w:sz="0" w:space="0" w:color="auto"/>
      </w:divBdr>
      <w:divsChild>
        <w:div w:id="188856582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734741208">
              <w:marLeft w:val="0"/>
              <w:marRight w:val="0"/>
              <w:marTop w:val="0"/>
              <w:marBottom w:val="0"/>
              <w:divBdr>
                <w:top w:val="none" w:sz="0" w:space="0" w:color="auto"/>
                <w:left w:val="none" w:sz="0" w:space="0" w:color="auto"/>
                <w:bottom w:val="none" w:sz="0" w:space="0" w:color="auto"/>
                <w:right w:val="none" w:sz="0" w:space="0" w:color="auto"/>
              </w:divBdr>
              <w:divsChild>
                <w:div w:id="2068912434">
                  <w:marLeft w:val="0"/>
                  <w:marRight w:val="0"/>
                  <w:marTop w:val="0"/>
                  <w:marBottom w:val="0"/>
                  <w:divBdr>
                    <w:top w:val="none" w:sz="0" w:space="0" w:color="auto"/>
                    <w:left w:val="none" w:sz="0" w:space="0" w:color="auto"/>
                    <w:bottom w:val="none" w:sz="0" w:space="0" w:color="auto"/>
                    <w:right w:val="none" w:sz="0" w:space="0" w:color="auto"/>
                  </w:divBdr>
                  <w:divsChild>
                    <w:div w:id="424811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9591578">
      <w:bodyDiv w:val="1"/>
      <w:marLeft w:val="0"/>
      <w:marRight w:val="0"/>
      <w:marTop w:val="0"/>
      <w:marBottom w:val="0"/>
      <w:divBdr>
        <w:top w:val="none" w:sz="0" w:space="0" w:color="auto"/>
        <w:left w:val="none" w:sz="0" w:space="0" w:color="auto"/>
        <w:bottom w:val="none" w:sz="0" w:space="0" w:color="auto"/>
        <w:right w:val="none" w:sz="0" w:space="0" w:color="auto"/>
      </w:divBdr>
      <w:divsChild>
        <w:div w:id="78416011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75627446">
              <w:marLeft w:val="0"/>
              <w:marRight w:val="0"/>
              <w:marTop w:val="0"/>
              <w:marBottom w:val="0"/>
              <w:divBdr>
                <w:top w:val="none" w:sz="0" w:space="0" w:color="auto"/>
                <w:left w:val="none" w:sz="0" w:space="0" w:color="auto"/>
                <w:bottom w:val="none" w:sz="0" w:space="0" w:color="auto"/>
                <w:right w:val="none" w:sz="0" w:space="0" w:color="auto"/>
              </w:divBdr>
              <w:divsChild>
                <w:div w:id="57558363">
                  <w:marLeft w:val="0"/>
                  <w:marRight w:val="0"/>
                  <w:marTop w:val="0"/>
                  <w:marBottom w:val="0"/>
                  <w:divBdr>
                    <w:top w:val="none" w:sz="0" w:space="0" w:color="auto"/>
                    <w:left w:val="none" w:sz="0" w:space="0" w:color="auto"/>
                    <w:bottom w:val="none" w:sz="0" w:space="0" w:color="auto"/>
                    <w:right w:val="none" w:sz="0" w:space="0" w:color="auto"/>
                  </w:divBdr>
                  <w:divsChild>
                    <w:div w:id="1182671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6066812">
      <w:bodyDiv w:val="1"/>
      <w:marLeft w:val="0"/>
      <w:marRight w:val="0"/>
      <w:marTop w:val="0"/>
      <w:marBottom w:val="0"/>
      <w:divBdr>
        <w:top w:val="none" w:sz="0" w:space="0" w:color="auto"/>
        <w:left w:val="none" w:sz="0" w:space="0" w:color="auto"/>
        <w:bottom w:val="none" w:sz="0" w:space="0" w:color="auto"/>
        <w:right w:val="none" w:sz="0" w:space="0" w:color="auto"/>
      </w:divBdr>
    </w:div>
    <w:div w:id="742602255">
      <w:bodyDiv w:val="1"/>
      <w:marLeft w:val="0"/>
      <w:marRight w:val="0"/>
      <w:marTop w:val="0"/>
      <w:marBottom w:val="0"/>
      <w:divBdr>
        <w:top w:val="none" w:sz="0" w:space="0" w:color="auto"/>
        <w:left w:val="none" w:sz="0" w:space="0" w:color="auto"/>
        <w:bottom w:val="none" w:sz="0" w:space="0" w:color="auto"/>
        <w:right w:val="none" w:sz="0" w:space="0" w:color="auto"/>
      </w:divBdr>
      <w:divsChild>
        <w:div w:id="15487993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127359497">
              <w:marLeft w:val="0"/>
              <w:marRight w:val="0"/>
              <w:marTop w:val="0"/>
              <w:marBottom w:val="0"/>
              <w:divBdr>
                <w:top w:val="none" w:sz="0" w:space="0" w:color="auto"/>
                <w:left w:val="none" w:sz="0" w:space="0" w:color="auto"/>
                <w:bottom w:val="none" w:sz="0" w:space="0" w:color="auto"/>
                <w:right w:val="none" w:sz="0" w:space="0" w:color="auto"/>
              </w:divBdr>
              <w:divsChild>
                <w:div w:id="287442669">
                  <w:marLeft w:val="0"/>
                  <w:marRight w:val="0"/>
                  <w:marTop w:val="0"/>
                  <w:marBottom w:val="0"/>
                  <w:divBdr>
                    <w:top w:val="none" w:sz="0" w:space="0" w:color="auto"/>
                    <w:left w:val="none" w:sz="0" w:space="0" w:color="auto"/>
                    <w:bottom w:val="none" w:sz="0" w:space="0" w:color="auto"/>
                    <w:right w:val="none" w:sz="0" w:space="0" w:color="auto"/>
                  </w:divBdr>
                  <w:divsChild>
                    <w:div w:id="661782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8807974">
      <w:bodyDiv w:val="1"/>
      <w:marLeft w:val="0"/>
      <w:marRight w:val="0"/>
      <w:marTop w:val="0"/>
      <w:marBottom w:val="0"/>
      <w:divBdr>
        <w:top w:val="none" w:sz="0" w:space="0" w:color="auto"/>
        <w:left w:val="none" w:sz="0" w:space="0" w:color="auto"/>
        <w:bottom w:val="none" w:sz="0" w:space="0" w:color="auto"/>
        <w:right w:val="none" w:sz="0" w:space="0" w:color="auto"/>
      </w:divBdr>
      <w:divsChild>
        <w:div w:id="62076491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37238777">
              <w:marLeft w:val="0"/>
              <w:marRight w:val="0"/>
              <w:marTop w:val="0"/>
              <w:marBottom w:val="0"/>
              <w:divBdr>
                <w:top w:val="none" w:sz="0" w:space="0" w:color="auto"/>
                <w:left w:val="none" w:sz="0" w:space="0" w:color="auto"/>
                <w:bottom w:val="none" w:sz="0" w:space="0" w:color="auto"/>
                <w:right w:val="none" w:sz="0" w:space="0" w:color="auto"/>
              </w:divBdr>
              <w:divsChild>
                <w:div w:id="78714843">
                  <w:marLeft w:val="0"/>
                  <w:marRight w:val="0"/>
                  <w:marTop w:val="0"/>
                  <w:marBottom w:val="0"/>
                  <w:divBdr>
                    <w:top w:val="none" w:sz="0" w:space="0" w:color="auto"/>
                    <w:left w:val="none" w:sz="0" w:space="0" w:color="auto"/>
                    <w:bottom w:val="none" w:sz="0" w:space="0" w:color="auto"/>
                    <w:right w:val="none" w:sz="0" w:space="0" w:color="auto"/>
                  </w:divBdr>
                  <w:divsChild>
                    <w:div w:id="1514610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6110471">
      <w:bodyDiv w:val="1"/>
      <w:marLeft w:val="0"/>
      <w:marRight w:val="0"/>
      <w:marTop w:val="0"/>
      <w:marBottom w:val="0"/>
      <w:divBdr>
        <w:top w:val="none" w:sz="0" w:space="0" w:color="auto"/>
        <w:left w:val="none" w:sz="0" w:space="0" w:color="auto"/>
        <w:bottom w:val="none" w:sz="0" w:space="0" w:color="auto"/>
        <w:right w:val="none" w:sz="0" w:space="0" w:color="auto"/>
      </w:divBdr>
      <w:divsChild>
        <w:div w:id="116019449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59592522">
              <w:marLeft w:val="0"/>
              <w:marRight w:val="0"/>
              <w:marTop w:val="0"/>
              <w:marBottom w:val="0"/>
              <w:divBdr>
                <w:top w:val="none" w:sz="0" w:space="0" w:color="auto"/>
                <w:left w:val="none" w:sz="0" w:space="0" w:color="auto"/>
                <w:bottom w:val="none" w:sz="0" w:space="0" w:color="auto"/>
                <w:right w:val="none" w:sz="0" w:space="0" w:color="auto"/>
              </w:divBdr>
              <w:divsChild>
                <w:div w:id="524756219">
                  <w:marLeft w:val="0"/>
                  <w:marRight w:val="0"/>
                  <w:marTop w:val="0"/>
                  <w:marBottom w:val="0"/>
                  <w:divBdr>
                    <w:top w:val="none" w:sz="0" w:space="0" w:color="auto"/>
                    <w:left w:val="none" w:sz="0" w:space="0" w:color="auto"/>
                    <w:bottom w:val="none" w:sz="0" w:space="0" w:color="auto"/>
                    <w:right w:val="none" w:sz="0" w:space="0" w:color="auto"/>
                  </w:divBdr>
                  <w:divsChild>
                    <w:div w:id="624967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8905118">
      <w:bodyDiv w:val="1"/>
      <w:marLeft w:val="0"/>
      <w:marRight w:val="0"/>
      <w:marTop w:val="0"/>
      <w:marBottom w:val="0"/>
      <w:divBdr>
        <w:top w:val="none" w:sz="0" w:space="0" w:color="auto"/>
        <w:left w:val="none" w:sz="0" w:space="0" w:color="auto"/>
        <w:bottom w:val="none" w:sz="0" w:space="0" w:color="auto"/>
        <w:right w:val="none" w:sz="0" w:space="0" w:color="auto"/>
      </w:divBdr>
      <w:divsChild>
        <w:div w:id="39342819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42254740">
              <w:marLeft w:val="0"/>
              <w:marRight w:val="0"/>
              <w:marTop w:val="0"/>
              <w:marBottom w:val="0"/>
              <w:divBdr>
                <w:top w:val="none" w:sz="0" w:space="0" w:color="auto"/>
                <w:left w:val="none" w:sz="0" w:space="0" w:color="auto"/>
                <w:bottom w:val="none" w:sz="0" w:space="0" w:color="auto"/>
                <w:right w:val="none" w:sz="0" w:space="0" w:color="auto"/>
              </w:divBdr>
              <w:divsChild>
                <w:div w:id="1841043979">
                  <w:marLeft w:val="0"/>
                  <w:marRight w:val="0"/>
                  <w:marTop w:val="0"/>
                  <w:marBottom w:val="0"/>
                  <w:divBdr>
                    <w:top w:val="none" w:sz="0" w:space="0" w:color="auto"/>
                    <w:left w:val="none" w:sz="0" w:space="0" w:color="auto"/>
                    <w:bottom w:val="none" w:sz="0" w:space="0" w:color="auto"/>
                    <w:right w:val="none" w:sz="0" w:space="0" w:color="auto"/>
                  </w:divBdr>
                  <w:divsChild>
                    <w:div w:id="687368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8360557">
      <w:bodyDiv w:val="1"/>
      <w:marLeft w:val="0"/>
      <w:marRight w:val="0"/>
      <w:marTop w:val="0"/>
      <w:marBottom w:val="0"/>
      <w:divBdr>
        <w:top w:val="none" w:sz="0" w:space="0" w:color="auto"/>
        <w:left w:val="none" w:sz="0" w:space="0" w:color="auto"/>
        <w:bottom w:val="none" w:sz="0" w:space="0" w:color="auto"/>
        <w:right w:val="none" w:sz="0" w:space="0" w:color="auto"/>
      </w:divBdr>
      <w:divsChild>
        <w:div w:id="140078505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43960160">
              <w:marLeft w:val="0"/>
              <w:marRight w:val="0"/>
              <w:marTop w:val="0"/>
              <w:marBottom w:val="0"/>
              <w:divBdr>
                <w:top w:val="none" w:sz="0" w:space="0" w:color="auto"/>
                <w:left w:val="none" w:sz="0" w:space="0" w:color="auto"/>
                <w:bottom w:val="none" w:sz="0" w:space="0" w:color="auto"/>
                <w:right w:val="none" w:sz="0" w:space="0" w:color="auto"/>
              </w:divBdr>
              <w:divsChild>
                <w:div w:id="1700469269">
                  <w:marLeft w:val="0"/>
                  <w:marRight w:val="0"/>
                  <w:marTop w:val="0"/>
                  <w:marBottom w:val="0"/>
                  <w:divBdr>
                    <w:top w:val="none" w:sz="0" w:space="0" w:color="auto"/>
                    <w:left w:val="none" w:sz="0" w:space="0" w:color="auto"/>
                    <w:bottom w:val="none" w:sz="0" w:space="0" w:color="auto"/>
                    <w:right w:val="none" w:sz="0" w:space="0" w:color="auto"/>
                  </w:divBdr>
                  <w:divsChild>
                    <w:div w:id="858933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5868670">
      <w:bodyDiv w:val="1"/>
      <w:marLeft w:val="0"/>
      <w:marRight w:val="0"/>
      <w:marTop w:val="0"/>
      <w:marBottom w:val="0"/>
      <w:divBdr>
        <w:top w:val="none" w:sz="0" w:space="0" w:color="auto"/>
        <w:left w:val="none" w:sz="0" w:space="0" w:color="auto"/>
        <w:bottom w:val="none" w:sz="0" w:space="0" w:color="auto"/>
        <w:right w:val="none" w:sz="0" w:space="0" w:color="auto"/>
      </w:divBdr>
      <w:divsChild>
        <w:div w:id="81579793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815268298">
              <w:marLeft w:val="0"/>
              <w:marRight w:val="0"/>
              <w:marTop w:val="0"/>
              <w:marBottom w:val="0"/>
              <w:divBdr>
                <w:top w:val="none" w:sz="0" w:space="0" w:color="auto"/>
                <w:left w:val="none" w:sz="0" w:space="0" w:color="auto"/>
                <w:bottom w:val="none" w:sz="0" w:space="0" w:color="auto"/>
                <w:right w:val="none" w:sz="0" w:space="0" w:color="auto"/>
              </w:divBdr>
              <w:divsChild>
                <w:div w:id="1623420577">
                  <w:marLeft w:val="0"/>
                  <w:marRight w:val="0"/>
                  <w:marTop w:val="0"/>
                  <w:marBottom w:val="0"/>
                  <w:divBdr>
                    <w:top w:val="none" w:sz="0" w:space="0" w:color="auto"/>
                    <w:left w:val="none" w:sz="0" w:space="0" w:color="auto"/>
                    <w:bottom w:val="none" w:sz="0" w:space="0" w:color="auto"/>
                    <w:right w:val="none" w:sz="0" w:space="0" w:color="auto"/>
                  </w:divBdr>
                  <w:divsChild>
                    <w:div w:id="1569726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8475122">
      <w:bodyDiv w:val="1"/>
      <w:marLeft w:val="0"/>
      <w:marRight w:val="0"/>
      <w:marTop w:val="0"/>
      <w:marBottom w:val="0"/>
      <w:divBdr>
        <w:top w:val="none" w:sz="0" w:space="0" w:color="auto"/>
        <w:left w:val="none" w:sz="0" w:space="0" w:color="auto"/>
        <w:bottom w:val="none" w:sz="0" w:space="0" w:color="auto"/>
        <w:right w:val="none" w:sz="0" w:space="0" w:color="auto"/>
      </w:divBdr>
      <w:divsChild>
        <w:div w:id="83842558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461462310">
              <w:marLeft w:val="0"/>
              <w:marRight w:val="0"/>
              <w:marTop w:val="0"/>
              <w:marBottom w:val="0"/>
              <w:divBdr>
                <w:top w:val="none" w:sz="0" w:space="0" w:color="auto"/>
                <w:left w:val="none" w:sz="0" w:space="0" w:color="auto"/>
                <w:bottom w:val="none" w:sz="0" w:space="0" w:color="auto"/>
                <w:right w:val="none" w:sz="0" w:space="0" w:color="auto"/>
              </w:divBdr>
              <w:divsChild>
                <w:div w:id="1949848697">
                  <w:marLeft w:val="0"/>
                  <w:marRight w:val="0"/>
                  <w:marTop w:val="0"/>
                  <w:marBottom w:val="0"/>
                  <w:divBdr>
                    <w:top w:val="none" w:sz="0" w:space="0" w:color="auto"/>
                    <w:left w:val="none" w:sz="0" w:space="0" w:color="auto"/>
                    <w:bottom w:val="none" w:sz="0" w:space="0" w:color="auto"/>
                    <w:right w:val="none" w:sz="0" w:space="0" w:color="auto"/>
                  </w:divBdr>
                  <w:divsChild>
                    <w:div w:id="799419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notes.xml.rels><?xml version="1.0" encoding="UTF-8" standalone="yes"?>
<Relationships xmlns="http://schemas.openxmlformats.org/package/2006/relationships"><Relationship Id="rId8" Type="http://schemas.openxmlformats.org/officeDocument/2006/relationships/hyperlink" Target="https://www.venice.coe.int/webforms/documents/?opinion=1087&amp;year=all" TargetMode="External"/><Relationship Id="rId3" Type="http://schemas.openxmlformats.org/officeDocument/2006/relationships/hyperlink" Target="http://micahaltman.com/" TargetMode="External"/><Relationship Id="rId7" Type="http://schemas.openxmlformats.org/officeDocument/2006/relationships/hyperlink" Target="http://dx.doi.org/10.2139/ssrn.4076322" TargetMode="External"/><Relationship Id="rId2" Type="http://schemas.openxmlformats.org/officeDocument/2006/relationships/hyperlink" Target="https://facultad.itam.mx/es/facultad/13729-eric-magar-meurs" TargetMode="External"/><Relationship Id="rId1" Type="http://schemas.openxmlformats.org/officeDocument/2006/relationships/hyperlink" Target="https://scholarworks.brandeis.edu/esploro/profile/alejandro_trelles/overview" TargetMode="External"/><Relationship Id="rId6" Type="http://schemas.openxmlformats.org/officeDocument/2006/relationships/hyperlink" Target="https://scholarlycommons.law.case.edu/cgi/viewcontent.cgi?article=1283&amp;context=caselrev" TargetMode="External"/><Relationship Id="rId5" Type="http://schemas.openxmlformats.org/officeDocument/2006/relationships/hyperlink" Target="https://www.te.gob.mx/publicaciones/sites/default/files/archivos_libros/Elecciones_Justicia_Democracia_Electronico.pdf" TargetMode="External"/><Relationship Id="rId4" Type="http://schemas.openxmlformats.org/officeDocument/2006/relationships/hyperlink" Target="https://polisci.ufl.edu/michael-mcdonald/" TargetMode="External"/><Relationship Id="rId9" Type="http://schemas.openxmlformats.org/officeDocument/2006/relationships/hyperlink" Target="https://www.ine.mx/sobre-el-ine/distritacion-electoral-202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49FE43-0672-164C-A9CF-91AB3F12B7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3689</Words>
  <Characters>20294</Characters>
  <Application>Microsoft Office Word</Application>
  <DocSecurity>0</DocSecurity>
  <Lines>169</Lines>
  <Paragraphs>47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23936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3</cp:revision>
  <dcterms:created xsi:type="dcterms:W3CDTF">2023-04-27T00:47:00Z</dcterms:created>
  <dcterms:modified xsi:type="dcterms:W3CDTF">2023-04-27T00:52:00Z</dcterms:modified>
</cp:coreProperties>
</file>