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B89E3" w14:textId="77777777" w:rsidR="00AB58B8" w:rsidRDefault="00AB58B8" w:rsidP="00AB58B8">
      <w:pPr>
        <w:pStyle w:val="ListParagraph"/>
        <w:numPr>
          <w:ilvl w:val="0"/>
          <w:numId w:val="2"/>
        </w:numPr>
        <w:rPr>
          <w:b/>
          <w:bCs/>
          <w:sz w:val="22"/>
          <w:szCs w:val="22"/>
        </w:rPr>
      </w:pPr>
      <w:bookmarkStart w:id="0" w:name="_GoBack"/>
      <w:bookmarkEnd w:id="0"/>
      <w:r>
        <w:rPr>
          <w:b/>
          <w:bCs/>
          <w:sz w:val="22"/>
          <w:szCs w:val="22"/>
        </w:rPr>
        <w:t>ORGANIZACIÓN ELECTORAL</w:t>
      </w:r>
    </w:p>
    <w:p w14:paraId="6E6B89E4" w14:textId="77777777" w:rsidR="00AB58B8" w:rsidRDefault="00AB58B8" w:rsidP="00AB58B8">
      <w:pPr>
        <w:pStyle w:val="ListParagraph"/>
        <w:rPr>
          <w:b/>
          <w:bCs/>
          <w:sz w:val="22"/>
          <w:szCs w:val="22"/>
        </w:rPr>
      </w:pPr>
    </w:p>
    <w:p w14:paraId="6E6B89E5" w14:textId="77777777" w:rsidR="00AB58B8" w:rsidRDefault="00AB58B8" w:rsidP="00AB58B8">
      <w:pPr>
        <w:pStyle w:val="ListParagraph"/>
        <w:numPr>
          <w:ilvl w:val="0"/>
          <w:numId w:val="4"/>
        </w:numPr>
        <w:rPr>
          <w:b/>
          <w:bCs/>
          <w:sz w:val="22"/>
          <w:szCs w:val="22"/>
        </w:rPr>
      </w:pPr>
      <w:r>
        <w:rPr>
          <w:b/>
          <w:bCs/>
          <w:sz w:val="22"/>
          <w:szCs w:val="22"/>
        </w:rPr>
        <w:t>Introducción</w:t>
      </w:r>
    </w:p>
    <w:p w14:paraId="6E6B89E6" w14:textId="77777777" w:rsidR="00AB58B8" w:rsidRDefault="00AB58B8" w:rsidP="00AB58B8">
      <w:pPr>
        <w:rPr>
          <w:b/>
          <w:bCs/>
          <w:sz w:val="22"/>
          <w:szCs w:val="22"/>
        </w:rPr>
      </w:pPr>
    </w:p>
    <w:p w14:paraId="6E6B89E7" w14:textId="77777777" w:rsidR="00AB58B8" w:rsidRDefault="00AB58B8" w:rsidP="00AB58B8">
      <w:pPr>
        <w:pStyle w:val="NormalWeb"/>
        <w:shd w:val="clear" w:color="auto" w:fill="FFFFFF"/>
        <w:spacing w:before="120" w:beforeAutospacing="0" w:after="160" w:afterAutospacing="0"/>
        <w:jc w:val="both"/>
        <w:rPr>
          <w:rFonts w:ascii="Calibri" w:hAnsi="Calibri" w:cs="Calibri"/>
          <w:sz w:val="22"/>
          <w:szCs w:val="22"/>
          <w:lang w:val="es-ES"/>
        </w:rPr>
      </w:pPr>
      <w:r>
        <w:rPr>
          <w:rFonts w:ascii="Calibri" w:hAnsi="Calibri" w:cs="Calibri"/>
          <w:sz w:val="22"/>
          <w:szCs w:val="22"/>
          <w:lang w:val="es-ES"/>
        </w:rPr>
        <w:t>El 20 de octubre de 2019, 7.315.364 ciudadanos bolivianos fueron convocados a votar en las elecciones generales. El propósito de estos comicios era elegir: presidente y vicepresidente, 36 senadores, 130 diputados y 9 representantes ante organismos parlamentarios supra estatales.</w:t>
      </w:r>
    </w:p>
    <w:p w14:paraId="6E6B89E8" w14:textId="77777777" w:rsidR="00AB58B8" w:rsidRDefault="00AB58B8" w:rsidP="00AB58B8">
      <w:pPr>
        <w:pStyle w:val="NormalWeb"/>
        <w:shd w:val="clear" w:color="auto" w:fill="FFFFFF"/>
        <w:spacing w:before="120" w:beforeAutospacing="0" w:after="160" w:afterAutospacing="0"/>
        <w:jc w:val="both"/>
        <w:rPr>
          <w:b/>
          <w:bCs/>
          <w:sz w:val="22"/>
          <w:szCs w:val="22"/>
          <w:lang w:val="es-ES"/>
        </w:rPr>
      </w:pPr>
      <w:r>
        <w:rPr>
          <w:rFonts w:ascii="Calibri" w:hAnsi="Calibri" w:cs="Calibri"/>
          <w:iCs/>
          <w:sz w:val="22"/>
          <w:szCs w:val="22"/>
          <w:lang w:val="es-ES"/>
        </w:rPr>
        <w:t xml:space="preserve">La organización de los comicios correspondió al Órgano Electoral Plurinacional. </w:t>
      </w:r>
      <w:r>
        <w:rPr>
          <w:rFonts w:ascii="Calibri" w:hAnsi="Calibri" w:cs="Calibri"/>
          <w:sz w:val="22"/>
          <w:szCs w:val="22"/>
          <w:lang w:val="es-ES"/>
        </w:rPr>
        <w:t>Este se encargó, entre otras actividades, del registro y expedición del padrón electoral, los procesos de registro de candidatos, la capacitación electoral de funcionarios electorales y jurados de las mesas de votación, la selección e identificación de los lugares en donde se ubicarán  los centros y las mesas de votación, el diseño y la operación de las modalidades para ejercer el sufragio, el diseño, la producción y la logística de distribución de las papeletas, actas y materiales electorales, los procesos para el escrutinio y el conteo de los votos, entre otros. El presente informe desarrolla los principales hallazgos que surgen de la observación de estos distintos procesos.</w:t>
      </w:r>
    </w:p>
    <w:p w14:paraId="6E6B89E9" w14:textId="77777777" w:rsidR="00AB58B8" w:rsidRDefault="00AB58B8" w:rsidP="00AB58B8">
      <w:pPr>
        <w:pStyle w:val="ListParagraph"/>
        <w:rPr>
          <w:b/>
          <w:bCs/>
          <w:sz w:val="22"/>
          <w:szCs w:val="22"/>
        </w:rPr>
      </w:pPr>
    </w:p>
    <w:p w14:paraId="6E6B89EA" w14:textId="77777777" w:rsidR="00AB58B8" w:rsidRDefault="00AB58B8" w:rsidP="00AB58B8">
      <w:pPr>
        <w:pStyle w:val="ListParagraph"/>
        <w:numPr>
          <w:ilvl w:val="0"/>
          <w:numId w:val="4"/>
        </w:numPr>
        <w:rPr>
          <w:b/>
          <w:bCs/>
          <w:sz w:val="22"/>
          <w:szCs w:val="22"/>
        </w:rPr>
      </w:pPr>
      <w:r>
        <w:rPr>
          <w:b/>
          <w:bCs/>
          <w:sz w:val="22"/>
          <w:szCs w:val="22"/>
        </w:rPr>
        <w:t>Marco jurídico</w:t>
      </w:r>
    </w:p>
    <w:p w14:paraId="6E6B89EB" w14:textId="77777777" w:rsidR="00AB58B8" w:rsidRDefault="00AB58B8" w:rsidP="00AB58B8">
      <w:pPr>
        <w:jc w:val="both"/>
        <w:rPr>
          <w:sz w:val="22"/>
          <w:szCs w:val="22"/>
        </w:rPr>
      </w:pPr>
    </w:p>
    <w:p w14:paraId="6E6B89EC" w14:textId="77777777" w:rsidR="00AB58B8" w:rsidRDefault="00AB58B8" w:rsidP="00AB58B8">
      <w:pPr>
        <w:jc w:val="both"/>
        <w:rPr>
          <w:sz w:val="22"/>
          <w:szCs w:val="22"/>
        </w:rPr>
      </w:pPr>
      <w:r>
        <w:rPr>
          <w:sz w:val="22"/>
          <w:szCs w:val="22"/>
        </w:rPr>
        <w:t xml:space="preserve">El ordenamiento jurídico de Bolivia aborda la regulación del ámbito electoral en diversos documentos, entre ellos, la propia Constitución Política del Estado Promulgada, del 7 de febrero de 2009 y la Ley Nº 018 del Órgano Electoral Plurinacional de 16 de junio de 2010. También destacan por su relevancia en materia de organización electoral la Ley Nº 026 del Régimen Electoral de 30 de junio de 2010 y Ley Nº 1096 Ley de Organizaciones Políticas de 1 de septiembre de 2018. El cuerpo legal se complementa con la reglamentación interna aprobada por el Tribunal Supremo Electoral (TSE): </w:t>
      </w:r>
    </w:p>
    <w:p w14:paraId="6E6B89ED" w14:textId="77777777" w:rsidR="00AB58B8" w:rsidRDefault="00AB58B8" w:rsidP="00AB58B8">
      <w:pPr>
        <w:pStyle w:val="ListParagraph"/>
        <w:ind w:left="360"/>
        <w:jc w:val="both"/>
        <w:rPr>
          <w:sz w:val="22"/>
          <w:szCs w:val="22"/>
        </w:rPr>
      </w:pPr>
    </w:p>
    <w:p w14:paraId="6E6B89EE" w14:textId="77777777" w:rsidR="00AB58B8" w:rsidRDefault="00AB58B8" w:rsidP="00AB58B8">
      <w:pPr>
        <w:pStyle w:val="ListParagraph"/>
        <w:numPr>
          <w:ilvl w:val="0"/>
          <w:numId w:val="6"/>
        </w:numPr>
        <w:jc w:val="both"/>
        <w:rPr>
          <w:sz w:val="22"/>
          <w:szCs w:val="22"/>
        </w:rPr>
      </w:pPr>
      <w:r>
        <w:rPr>
          <w:sz w:val="22"/>
          <w:szCs w:val="22"/>
        </w:rPr>
        <w:t>Reglamento para sanciones y multas por faltas electorales cometidas por juradas o jurados electorales, notarias o notarios electorales, servidoras o servidores públicos, organizaciones políticas y particulares. Aprobado mediante resolución TSE-RSP-ADM Nº 0236/2019 del 21 de marzo de 2019.</w:t>
      </w:r>
    </w:p>
    <w:p w14:paraId="6E6B89EF" w14:textId="77777777" w:rsidR="00AB58B8" w:rsidRDefault="00AB58B8" w:rsidP="00AB58B8">
      <w:pPr>
        <w:pStyle w:val="ListParagraph"/>
        <w:numPr>
          <w:ilvl w:val="0"/>
          <w:numId w:val="6"/>
        </w:numPr>
        <w:jc w:val="both"/>
        <w:rPr>
          <w:sz w:val="22"/>
          <w:szCs w:val="22"/>
        </w:rPr>
      </w:pPr>
      <w:r>
        <w:rPr>
          <w:sz w:val="22"/>
          <w:szCs w:val="22"/>
        </w:rPr>
        <w:t>Reglamento Registro de Alianzas de Organizaciones Políticas en Elecciones Generales. Aprobado mediante resolución TSE-RSP-ADM Nº 0134/2019 del 21 de marzo de 2019.</w:t>
      </w:r>
    </w:p>
    <w:p w14:paraId="6E6B89F0" w14:textId="77777777" w:rsidR="00AB58B8" w:rsidRDefault="00AB58B8" w:rsidP="00AB58B8">
      <w:pPr>
        <w:pStyle w:val="ListParagraph"/>
        <w:numPr>
          <w:ilvl w:val="0"/>
          <w:numId w:val="6"/>
        </w:numPr>
        <w:jc w:val="both"/>
        <w:rPr>
          <w:sz w:val="22"/>
          <w:szCs w:val="22"/>
        </w:rPr>
      </w:pPr>
      <w:r>
        <w:rPr>
          <w:sz w:val="22"/>
          <w:szCs w:val="22"/>
        </w:rPr>
        <w:t>Reglamento para las Elecciones Generales 2019. Aprobado mediante resolución TSE-RSP-ADM-Nº 0230/2019 del 24 de mayo de 2019.</w:t>
      </w:r>
    </w:p>
    <w:p w14:paraId="6E6B89F1" w14:textId="77777777" w:rsidR="00AB58B8" w:rsidRDefault="00AB58B8" w:rsidP="00AB58B8">
      <w:pPr>
        <w:pStyle w:val="ListParagraph"/>
        <w:numPr>
          <w:ilvl w:val="0"/>
          <w:numId w:val="6"/>
        </w:numPr>
        <w:jc w:val="both"/>
        <w:rPr>
          <w:sz w:val="22"/>
          <w:szCs w:val="22"/>
        </w:rPr>
      </w:pPr>
      <w:r>
        <w:rPr>
          <w:sz w:val="22"/>
          <w:szCs w:val="22"/>
        </w:rPr>
        <w:t>Reglamento de Material Electoral. Aprobado mediante resolución TSE-RSP-ADM-Nº 0229/2019 del 24 de mayo de 2019.</w:t>
      </w:r>
    </w:p>
    <w:p w14:paraId="6E6B89F2" w14:textId="77777777" w:rsidR="00AB58B8" w:rsidRDefault="00AB58B8" w:rsidP="00AB58B8">
      <w:pPr>
        <w:pStyle w:val="ListParagraph"/>
        <w:numPr>
          <w:ilvl w:val="0"/>
          <w:numId w:val="6"/>
        </w:numPr>
        <w:jc w:val="both"/>
        <w:rPr>
          <w:sz w:val="22"/>
          <w:szCs w:val="22"/>
        </w:rPr>
      </w:pPr>
      <w:r>
        <w:rPr>
          <w:sz w:val="22"/>
          <w:szCs w:val="22"/>
        </w:rPr>
        <w:t>Reglamento para la Actualización del Padrón Electoral Biométrico. Aprobado mediante resolución TSE-RSP-ADM-Nº 0235/2019, del 24 de mayo de 2019.</w:t>
      </w:r>
    </w:p>
    <w:p w14:paraId="6E6B89F3" w14:textId="77777777" w:rsidR="00AB58B8" w:rsidRDefault="00AB58B8" w:rsidP="00AB58B8">
      <w:pPr>
        <w:pStyle w:val="ListParagraph"/>
        <w:numPr>
          <w:ilvl w:val="0"/>
          <w:numId w:val="6"/>
        </w:numPr>
        <w:jc w:val="both"/>
        <w:rPr>
          <w:sz w:val="22"/>
          <w:szCs w:val="22"/>
        </w:rPr>
      </w:pPr>
      <w:r>
        <w:rPr>
          <w:sz w:val="22"/>
          <w:szCs w:val="22"/>
        </w:rPr>
        <w:t>Protocolo de Registro de Candidatos. Aprobado mediante resolución TSE-RSP-ADM-Nº 0227/2019, de 27 de mayo de 2019 549</w:t>
      </w:r>
    </w:p>
    <w:p w14:paraId="6E6B89F4" w14:textId="77777777" w:rsidR="00AB58B8" w:rsidRDefault="00AB58B8" w:rsidP="00AB58B8">
      <w:pPr>
        <w:pStyle w:val="ListParagraph"/>
        <w:jc w:val="both"/>
        <w:rPr>
          <w:b/>
          <w:bCs/>
          <w:sz w:val="22"/>
          <w:szCs w:val="22"/>
        </w:rPr>
      </w:pPr>
    </w:p>
    <w:p w14:paraId="6E6B89F5" w14:textId="77777777" w:rsidR="00AB58B8" w:rsidRDefault="00AB58B8" w:rsidP="00AB58B8">
      <w:pPr>
        <w:jc w:val="both"/>
        <w:rPr>
          <w:sz w:val="22"/>
          <w:szCs w:val="22"/>
        </w:rPr>
      </w:pPr>
    </w:p>
    <w:p w14:paraId="6E6B89F6" w14:textId="77777777" w:rsidR="00AB58B8" w:rsidRDefault="00AB58B8" w:rsidP="00AB58B8">
      <w:pPr>
        <w:pStyle w:val="ListParagraph"/>
        <w:numPr>
          <w:ilvl w:val="0"/>
          <w:numId w:val="4"/>
        </w:numPr>
        <w:rPr>
          <w:b/>
          <w:bCs/>
          <w:sz w:val="22"/>
          <w:szCs w:val="22"/>
        </w:rPr>
      </w:pPr>
      <w:r>
        <w:rPr>
          <w:b/>
          <w:bCs/>
          <w:sz w:val="22"/>
          <w:szCs w:val="22"/>
        </w:rPr>
        <w:t>Sistema electoral</w:t>
      </w:r>
    </w:p>
    <w:p w14:paraId="6E6B89F7" w14:textId="77777777" w:rsidR="00AB58B8" w:rsidRDefault="00AB58B8" w:rsidP="00AB58B8">
      <w:pPr>
        <w:jc w:val="both"/>
        <w:rPr>
          <w:sz w:val="22"/>
          <w:szCs w:val="22"/>
        </w:rPr>
      </w:pPr>
    </w:p>
    <w:p w14:paraId="6E6B89F8" w14:textId="77777777" w:rsidR="00AB58B8" w:rsidRDefault="00AB58B8" w:rsidP="00AB58B8">
      <w:pPr>
        <w:jc w:val="both"/>
        <w:rPr>
          <w:sz w:val="22"/>
          <w:szCs w:val="22"/>
        </w:rPr>
      </w:pPr>
      <w:r>
        <w:rPr>
          <w:sz w:val="22"/>
          <w:szCs w:val="22"/>
        </w:rPr>
        <w:t>En las Elecciones que se celebrarán el domingo 20 de octubre de 2019, se eligió:</w:t>
      </w:r>
    </w:p>
    <w:p w14:paraId="6E6B89F9" w14:textId="77777777" w:rsidR="00AB58B8" w:rsidRDefault="00AB58B8" w:rsidP="00AB58B8">
      <w:pPr>
        <w:jc w:val="both"/>
        <w:rPr>
          <w:sz w:val="22"/>
          <w:szCs w:val="22"/>
        </w:rPr>
      </w:pPr>
    </w:p>
    <w:p w14:paraId="6E6B89FA" w14:textId="77777777" w:rsidR="00AB58B8" w:rsidRDefault="00AB58B8" w:rsidP="00AB58B8">
      <w:pPr>
        <w:jc w:val="both"/>
        <w:rPr>
          <w:sz w:val="22"/>
          <w:szCs w:val="22"/>
        </w:rPr>
      </w:pPr>
      <w:r>
        <w:rPr>
          <w:sz w:val="22"/>
          <w:szCs w:val="22"/>
        </w:rPr>
        <w:t>•</w:t>
      </w:r>
      <w:r>
        <w:rPr>
          <w:sz w:val="22"/>
          <w:szCs w:val="22"/>
        </w:rPr>
        <w:tab/>
        <w:t>1 Presidente de la Republica y 1 Vicepresidente de la República</w:t>
      </w:r>
    </w:p>
    <w:p w14:paraId="6E6B89FB" w14:textId="77777777" w:rsidR="00AB58B8" w:rsidRDefault="00AB58B8" w:rsidP="00AB58B8">
      <w:pPr>
        <w:jc w:val="both"/>
        <w:rPr>
          <w:sz w:val="22"/>
          <w:szCs w:val="22"/>
        </w:rPr>
      </w:pPr>
      <w:r>
        <w:rPr>
          <w:sz w:val="22"/>
          <w:szCs w:val="22"/>
        </w:rPr>
        <w:lastRenderedPageBreak/>
        <w:t>•</w:t>
      </w:r>
      <w:r>
        <w:rPr>
          <w:sz w:val="22"/>
          <w:szCs w:val="22"/>
        </w:rPr>
        <w:tab/>
        <w:t>36 Senadores;</w:t>
      </w:r>
    </w:p>
    <w:p w14:paraId="6E6B89FC" w14:textId="77777777" w:rsidR="00AB58B8" w:rsidRDefault="00AB58B8" w:rsidP="00AB58B8">
      <w:pPr>
        <w:jc w:val="both"/>
        <w:rPr>
          <w:sz w:val="22"/>
          <w:szCs w:val="22"/>
        </w:rPr>
      </w:pPr>
      <w:r>
        <w:rPr>
          <w:sz w:val="22"/>
          <w:szCs w:val="22"/>
        </w:rPr>
        <w:t>•</w:t>
      </w:r>
      <w:r>
        <w:rPr>
          <w:sz w:val="22"/>
          <w:szCs w:val="22"/>
        </w:rPr>
        <w:tab/>
        <w:t>130 Diputados;</w:t>
      </w:r>
    </w:p>
    <w:p w14:paraId="6E6B89FD" w14:textId="77777777" w:rsidR="00AB58B8" w:rsidRDefault="00AB58B8" w:rsidP="00AB58B8">
      <w:pPr>
        <w:jc w:val="both"/>
        <w:rPr>
          <w:sz w:val="22"/>
          <w:szCs w:val="22"/>
        </w:rPr>
      </w:pPr>
      <w:r>
        <w:rPr>
          <w:sz w:val="22"/>
          <w:szCs w:val="22"/>
        </w:rPr>
        <w:t>•</w:t>
      </w:r>
      <w:r>
        <w:rPr>
          <w:sz w:val="22"/>
          <w:szCs w:val="22"/>
        </w:rPr>
        <w:tab/>
        <w:t>9 Representantes ante Organismos Parlamentarios Supraestatales</w:t>
      </w:r>
    </w:p>
    <w:p w14:paraId="6E6B89FE" w14:textId="77777777" w:rsidR="00AB58B8" w:rsidRDefault="00AB58B8" w:rsidP="00AB58B8">
      <w:pPr>
        <w:jc w:val="both"/>
        <w:rPr>
          <w:sz w:val="22"/>
          <w:szCs w:val="22"/>
        </w:rPr>
      </w:pPr>
    </w:p>
    <w:p w14:paraId="6E6B89FF" w14:textId="77777777" w:rsidR="00AB58B8" w:rsidRDefault="00AB58B8" w:rsidP="00AB58B8">
      <w:pPr>
        <w:jc w:val="both"/>
        <w:rPr>
          <w:i/>
          <w:iCs/>
          <w:sz w:val="22"/>
          <w:szCs w:val="22"/>
          <w:u w:val="single"/>
        </w:rPr>
      </w:pPr>
      <w:r>
        <w:rPr>
          <w:i/>
          <w:iCs/>
          <w:sz w:val="22"/>
          <w:szCs w:val="22"/>
          <w:u w:val="single"/>
        </w:rPr>
        <w:t>Elección de presidente y vicepresidente de la República</w:t>
      </w:r>
    </w:p>
    <w:p w14:paraId="6E6B8A00" w14:textId="77777777" w:rsidR="00AB58B8" w:rsidRDefault="00AB58B8" w:rsidP="00AB58B8">
      <w:pPr>
        <w:jc w:val="both"/>
        <w:rPr>
          <w:sz w:val="22"/>
          <w:szCs w:val="22"/>
        </w:rPr>
      </w:pPr>
    </w:p>
    <w:p w14:paraId="6E6B8A01" w14:textId="77777777" w:rsidR="00AB58B8" w:rsidRDefault="00AB58B8" w:rsidP="00AB58B8">
      <w:pPr>
        <w:jc w:val="both"/>
        <w:rPr>
          <w:sz w:val="22"/>
          <w:szCs w:val="22"/>
        </w:rPr>
      </w:pPr>
      <w:r>
        <w:rPr>
          <w:sz w:val="22"/>
          <w:szCs w:val="22"/>
        </w:rPr>
        <w:t xml:space="preserve">La elección de Presidente y Vicepresidente se realizan por circunscripción nacional única, mediante sufragio universal, de las listas de candidatos presentadas por las organizaciones políticas de alcance nacional con personalidad jurídica vigente. Se proclama Presidente y Vicepresidente a quienes hayan obtenido más del 50% de los votos válidos emitidos o un mínimo de 40% de votos válidos emitidos con una diferencia de al menos 10%, en relación con la segunda candidatura más votada. En caso de no obtener los votos necesarios se convoca a segunda vuelta, la cual se lleva a cabo dentro de los sesenta días posteriores al día de la primera elección.  </w:t>
      </w:r>
    </w:p>
    <w:p w14:paraId="6E6B8A02" w14:textId="77777777" w:rsidR="00AB58B8" w:rsidRDefault="00AB58B8" w:rsidP="00AB58B8">
      <w:pPr>
        <w:jc w:val="both"/>
        <w:rPr>
          <w:sz w:val="22"/>
          <w:szCs w:val="22"/>
        </w:rPr>
      </w:pPr>
    </w:p>
    <w:p w14:paraId="6E6B8A03" w14:textId="77777777" w:rsidR="00AB58B8" w:rsidRDefault="00AB58B8" w:rsidP="00AB58B8">
      <w:pPr>
        <w:jc w:val="both"/>
        <w:rPr>
          <w:i/>
          <w:iCs/>
          <w:sz w:val="22"/>
          <w:szCs w:val="22"/>
          <w:u w:val="single"/>
        </w:rPr>
      </w:pPr>
      <w:r>
        <w:rPr>
          <w:i/>
          <w:iCs/>
          <w:sz w:val="22"/>
          <w:szCs w:val="22"/>
          <w:u w:val="single"/>
        </w:rPr>
        <w:t>Elección de Senadores</w:t>
      </w:r>
    </w:p>
    <w:p w14:paraId="6E6B8A04" w14:textId="77777777" w:rsidR="00AB58B8" w:rsidRDefault="00AB58B8" w:rsidP="00AB58B8">
      <w:pPr>
        <w:jc w:val="both"/>
        <w:rPr>
          <w:sz w:val="22"/>
          <w:szCs w:val="22"/>
        </w:rPr>
      </w:pPr>
    </w:p>
    <w:p w14:paraId="6E6B8A05" w14:textId="77777777" w:rsidR="00AB58B8" w:rsidRDefault="00AB58B8" w:rsidP="00AB58B8">
      <w:pPr>
        <w:jc w:val="both"/>
        <w:rPr>
          <w:sz w:val="22"/>
          <w:szCs w:val="22"/>
        </w:rPr>
      </w:pPr>
      <w:r>
        <w:rPr>
          <w:sz w:val="22"/>
          <w:szCs w:val="22"/>
        </w:rPr>
        <w:t>Se eligen en circunscripción departamental, en lista única con el Presidente y Vicepresidente del Estado, aplicando el principio de proporcionalidad. En cada uno de los 9 Departamentos se eligen cuatro Senadores titulares y cuatro suplentes.</w:t>
      </w:r>
    </w:p>
    <w:p w14:paraId="6E6B8A06" w14:textId="77777777" w:rsidR="00AB58B8" w:rsidRDefault="00AB58B8" w:rsidP="00AB58B8">
      <w:pPr>
        <w:jc w:val="both"/>
        <w:rPr>
          <w:sz w:val="22"/>
          <w:szCs w:val="22"/>
        </w:rPr>
      </w:pPr>
    </w:p>
    <w:p w14:paraId="6E6B8A07" w14:textId="77777777" w:rsidR="00AB58B8" w:rsidRDefault="00AB58B8" w:rsidP="00AB58B8">
      <w:pPr>
        <w:jc w:val="both"/>
        <w:rPr>
          <w:sz w:val="22"/>
          <w:szCs w:val="22"/>
        </w:rPr>
      </w:pPr>
      <w:r>
        <w:rPr>
          <w:sz w:val="22"/>
          <w:szCs w:val="22"/>
        </w:rPr>
        <w:t>Los votos acumulativos obtenidos en cada Departamento, para Presidente, por las organizaciones políticas, se dividen sucesivamente entre los divisores naturales: 1, 2, 3 y 4, en forma correlativa, continua y obligada. Los cocientes obtenidos se ordenan de mayor a menor para establecer el número de Senadores que corresponde a cada organización política en cada Departamento.</w:t>
      </w:r>
    </w:p>
    <w:p w14:paraId="6E6B8A08" w14:textId="77777777" w:rsidR="00AB58B8" w:rsidRDefault="00AB58B8" w:rsidP="00AB58B8">
      <w:pPr>
        <w:jc w:val="both"/>
        <w:rPr>
          <w:sz w:val="22"/>
          <w:szCs w:val="22"/>
        </w:rPr>
      </w:pPr>
    </w:p>
    <w:p w14:paraId="6E6B8A09" w14:textId="77777777" w:rsidR="00AB58B8" w:rsidRDefault="00AB58B8" w:rsidP="00AB58B8">
      <w:pPr>
        <w:jc w:val="both"/>
        <w:rPr>
          <w:i/>
          <w:iCs/>
          <w:sz w:val="22"/>
          <w:szCs w:val="22"/>
          <w:u w:val="single"/>
        </w:rPr>
      </w:pPr>
      <w:r>
        <w:rPr>
          <w:i/>
          <w:iCs/>
          <w:sz w:val="22"/>
          <w:szCs w:val="22"/>
          <w:u w:val="single"/>
        </w:rPr>
        <w:t>Elección de diputados</w:t>
      </w:r>
    </w:p>
    <w:p w14:paraId="6E6B8A0A" w14:textId="77777777" w:rsidR="00AB58B8" w:rsidRDefault="00AB58B8" w:rsidP="00AB58B8">
      <w:pPr>
        <w:jc w:val="both"/>
        <w:rPr>
          <w:sz w:val="22"/>
          <w:szCs w:val="22"/>
        </w:rPr>
      </w:pPr>
    </w:p>
    <w:p w14:paraId="6E6B8A0B" w14:textId="77777777" w:rsidR="00AB58B8" w:rsidRDefault="00AB58B8" w:rsidP="00AB58B8">
      <w:pPr>
        <w:jc w:val="both"/>
        <w:rPr>
          <w:sz w:val="22"/>
          <w:szCs w:val="22"/>
        </w:rPr>
      </w:pPr>
      <w:r>
        <w:rPr>
          <w:sz w:val="22"/>
          <w:szCs w:val="22"/>
        </w:rPr>
        <w:t>La Cámara de Diputados de la Asamblea Legislativa Plurinacional se compone de ciento treinta (130) miembros, de los cuales 63 son electos por circunscripción uninominal, 60 por la vía plurinominal y 7 por circunscripción especial.</w:t>
      </w:r>
      <w:r>
        <w:rPr>
          <w:rStyle w:val="FootnoteReference"/>
          <w:sz w:val="22"/>
          <w:szCs w:val="22"/>
        </w:rPr>
        <w:footnoteReference w:id="1"/>
      </w:r>
      <w:r>
        <w:rPr>
          <w:sz w:val="22"/>
          <w:szCs w:val="22"/>
        </w:rPr>
        <w:t xml:space="preserve"> </w:t>
      </w:r>
    </w:p>
    <w:p w14:paraId="6E6B8A0C" w14:textId="77777777" w:rsidR="00AB58B8" w:rsidRDefault="00AB58B8" w:rsidP="00AB58B8">
      <w:pPr>
        <w:jc w:val="both"/>
        <w:rPr>
          <w:sz w:val="22"/>
          <w:szCs w:val="22"/>
        </w:rPr>
      </w:pPr>
    </w:p>
    <w:p w14:paraId="6E6B8A0D" w14:textId="77777777" w:rsidR="00AB58B8" w:rsidRDefault="00AB58B8" w:rsidP="00AB58B8">
      <w:pPr>
        <w:jc w:val="center"/>
        <w:rPr>
          <w:b/>
          <w:bCs/>
          <w:sz w:val="22"/>
          <w:szCs w:val="22"/>
        </w:rPr>
      </w:pPr>
      <w:r>
        <w:rPr>
          <w:b/>
          <w:bCs/>
          <w:sz w:val="22"/>
          <w:szCs w:val="22"/>
        </w:rPr>
        <w:t>Elección de Diputados a la Asamblea Legislativa Plurinacional</w:t>
      </w:r>
    </w:p>
    <w:p w14:paraId="6E6B8A0E" w14:textId="77777777" w:rsidR="00AB58B8" w:rsidRDefault="00AB58B8" w:rsidP="00AB58B8">
      <w:pPr>
        <w:jc w:val="both"/>
        <w:rPr>
          <w:sz w:val="22"/>
          <w:szCs w:val="22"/>
        </w:rPr>
      </w:pPr>
    </w:p>
    <w:tbl>
      <w:tblPr>
        <w:tblStyle w:val="TableGrid"/>
        <w:tblW w:w="8505" w:type="dxa"/>
        <w:jc w:val="cente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1901"/>
        <w:gridCol w:w="1619"/>
        <w:gridCol w:w="1729"/>
        <w:gridCol w:w="1350"/>
        <w:gridCol w:w="1906"/>
      </w:tblGrid>
      <w:tr w:rsidR="00AB58B8" w14:paraId="6E6B8A17" w14:textId="77777777" w:rsidTr="00AB58B8">
        <w:trPr>
          <w:trHeight w:val="20"/>
          <w:tblCellSpacing w:w="20" w:type="dxa"/>
          <w:jc w:val="center"/>
        </w:trPr>
        <w:tc>
          <w:tcPr>
            <w:tcW w:w="1841" w:type="dxa"/>
            <w:tcBorders>
              <w:top w:val="inset" w:sz="6" w:space="0" w:color="auto"/>
              <w:left w:val="inset" w:sz="6" w:space="0" w:color="auto"/>
              <w:bottom w:val="inset" w:sz="6" w:space="0" w:color="auto"/>
              <w:right w:val="inset" w:sz="6" w:space="0" w:color="auto"/>
            </w:tcBorders>
            <w:shd w:val="pct20" w:color="auto" w:fill="auto"/>
            <w:hideMark/>
          </w:tcPr>
          <w:p w14:paraId="6E6B8A0F" w14:textId="77777777" w:rsidR="00AB58B8" w:rsidRDefault="00AB58B8">
            <w:pPr>
              <w:autoSpaceDE w:val="0"/>
              <w:autoSpaceDN w:val="0"/>
              <w:adjustRightInd w:val="0"/>
              <w:jc w:val="both"/>
              <w:rPr>
                <w:rFonts w:ascii="Arial" w:hAnsi="Arial" w:cs="Arial"/>
                <w:color w:val="252525"/>
                <w:sz w:val="20"/>
                <w:szCs w:val="20"/>
                <w:lang w:eastAsia="es-MX"/>
              </w:rPr>
            </w:pPr>
            <w:r>
              <w:rPr>
                <w:rFonts w:ascii="Arial" w:hAnsi="Arial" w:cs="Arial"/>
                <w:color w:val="252525"/>
                <w:sz w:val="20"/>
                <w:szCs w:val="20"/>
                <w:lang w:eastAsia="es-MX"/>
              </w:rPr>
              <w:t>Departamento</w:t>
            </w:r>
          </w:p>
        </w:tc>
        <w:tc>
          <w:tcPr>
            <w:tcW w:w="1579" w:type="dxa"/>
            <w:tcBorders>
              <w:top w:val="inset" w:sz="6" w:space="0" w:color="auto"/>
              <w:left w:val="inset" w:sz="6" w:space="0" w:color="auto"/>
              <w:bottom w:val="inset" w:sz="6" w:space="0" w:color="auto"/>
              <w:right w:val="inset" w:sz="6" w:space="0" w:color="auto"/>
            </w:tcBorders>
            <w:shd w:val="pct20" w:color="auto" w:fill="auto"/>
            <w:hideMark/>
          </w:tcPr>
          <w:p w14:paraId="6E6B8A10" w14:textId="77777777" w:rsidR="00AB58B8" w:rsidRDefault="00AB58B8">
            <w:pPr>
              <w:autoSpaceDE w:val="0"/>
              <w:autoSpaceDN w:val="0"/>
              <w:adjustRightInd w:val="0"/>
              <w:jc w:val="center"/>
              <w:rPr>
                <w:rFonts w:ascii="Arial" w:hAnsi="Arial" w:cs="Arial"/>
                <w:b/>
                <w:bCs/>
                <w:color w:val="252525"/>
                <w:sz w:val="20"/>
                <w:szCs w:val="20"/>
                <w:lang w:eastAsia="es-MX"/>
              </w:rPr>
            </w:pPr>
            <w:r>
              <w:rPr>
                <w:rFonts w:ascii="Arial" w:hAnsi="Arial" w:cs="Arial"/>
                <w:b/>
                <w:bCs/>
                <w:color w:val="252525"/>
                <w:sz w:val="20"/>
                <w:szCs w:val="20"/>
                <w:lang w:eastAsia="es-MX"/>
              </w:rPr>
              <w:t>Uninominales</w:t>
            </w:r>
          </w:p>
          <w:p w14:paraId="6E6B8A11"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Simple mayoría</w:t>
            </w:r>
          </w:p>
        </w:tc>
        <w:tc>
          <w:tcPr>
            <w:tcW w:w="1689" w:type="dxa"/>
            <w:tcBorders>
              <w:top w:val="inset" w:sz="6" w:space="0" w:color="auto"/>
              <w:left w:val="inset" w:sz="6" w:space="0" w:color="auto"/>
              <w:bottom w:val="inset" w:sz="6" w:space="0" w:color="auto"/>
              <w:right w:val="inset" w:sz="6" w:space="0" w:color="auto"/>
            </w:tcBorders>
            <w:shd w:val="pct20" w:color="auto" w:fill="auto"/>
            <w:hideMark/>
          </w:tcPr>
          <w:p w14:paraId="6E6B8A12" w14:textId="77777777" w:rsidR="00AB58B8" w:rsidRDefault="00AB58B8">
            <w:pPr>
              <w:autoSpaceDE w:val="0"/>
              <w:autoSpaceDN w:val="0"/>
              <w:adjustRightInd w:val="0"/>
              <w:jc w:val="center"/>
              <w:rPr>
                <w:rFonts w:ascii="Arial" w:hAnsi="Arial" w:cs="Arial"/>
                <w:b/>
                <w:bCs/>
                <w:color w:val="252525"/>
                <w:sz w:val="20"/>
                <w:szCs w:val="20"/>
                <w:lang w:eastAsia="es-MX"/>
              </w:rPr>
            </w:pPr>
            <w:r>
              <w:rPr>
                <w:rFonts w:ascii="Arial" w:hAnsi="Arial" w:cs="Arial"/>
                <w:b/>
                <w:bCs/>
                <w:color w:val="252525"/>
                <w:sz w:val="20"/>
                <w:szCs w:val="20"/>
                <w:lang w:eastAsia="es-MX"/>
              </w:rPr>
              <w:t>Plurinominales</w:t>
            </w:r>
          </w:p>
          <w:p w14:paraId="6E6B8A13"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Sistema Proporcional</w:t>
            </w:r>
          </w:p>
        </w:tc>
        <w:tc>
          <w:tcPr>
            <w:tcW w:w="1310" w:type="dxa"/>
            <w:tcBorders>
              <w:top w:val="inset" w:sz="6" w:space="0" w:color="auto"/>
              <w:left w:val="inset" w:sz="6" w:space="0" w:color="auto"/>
              <w:bottom w:val="inset" w:sz="6" w:space="0" w:color="auto"/>
              <w:right w:val="inset" w:sz="6" w:space="0" w:color="auto"/>
            </w:tcBorders>
            <w:shd w:val="pct20" w:color="auto" w:fill="auto"/>
            <w:hideMark/>
          </w:tcPr>
          <w:p w14:paraId="6E6B8A14" w14:textId="77777777" w:rsidR="00AB58B8" w:rsidRDefault="00AB58B8">
            <w:pPr>
              <w:autoSpaceDE w:val="0"/>
              <w:autoSpaceDN w:val="0"/>
              <w:adjustRightInd w:val="0"/>
              <w:jc w:val="center"/>
              <w:rPr>
                <w:rFonts w:ascii="Arial" w:hAnsi="Arial" w:cs="Arial"/>
                <w:b/>
                <w:bCs/>
                <w:color w:val="252525"/>
                <w:sz w:val="20"/>
                <w:szCs w:val="20"/>
                <w:lang w:eastAsia="es-MX"/>
              </w:rPr>
            </w:pPr>
            <w:r>
              <w:rPr>
                <w:rFonts w:ascii="Arial" w:hAnsi="Arial" w:cs="Arial"/>
                <w:b/>
                <w:bCs/>
                <w:color w:val="252525"/>
                <w:sz w:val="20"/>
                <w:szCs w:val="20"/>
                <w:lang w:eastAsia="es-MX"/>
              </w:rPr>
              <w:t>Especiales</w:t>
            </w:r>
          </w:p>
          <w:p w14:paraId="6E6B8A15"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Mayoría simple</w:t>
            </w:r>
          </w:p>
        </w:tc>
        <w:tc>
          <w:tcPr>
            <w:tcW w:w="1846" w:type="dxa"/>
            <w:tcBorders>
              <w:top w:val="inset" w:sz="6" w:space="0" w:color="auto"/>
              <w:left w:val="inset" w:sz="6" w:space="0" w:color="auto"/>
              <w:bottom w:val="inset" w:sz="6" w:space="0" w:color="auto"/>
              <w:right w:val="inset" w:sz="6" w:space="0" w:color="auto"/>
            </w:tcBorders>
            <w:shd w:val="pct20" w:color="auto" w:fill="auto"/>
            <w:hideMark/>
          </w:tcPr>
          <w:p w14:paraId="6E6B8A16"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b/>
                <w:bCs/>
                <w:color w:val="252525"/>
                <w:sz w:val="20"/>
                <w:szCs w:val="20"/>
                <w:lang w:eastAsia="es-MX"/>
              </w:rPr>
              <w:t xml:space="preserve">Total </w:t>
            </w:r>
            <w:r>
              <w:rPr>
                <w:rFonts w:ascii="Arial" w:hAnsi="Arial" w:cs="Arial"/>
                <w:color w:val="252525"/>
                <w:sz w:val="20"/>
                <w:szCs w:val="20"/>
                <w:lang w:eastAsia="es-MX"/>
              </w:rPr>
              <w:t>departamento</w:t>
            </w:r>
          </w:p>
        </w:tc>
      </w:tr>
      <w:tr w:rsidR="00AB58B8" w14:paraId="6E6B8A1D" w14:textId="77777777" w:rsidTr="00AB58B8">
        <w:trPr>
          <w:trHeight w:val="20"/>
          <w:tblCellSpacing w:w="20" w:type="dxa"/>
          <w:jc w:val="center"/>
        </w:trPr>
        <w:tc>
          <w:tcPr>
            <w:tcW w:w="1841" w:type="dxa"/>
            <w:tcBorders>
              <w:top w:val="inset" w:sz="6" w:space="0" w:color="auto"/>
              <w:left w:val="inset" w:sz="6" w:space="0" w:color="auto"/>
              <w:bottom w:val="inset" w:sz="6" w:space="0" w:color="auto"/>
              <w:right w:val="inset" w:sz="6" w:space="0" w:color="auto"/>
            </w:tcBorders>
            <w:hideMark/>
          </w:tcPr>
          <w:p w14:paraId="6E6B8A18" w14:textId="77777777" w:rsidR="00AB58B8" w:rsidRDefault="00AB58B8">
            <w:pPr>
              <w:rPr>
                <w:rFonts w:ascii="Arial" w:hAnsi="Arial" w:cs="Arial"/>
                <w:sz w:val="20"/>
                <w:szCs w:val="20"/>
              </w:rPr>
            </w:pPr>
            <w:r>
              <w:rPr>
                <w:rFonts w:ascii="Arial" w:hAnsi="Arial" w:cs="Arial"/>
                <w:sz w:val="20"/>
                <w:szCs w:val="20"/>
              </w:rPr>
              <w:t>La Paz</w:t>
            </w:r>
          </w:p>
        </w:tc>
        <w:tc>
          <w:tcPr>
            <w:tcW w:w="1579" w:type="dxa"/>
            <w:tcBorders>
              <w:top w:val="inset" w:sz="6" w:space="0" w:color="auto"/>
              <w:left w:val="inset" w:sz="6" w:space="0" w:color="auto"/>
              <w:bottom w:val="inset" w:sz="6" w:space="0" w:color="auto"/>
              <w:right w:val="inset" w:sz="6" w:space="0" w:color="auto"/>
            </w:tcBorders>
            <w:hideMark/>
          </w:tcPr>
          <w:p w14:paraId="6E6B8A19" w14:textId="77777777" w:rsidR="00AB58B8" w:rsidRDefault="00AB58B8">
            <w:pPr>
              <w:jc w:val="center"/>
              <w:rPr>
                <w:rFonts w:ascii="Arial" w:hAnsi="Arial" w:cs="Arial"/>
                <w:sz w:val="20"/>
                <w:szCs w:val="20"/>
              </w:rPr>
            </w:pPr>
            <w:r>
              <w:rPr>
                <w:rFonts w:ascii="Arial" w:hAnsi="Arial" w:cs="Arial"/>
                <w:sz w:val="20"/>
                <w:szCs w:val="20"/>
              </w:rPr>
              <w:t>14</w:t>
            </w:r>
          </w:p>
        </w:tc>
        <w:tc>
          <w:tcPr>
            <w:tcW w:w="1689" w:type="dxa"/>
            <w:tcBorders>
              <w:top w:val="inset" w:sz="6" w:space="0" w:color="auto"/>
              <w:left w:val="inset" w:sz="6" w:space="0" w:color="auto"/>
              <w:bottom w:val="inset" w:sz="6" w:space="0" w:color="auto"/>
              <w:right w:val="inset" w:sz="6" w:space="0" w:color="auto"/>
            </w:tcBorders>
            <w:hideMark/>
          </w:tcPr>
          <w:p w14:paraId="6E6B8A1A" w14:textId="77777777" w:rsidR="00AB58B8" w:rsidRDefault="00AB58B8">
            <w:pPr>
              <w:jc w:val="center"/>
              <w:rPr>
                <w:rFonts w:ascii="Arial" w:hAnsi="Arial" w:cs="Arial"/>
                <w:sz w:val="20"/>
                <w:szCs w:val="20"/>
              </w:rPr>
            </w:pPr>
            <w:r>
              <w:rPr>
                <w:rFonts w:ascii="Arial" w:hAnsi="Arial" w:cs="Arial"/>
                <w:sz w:val="20"/>
                <w:szCs w:val="20"/>
              </w:rPr>
              <w:t>14</w:t>
            </w:r>
          </w:p>
        </w:tc>
        <w:tc>
          <w:tcPr>
            <w:tcW w:w="1310" w:type="dxa"/>
            <w:tcBorders>
              <w:top w:val="inset" w:sz="6" w:space="0" w:color="auto"/>
              <w:left w:val="inset" w:sz="6" w:space="0" w:color="auto"/>
              <w:bottom w:val="inset" w:sz="6" w:space="0" w:color="auto"/>
              <w:right w:val="inset" w:sz="6" w:space="0" w:color="auto"/>
            </w:tcBorders>
            <w:hideMark/>
          </w:tcPr>
          <w:p w14:paraId="6E6B8A1B" w14:textId="77777777" w:rsidR="00AB58B8" w:rsidRDefault="00AB58B8">
            <w:pPr>
              <w:jc w:val="center"/>
              <w:rPr>
                <w:rFonts w:ascii="Arial" w:hAnsi="Arial" w:cs="Arial"/>
                <w:sz w:val="20"/>
                <w:szCs w:val="20"/>
              </w:rPr>
            </w:pPr>
            <w:r>
              <w:rPr>
                <w:rFonts w:ascii="Arial" w:hAnsi="Arial" w:cs="Arial"/>
                <w:sz w:val="20"/>
                <w:szCs w:val="20"/>
              </w:rPr>
              <w:t>1</w:t>
            </w:r>
          </w:p>
        </w:tc>
        <w:tc>
          <w:tcPr>
            <w:tcW w:w="1846" w:type="dxa"/>
            <w:tcBorders>
              <w:top w:val="inset" w:sz="6" w:space="0" w:color="auto"/>
              <w:left w:val="inset" w:sz="6" w:space="0" w:color="auto"/>
              <w:bottom w:val="inset" w:sz="6" w:space="0" w:color="auto"/>
              <w:right w:val="inset" w:sz="6" w:space="0" w:color="auto"/>
            </w:tcBorders>
            <w:hideMark/>
          </w:tcPr>
          <w:p w14:paraId="6E6B8A1C" w14:textId="77777777" w:rsidR="00AB58B8" w:rsidRDefault="00AB58B8">
            <w:pPr>
              <w:jc w:val="center"/>
              <w:rPr>
                <w:rFonts w:ascii="Arial" w:hAnsi="Arial" w:cs="Arial"/>
                <w:sz w:val="20"/>
                <w:szCs w:val="20"/>
              </w:rPr>
            </w:pPr>
            <w:r>
              <w:rPr>
                <w:rFonts w:ascii="Arial" w:hAnsi="Arial" w:cs="Arial"/>
                <w:sz w:val="20"/>
                <w:szCs w:val="20"/>
              </w:rPr>
              <w:t>29</w:t>
            </w:r>
          </w:p>
        </w:tc>
      </w:tr>
      <w:tr w:rsidR="00AB58B8" w14:paraId="6E6B8A23" w14:textId="77777777" w:rsidTr="00AB58B8">
        <w:trPr>
          <w:trHeight w:val="20"/>
          <w:tblCellSpacing w:w="20" w:type="dxa"/>
          <w:jc w:val="center"/>
        </w:trPr>
        <w:tc>
          <w:tcPr>
            <w:tcW w:w="1841" w:type="dxa"/>
            <w:tcBorders>
              <w:top w:val="inset" w:sz="6" w:space="0" w:color="auto"/>
              <w:left w:val="inset" w:sz="6" w:space="0" w:color="auto"/>
              <w:bottom w:val="inset" w:sz="6" w:space="0" w:color="auto"/>
              <w:right w:val="inset" w:sz="6" w:space="0" w:color="auto"/>
            </w:tcBorders>
            <w:hideMark/>
          </w:tcPr>
          <w:p w14:paraId="6E6B8A1E" w14:textId="77777777" w:rsidR="00AB58B8" w:rsidRDefault="00AB58B8">
            <w:pPr>
              <w:autoSpaceDE w:val="0"/>
              <w:autoSpaceDN w:val="0"/>
              <w:adjustRightInd w:val="0"/>
              <w:jc w:val="both"/>
              <w:rPr>
                <w:rFonts w:ascii="Arial" w:hAnsi="Arial" w:cs="Arial"/>
                <w:color w:val="252525"/>
                <w:sz w:val="20"/>
                <w:szCs w:val="20"/>
                <w:lang w:eastAsia="es-MX"/>
              </w:rPr>
            </w:pPr>
            <w:r>
              <w:rPr>
                <w:rFonts w:ascii="Arial" w:hAnsi="Arial" w:cs="Arial"/>
                <w:color w:val="252525"/>
                <w:sz w:val="20"/>
                <w:szCs w:val="20"/>
                <w:lang w:eastAsia="es-MX"/>
              </w:rPr>
              <w:t>Santa Cruz</w:t>
            </w:r>
          </w:p>
        </w:tc>
        <w:tc>
          <w:tcPr>
            <w:tcW w:w="1579" w:type="dxa"/>
            <w:tcBorders>
              <w:top w:val="inset" w:sz="6" w:space="0" w:color="auto"/>
              <w:left w:val="inset" w:sz="6" w:space="0" w:color="auto"/>
              <w:bottom w:val="inset" w:sz="6" w:space="0" w:color="auto"/>
              <w:right w:val="inset" w:sz="6" w:space="0" w:color="auto"/>
            </w:tcBorders>
            <w:hideMark/>
          </w:tcPr>
          <w:p w14:paraId="6E6B8A1F"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14</w:t>
            </w:r>
          </w:p>
        </w:tc>
        <w:tc>
          <w:tcPr>
            <w:tcW w:w="1689" w:type="dxa"/>
            <w:tcBorders>
              <w:top w:val="inset" w:sz="6" w:space="0" w:color="auto"/>
              <w:left w:val="inset" w:sz="6" w:space="0" w:color="auto"/>
              <w:bottom w:val="inset" w:sz="6" w:space="0" w:color="auto"/>
              <w:right w:val="inset" w:sz="6" w:space="0" w:color="auto"/>
            </w:tcBorders>
            <w:hideMark/>
          </w:tcPr>
          <w:p w14:paraId="6E6B8A20"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13</w:t>
            </w:r>
          </w:p>
        </w:tc>
        <w:tc>
          <w:tcPr>
            <w:tcW w:w="1310" w:type="dxa"/>
            <w:tcBorders>
              <w:top w:val="inset" w:sz="6" w:space="0" w:color="auto"/>
              <w:left w:val="inset" w:sz="6" w:space="0" w:color="auto"/>
              <w:bottom w:val="inset" w:sz="6" w:space="0" w:color="auto"/>
              <w:right w:val="inset" w:sz="6" w:space="0" w:color="auto"/>
            </w:tcBorders>
            <w:hideMark/>
          </w:tcPr>
          <w:p w14:paraId="6E6B8A21"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1</w:t>
            </w:r>
          </w:p>
        </w:tc>
        <w:tc>
          <w:tcPr>
            <w:tcW w:w="1846" w:type="dxa"/>
            <w:tcBorders>
              <w:top w:val="inset" w:sz="6" w:space="0" w:color="auto"/>
              <w:left w:val="inset" w:sz="6" w:space="0" w:color="auto"/>
              <w:bottom w:val="inset" w:sz="6" w:space="0" w:color="auto"/>
              <w:right w:val="inset" w:sz="6" w:space="0" w:color="auto"/>
            </w:tcBorders>
            <w:hideMark/>
          </w:tcPr>
          <w:p w14:paraId="6E6B8A22"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28</w:t>
            </w:r>
          </w:p>
        </w:tc>
      </w:tr>
      <w:tr w:rsidR="00AB58B8" w14:paraId="6E6B8A29" w14:textId="77777777" w:rsidTr="00AB58B8">
        <w:trPr>
          <w:trHeight w:val="20"/>
          <w:tblCellSpacing w:w="20" w:type="dxa"/>
          <w:jc w:val="center"/>
        </w:trPr>
        <w:tc>
          <w:tcPr>
            <w:tcW w:w="1841" w:type="dxa"/>
            <w:tcBorders>
              <w:top w:val="inset" w:sz="6" w:space="0" w:color="auto"/>
              <w:left w:val="inset" w:sz="6" w:space="0" w:color="auto"/>
              <w:bottom w:val="inset" w:sz="6" w:space="0" w:color="auto"/>
              <w:right w:val="inset" w:sz="6" w:space="0" w:color="auto"/>
            </w:tcBorders>
            <w:hideMark/>
          </w:tcPr>
          <w:p w14:paraId="6E6B8A24" w14:textId="77777777" w:rsidR="00AB58B8" w:rsidRDefault="00AB58B8">
            <w:pPr>
              <w:autoSpaceDE w:val="0"/>
              <w:autoSpaceDN w:val="0"/>
              <w:adjustRightInd w:val="0"/>
              <w:jc w:val="both"/>
              <w:rPr>
                <w:rFonts w:ascii="Arial" w:hAnsi="Arial" w:cs="Arial"/>
                <w:color w:val="252525"/>
                <w:sz w:val="20"/>
                <w:szCs w:val="20"/>
                <w:lang w:eastAsia="es-MX"/>
              </w:rPr>
            </w:pPr>
            <w:r>
              <w:rPr>
                <w:rFonts w:ascii="Arial" w:hAnsi="Arial" w:cs="Arial"/>
                <w:color w:val="252525"/>
                <w:sz w:val="20"/>
                <w:szCs w:val="20"/>
                <w:lang w:eastAsia="es-MX"/>
              </w:rPr>
              <w:t>Cochabamba</w:t>
            </w:r>
          </w:p>
        </w:tc>
        <w:tc>
          <w:tcPr>
            <w:tcW w:w="1579" w:type="dxa"/>
            <w:tcBorders>
              <w:top w:val="inset" w:sz="6" w:space="0" w:color="auto"/>
              <w:left w:val="inset" w:sz="6" w:space="0" w:color="auto"/>
              <w:bottom w:val="inset" w:sz="6" w:space="0" w:color="auto"/>
              <w:right w:val="inset" w:sz="6" w:space="0" w:color="auto"/>
            </w:tcBorders>
            <w:hideMark/>
          </w:tcPr>
          <w:p w14:paraId="6E6B8A25"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9</w:t>
            </w:r>
          </w:p>
        </w:tc>
        <w:tc>
          <w:tcPr>
            <w:tcW w:w="1689" w:type="dxa"/>
            <w:tcBorders>
              <w:top w:val="inset" w:sz="6" w:space="0" w:color="auto"/>
              <w:left w:val="inset" w:sz="6" w:space="0" w:color="auto"/>
              <w:bottom w:val="inset" w:sz="6" w:space="0" w:color="auto"/>
              <w:right w:val="inset" w:sz="6" w:space="0" w:color="auto"/>
            </w:tcBorders>
            <w:hideMark/>
          </w:tcPr>
          <w:p w14:paraId="6E6B8A26"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9</w:t>
            </w:r>
          </w:p>
        </w:tc>
        <w:tc>
          <w:tcPr>
            <w:tcW w:w="1310" w:type="dxa"/>
            <w:tcBorders>
              <w:top w:val="inset" w:sz="6" w:space="0" w:color="auto"/>
              <w:left w:val="inset" w:sz="6" w:space="0" w:color="auto"/>
              <w:bottom w:val="inset" w:sz="6" w:space="0" w:color="auto"/>
              <w:right w:val="inset" w:sz="6" w:space="0" w:color="auto"/>
            </w:tcBorders>
            <w:hideMark/>
          </w:tcPr>
          <w:p w14:paraId="6E6B8A27"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1</w:t>
            </w:r>
          </w:p>
        </w:tc>
        <w:tc>
          <w:tcPr>
            <w:tcW w:w="1846" w:type="dxa"/>
            <w:tcBorders>
              <w:top w:val="inset" w:sz="6" w:space="0" w:color="auto"/>
              <w:left w:val="inset" w:sz="6" w:space="0" w:color="auto"/>
              <w:bottom w:val="inset" w:sz="6" w:space="0" w:color="auto"/>
              <w:right w:val="inset" w:sz="6" w:space="0" w:color="auto"/>
            </w:tcBorders>
            <w:hideMark/>
          </w:tcPr>
          <w:p w14:paraId="6E6B8A28"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19</w:t>
            </w:r>
          </w:p>
        </w:tc>
      </w:tr>
      <w:tr w:rsidR="00AB58B8" w14:paraId="6E6B8A2F" w14:textId="77777777" w:rsidTr="00AB58B8">
        <w:trPr>
          <w:trHeight w:val="20"/>
          <w:tblCellSpacing w:w="20" w:type="dxa"/>
          <w:jc w:val="center"/>
        </w:trPr>
        <w:tc>
          <w:tcPr>
            <w:tcW w:w="1841" w:type="dxa"/>
            <w:tcBorders>
              <w:top w:val="inset" w:sz="6" w:space="0" w:color="auto"/>
              <w:left w:val="inset" w:sz="6" w:space="0" w:color="auto"/>
              <w:bottom w:val="inset" w:sz="6" w:space="0" w:color="auto"/>
              <w:right w:val="inset" w:sz="6" w:space="0" w:color="auto"/>
            </w:tcBorders>
            <w:hideMark/>
          </w:tcPr>
          <w:p w14:paraId="6E6B8A2A" w14:textId="77777777" w:rsidR="00AB58B8" w:rsidRDefault="00AB58B8">
            <w:pPr>
              <w:autoSpaceDE w:val="0"/>
              <w:autoSpaceDN w:val="0"/>
              <w:adjustRightInd w:val="0"/>
              <w:jc w:val="both"/>
              <w:rPr>
                <w:rFonts w:ascii="Arial" w:hAnsi="Arial" w:cs="Arial"/>
                <w:color w:val="252525"/>
                <w:sz w:val="20"/>
                <w:szCs w:val="20"/>
                <w:lang w:eastAsia="es-MX"/>
              </w:rPr>
            </w:pPr>
            <w:r>
              <w:rPr>
                <w:rFonts w:ascii="Arial" w:hAnsi="Arial" w:cs="Arial"/>
                <w:color w:val="252525"/>
                <w:sz w:val="20"/>
                <w:szCs w:val="20"/>
                <w:lang w:eastAsia="es-MX"/>
              </w:rPr>
              <w:t>Potosí</w:t>
            </w:r>
          </w:p>
        </w:tc>
        <w:tc>
          <w:tcPr>
            <w:tcW w:w="1579" w:type="dxa"/>
            <w:tcBorders>
              <w:top w:val="inset" w:sz="6" w:space="0" w:color="auto"/>
              <w:left w:val="inset" w:sz="6" w:space="0" w:color="auto"/>
              <w:bottom w:val="inset" w:sz="6" w:space="0" w:color="auto"/>
              <w:right w:val="inset" w:sz="6" w:space="0" w:color="auto"/>
            </w:tcBorders>
            <w:hideMark/>
          </w:tcPr>
          <w:p w14:paraId="6E6B8A2B"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7</w:t>
            </w:r>
          </w:p>
        </w:tc>
        <w:tc>
          <w:tcPr>
            <w:tcW w:w="1689" w:type="dxa"/>
            <w:tcBorders>
              <w:top w:val="inset" w:sz="6" w:space="0" w:color="auto"/>
              <w:left w:val="inset" w:sz="6" w:space="0" w:color="auto"/>
              <w:bottom w:val="inset" w:sz="6" w:space="0" w:color="auto"/>
              <w:right w:val="inset" w:sz="6" w:space="0" w:color="auto"/>
            </w:tcBorders>
            <w:hideMark/>
          </w:tcPr>
          <w:p w14:paraId="6E6B8A2C"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6</w:t>
            </w:r>
          </w:p>
        </w:tc>
        <w:tc>
          <w:tcPr>
            <w:tcW w:w="1310" w:type="dxa"/>
            <w:tcBorders>
              <w:top w:val="inset" w:sz="6" w:space="0" w:color="auto"/>
              <w:left w:val="inset" w:sz="6" w:space="0" w:color="auto"/>
              <w:bottom w:val="inset" w:sz="6" w:space="0" w:color="auto"/>
              <w:right w:val="inset" w:sz="6" w:space="0" w:color="auto"/>
            </w:tcBorders>
            <w:hideMark/>
          </w:tcPr>
          <w:p w14:paraId="6E6B8A2D"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0</w:t>
            </w:r>
          </w:p>
        </w:tc>
        <w:tc>
          <w:tcPr>
            <w:tcW w:w="1846" w:type="dxa"/>
            <w:tcBorders>
              <w:top w:val="inset" w:sz="6" w:space="0" w:color="auto"/>
              <w:left w:val="inset" w:sz="6" w:space="0" w:color="auto"/>
              <w:bottom w:val="inset" w:sz="6" w:space="0" w:color="auto"/>
              <w:right w:val="inset" w:sz="6" w:space="0" w:color="auto"/>
            </w:tcBorders>
            <w:hideMark/>
          </w:tcPr>
          <w:p w14:paraId="6E6B8A2E"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13</w:t>
            </w:r>
          </w:p>
        </w:tc>
      </w:tr>
      <w:tr w:rsidR="00AB58B8" w14:paraId="6E6B8A35" w14:textId="77777777" w:rsidTr="00AB58B8">
        <w:trPr>
          <w:trHeight w:val="20"/>
          <w:tblCellSpacing w:w="20" w:type="dxa"/>
          <w:jc w:val="center"/>
        </w:trPr>
        <w:tc>
          <w:tcPr>
            <w:tcW w:w="1841" w:type="dxa"/>
            <w:tcBorders>
              <w:top w:val="inset" w:sz="6" w:space="0" w:color="auto"/>
              <w:left w:val="inset" w:sz="6" w:space="0" w:color="auto"/>
              <w:bottom w:val="inset" w:sz="6" w:space="0" w:color="auto"/>
              <w:right w:val="inset" w:sz="6" w:space="0" w:color="auto"/>
            </w:tcBorders>
            <w:hideMark/>
          </w:tcPr>
          <w:p w14:paraId="6E6B8A30" w14:textId="77777777" w:rsidR="00AB58B8" w:rsidRDefault="00AB58B8">
            <w:pPr>
              <w:autoSpaceDE w:val="0"/>
              <w:autoSpaceDN w:val="0"/>
              <w:adjustRightInd w:val="0"/>
              <w:jc w:val="both"/>
              <w:rPr>
                <w:rFonts w:ascii="Arial" w:hAnsi="Arial" w:cs="Arial"/>
                <w:color w:val="252525"/>
                <w:sz w:val="20"/>
                <w:szCs w:val="20"/>
                <w:lang w:eastAsia="es-MX"/>
              </w:rPr>
            </w:pPr>
            <w:r>
              <w:rPr>
                <w:rFonts w:ascii="Arial" w:hAnsi="Arial" w:cs="Arial"/>
                <w:color w:val="252525"/>
                <w:sz w:val="20"/>
                <w:szCs w:val="20"/>
                <w:lang w:eastAsia="es-MX"/>
              </w:rPr>
              <w:t>Chuquisaca</w:t>
            </w:r>
          </w:p>
        </w:tc>
        <w:tc>
          <w:tcPr>
            <w:tcW w:w="1579" w:type="dxa"/>
            <w:tcBorders>
              <w:top w:val="inset" w:sz="6" w:space="0" w:color="auto"/>
              <w:left w:val="inset" w:sz="6" w:space="0" w:color="auto"/>
              <w:bottom w:val="inset" w:sz="6" w:space="0" w:color="auto"/>
              <w:right w:val="inset" w:sz="6" w:space="0" w:color="auto"/>
            </w:tcBorders>
            <w:hideMark/>
          </w:tcPr>
          <w:p w14:paraId="6E6B8A31"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5</w:t>
            </w:r>
          </w:p>
        </w:tc>
        <w:tc>
          <w:tcPr>
            <w:tcW w:w="1689" w:type="dxa"/>
            <w:tcBorders>
              <w:top w:val="inset" w:sz="6" w:space="0" w:color="auto"/>
              <w:left w:val="inset" w:sz="6" w:space="0" w:color="auto"/>
              <w:bottom w:val="inset" w:sz="6" w:space="0" w:color="auto"/>
              <w:right w:val="inset" w:sz="6" w:space="0" w:color="auto"/>
            </w:tcBorders>
            <w:hideMark/>
          </w:tcPr>
          <w:p w14:paraId="6E6B8A32"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5</w:t>
            </w:r>
          </w:p>
        </w:tc>
        <w:tc>
          <w:tcPr>
            <w:tcW w:w="1310" w:type="dxa"/>
            <w:tcBorders>
              <w:top w:val="inset" w:sz="6" w:space="0" w:color="auto"/>
              <w:left w:val="inset" w:sz="6" w:space="0" w:color="auto"/>
              <w:bottom w:val="inset" w:sz="6" w:space="0" w:color="auto"/>
              <w:right w:val="inset" w:sz="6" w:space="0" w:color="auto"/>
            </w:tcBorders>
            <w:hideMark/>
          </w:tcPr>
          <w:p w14:paraId="6E6B8A33"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0</w:t>
            </w:r>
          </w:p>
        </w:tc>
        <w:tc>
          <w:tcPr>
            <w:tcW w:w="1846" w:type="dxa"/>
            <w:tcBorders>
              <w:top w:val="inset" w:sz="6" w:space="0" w:color="auto"/>
              <w:left w:val="inset" w:sz="6" w:space="0" w:color="auto"/>
              <w:bottom w:val="inset" w:sz="6" w:space="0" w:color="auto"/>
              <w:right w:val="inset" w:sz="6" w:space="0" w:color="auto"/>
            </w:tcBorders>
            <w:hideMark/>
          </w:tcPr>
          <w:p w14:paraId="6E6B8A34"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10</w:t>
            </w:r>
          </w:p>
        </w:tc>
      </w:tr>
      <w:tr w:rsidR="00AB58B8" w14:paraId="6E6B8A3B" w14:textId="77777777" w:rsidTr="00AB58B8">
        <w:trPr>
          <w:trHeight w:val="20"/>
          <w:tblCellSpacing w:w="20" w:type="dxa"/>
          <w:jc w:val="center"/>
        </w:trPr>
        <w:tc>
          <w:tcPr>
            <w:tcW w:w="1841" w:type="dxa"/>
            <w:tcBorders>
              <w:top w:val="inset" w:sz="6" w:space="0" w:color="auto"/>
              <w:left w:val="inset" w:sz="6" w:space="0" w:color="auto"/>
              <w:bottom w:val="inset" w:sz="6" w:space="0" w:color="auto"/>
              <w:right w:val="inset" w:sz="6" w:space="0" w:color="auto"/>
            </w:tcBorders>
            <w:hideMark/>
          </w:tcPr>
          <w:p w14:paraId="6E6B8A36" w14:textId="77777777" w:rsidR="00AB58B8" w:rsidRDefault="00AB58B8">
            <w:pPr>
              <w:autoSpaceDE w:val="0"/>
              <w:autoSpaceDN w:val="0"/>
              <w:adjustRightInd w:val="0"/>
              <w:jc w:val="both"/>
              <w:rPr>
                <w:rFonts w:ascii="Arial" w:hAnsi="Arial" w:cs="Arial"/>
                <w:color w:val="252525"/>
                <w:sz w:val="20"/>
                <w:szCs w:val="20"/>
                <w:lang w:eastAsia="es-MX"/>
              </w:rPr>
            </w:pPr>
            <w:r>
              <w:rPr>
                <w:rFonts w:ascii="Arial" w:hAnsi="Arial" w:cs="Arial"/>
                <w:color w:val="252525"/>
                <w:sz w:val="20"/>
                <w:szCs w:val="20"/>
                <w:lang w:eastAsia="es-MX"/>
              </w:rPr>
              <w:t>Oruro</w:t>
            </w:r>
          </w:p>
        </w:tc>
        <w:tc>
          <w:tcPr>
            <w:tcW w:w="1579" w:type="dxa"/>
            <w:tcBorders>
              <w:top w:val="inset" w:sz="6" w:space="0" w:color="auto"/>
              <w:left w:val="inset" w:sz="6" w:space="0" w:color="auto"/>
              <w:bottom w:val="inset" w:sz="6" w:space="0" w:color="auto"/>
              <w:right w:val="inset" w:sz="6" w:space="0" w:color="auto"/>
            </w:tcBorders>
            <w:hideMark/>
          </w:tcPr>
          <w:p w14:paraId="6E6B8A37"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4</w:t>
            </w:r>
          </w:p>
        </w:tc>
        <w:tc>
          <w:tcPr>
            <w:tcW w:w="1689" w:type="dxa"/>
            <w:tcBorders>
              <w:top w:val="inset" w:sz="6" w:space="0" w:color="auto"/>
              <w:left w:val="inset" w:sz="6" w:space="0" w:color="auto"/>
              <w:bottom w:val="inset" w:sz="6" w:space="0" w:color="auto"/>
              <w:right w:val="inset" w:sz="6" w:space="0" w:color="auto"/>
            </w:tcBorders>
            <w:hideMark/>
          </w:tcPr>
          <w:p w14:paraId="6E6B8A38"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4</w:t>
            </w:r>
          </w:p>
        </w:tc>
        <w:tc>
          <w:tcPr>
            <w:tcW w:w="1310" w:type="dxa"/>
            <w:tcBorders>
              <w:top w:val="inset" w:sz="6" w:space="0" w:color="auto"/>
              <w:left w:val="inset" w:sz="6" w:space="0" w:color="auto"/>
              <w:bottom w:val="inset" w:sz="6" w:space="0" w:color="auto"/>
              <w:right w:val="inset" w:sz="6" w:space="0" w:color="auto"/>
            </w:tcBorders>
            <w:hideMark/>
          </w:tcPr>
          <w:p w14:paraId="6E6B8A39"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1</w:t>
            </w:r>
          </w:p>
        </w:tc>
        <w:tc>
          <w:tcPr>
            <w:tcW w:w="1846" w:type="dxa"/>
            <w:tcBorders>
              <w:top w:val="inset" w:sz="6" w:space="0" w:color="auto"/>
              <w:left w:val="inset" w:sz="6" w:space="0" w:color="auto"/>
              <w:bottom w:val="inset" w:sz="6" w:space="0" w:color="auto"/>
              <w:right w:val="inset" w:sz="6" w:space="0" w:color="auto"/>
            </w:tcBorders>
            <w:hideMark/>
          </w:tcPr>
          <w:p w14:paraId="6E6B8A3A"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9</w:t>
            </w:r>
          </w:p>
        </w:tc>
      </w:tr>
      <w:tr w:rsidR="00AB58B8" w14:paraId="6E6B8A41" w14:textId="77777777" w:rsidTr="00AB58B8">
        <w:trPr>
          <w:trHeight w:val="20"/>
          <w:tblCellSpacing w:w="20" w:type="dxa"/>
          <w:jc w:val="center"/>
        </w:trPr>
        <w:tc>
          <w:tcPr>
            <w:tcW w:w="1841" w:type="dxa"/>
            <w:tcBorders>
              <w:top w:val="inset" w:sz="6" w:space="0" w:color="auto"/>
              <w:left w:val="inset" w:sz="6" w:space="0" w:color="auto"/>
              <w:bottom w:val="inset" w:sz="6" w:space="0" w:color="auto"/>
              <w:right w:val="inset" w:sz="6" w:space="0" w:color="auto"/>
            </w:tcBorders>
            <w:hideMark/>
          </w:tcPr>
          <w:p w14:paraId="6E6B8A3C" w14:textId="77777777" w:rsidR="00AB58B8" w:rsidRDefault="00AB58B8">
            <w:pPr>
              <w:autoSpaceDE w:val="0"/>
              <w:autoSpaceDN w:val="0"/>
              <w:adjustRightInd w:val="0"/>
              <w:jc w:val="both"/>
              <w:rPr>
                <w:rFonts w:ascii="Arial" w:hAnsi="Arial" w:cs="Arial"/>
                <w:color w:val="252525"/>
                <w:sz w:val="20"/>
                <w:szCs w:val="20"/>
                <w:lang w:eastAsia="es-MX"/>
              </w:rPr>
            </w:pPr>
            <w:r>
              <w:rPr>
                <w:rFonts w:ascii="Arial" w:hAnsi="Arial" w:cs="Arial"/>
                <w:color w:val="252525"/>
                <w:sz w:val="20"/>
                <w:szCs w:val="20"/>
                <w:lang w:eastAsia="es-MX"/>
              </w:rPr>
              <w:t>Tarija</w:t>
            </w:r>
          </w:p>
        </w:tc>
        <w:tc>
          <w:tcPr>
            <w:tcW w:w="1579" w:type="dxa"/>
            <w:tcBorders>
              <w:top w:val="inset" w:sz="6" w:space="0" w:color="auto"/>
              <w:left w:val="inset" w:sz="6" w:space="0" w:color="auto"/>
              <w:bottom w:val="inset" w:sz="6" w:space="0" w:color="auto"/>
              <w:right w:val="inset" w:sz="6" w:space="0" w:color="auto"/>
            </w:tcBorders>
            <w:hideMark/>
          </w:tcPr>
          <w:p w14:paraId="6E6B8A3D"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4</w:t>
            </w:r>
          </w:p>
        </w:tc>
        <w:tc>
          <w:tcPr>
            <w:tcW w:w="1689" w:type="dxa"/>
            <w:tcBorders>
              <w:top w:val="inset" w:sz="6" w:space="0" w:color="auto"/>
              <w:left w:val="inset" w:sz="6" w:space="0" w:color="auto"/>
              <w:bottom w:val="inset" w:sz="6" w:space="0" w:color="auto"/>
              <w:right w:val="inset" w:sz="6" w:space="0" w:color="auto"/>
            </w:tcBorders>
            <w:hideMark/>
          </w:tcPr>
          <w:p w14:paraId="6E6B8A3E"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4</w:t>
            </w:r>
          </w:p>
        </w:tc>
        <w:tc>
          <w:tcPr>
            <w:tcW w:w="1310" w:type="dxa"/>
            <w:tcBorders>
              <w:top w:val="inset" w:sz="6" w:space="0" w:color="auto"/>
              <w:left w:val="inset" w:sz="6" w:space="0" w:color="auto"/>
              <w:bottom w:val="inset" w:sz="6" w:space="0" w:color="auto"/>
              <w:right w:val="inset" w:sz="6" w:space="0" w:color="auto"/>
            </w:tcBorders>
            <w:hideMark/>
          </w:tcPr>
          <w:p w14:paraId="6E6B8A3F"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1</w:t>
            </w:r>
          </w:p>
        </w:tc>
        <w:tc>
          <w:tcPr>
            <w:tcW w:w="1846" w:type="dxa"/>
            <w:tcBorders>
              <w:top w:val="inset" w:sz="6" w:space="0" w:color="auto"/>
              <w:left w:val="inset" w:sz="6" w:space="0" w:color="auto"/>
              <w:bottom w:val="inset" w:sz="6" w:space="0" w:color="auto"/>
              <w:right w:val="inset" w:sz="6" w:space="0" w:color="auto"/>
            </w:tcBorders>
            <w:hideMark/>
          </w:tcPr>
          <w:p w14:paraId="6E6B8A40"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9</w:t>
            </w:r>
          </w:p>
        </w:tc>
      </w:tr>
      <w:tr w:rsidR="00AB58B8" w14:paraId="6E6B8A47" w14:textId="77777777" w:rsidTr="00AB58B8">
        <w:trPr>
          <w:trHeight w:val="20"/>
          <w:tblCellSpacing w:w="20" w:type="dxa"/>
          <w:jc w:val="center"/>
        </w:trPr>
        <w:tc>
          <w:tcPr>
            <w:tcW w:w="1841" w:type="dxa"/>
            <w:tcBorders>
              <w:top w:val="inset" w:sz="6" w:space="0" w:color="auto"/>
              <w:left w:val="inset" w:sz="6" w:space="0" w:color="auto"/>
              <w:bottom w:val="inset" w:sz="6" w:space="0" w:color="auto"/>
              <w:right w:val="inset" w:sz="6" w:space="0" w:color="auto"/>
            </w:tcBorders>
            <w:hideMark/>
          </w:tcPr>
          <w:p w14:paraId="6E6B8A42" w14:textId="77777777" w:rsidR="00AB58B8" w:rsidRDefault="00AB58B8">
            <w:pPr>
              <w:autoSpaceDE w:val="0"/>
              <w:autoSpaceDN w:val="0"/>
              <w:adjustRightInd w:val="0"/>
              <w:jc w:val="both"/>
              <w:rPr>
                <w:rFonts w:ascii="Arial" w:hAnsi="Arial" w:cs="Arial"/>
                <w:color w:val="252525"/>
                <w:sz w:val="20"/>
                <w:szCs w:val="20"/>
                <w:lang w:eastAsia="es-MX"/>
              </w:rPr>
            </w:pPr>
            <w:r>
              <w:rPr>
                <w:rFonts w:ascii="Arial" w:hAnsi="Arial" w:cs="Arial"/>
                <w:color w:val="252525"/>
                <w:sz w:val="20"/>
                <w:szCs w:val="20"/>
                <w:lang w:eastAsia="es-MX"/>
              </w:rPr>
              <w:t>Beni</w:t>
            </w:r>
          </w:p>
        </w:tc>
        <w:tc>
          <w:tcPr>
            <w:tcW w:w="1579" w:type="dxa"/>
            <w:tcBorders>
              <w:top w:val="inset" w:sz="6" w:space="0" w:color="auto"/>
              <w:left w:val="inset" w:sz="6" w:space="0" w:color="auto"/>
              <w:bottom w:val="inset" w:sz="6" w:space="0" w:color="auto"/>
              <w:right w:val="inset" w:sz="6" w:space="0" w:color="auto"/>
            </w:tcBorders>
            <w:hideMark/>
          </w:tcPr>
          <w:p w14:paraId="6E6B8A43"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4</w:t>
            </w:r>
          </w:p>
        </w:tc>
        <w:tc>
          <w:tcPr>
            <w:tcW w:w="1689" w:type="dxa"/>
            <w:tcBorders>
              <w:top w:val="inset" w:sz="6" w:space="0" w:color="auto"/>
              <w:left w:val="inset" w:sz="6" w:space="0" w:color="auto"/>
              <w:bottom w:val="inset" w:sz="6" w:space="0" w:color="auto"/>
              <w:right w:val="inset" w:sz="6" w:space="0" w:color="auto"/>
            </w:tcBorders>
            <w:hideMark/>
          </w:tcPr>
          <w:p w14:paraId="6E6B8A44"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3</w:t>
            </w:r>
          </w:p>
        </w:tc>
        <w:tc>
          <w:tcPr>
            <w:tcW w:w="1310" w:type="dxa"/>
            <w:tcBorders>
              <w:top w:val="inset" w:sz="6" w:space="0" w:color="auto"/>
              <w:left w:val="inset" w:sz="6" w:space="0" w:color="auto"/>
              <w:bottom w:val="inset" w:sz="6" w:space="0" w:color="auto"/>
              <w:right w:val="inset" w:sz="6" w:space="0" w:color="auto"/>
            </w:tcBorders>
            <w:hideMark/>
          </w:tcPr>
          <w:p w14:paraId="6E6B8A45"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1</w:t>
            </w:r>
          </w:p>
        </w:tc>
        <w:tc>
          <w:tcPr>
            <w:tcW w:w="1846" w:type="dxa"/>
            <w:tcBorders>
              <w:top w:val="inset" w:sz="6" w:space="0" w:color="auto"/>
              <w:left w:val="inset" w:sz="6" w:space="0" w:color="auto"/>
              <w:bottom w:val="inset" w:sz="6" w:space="0" w:color="auto"/>
              <w:right w:val="inset" w:sz="6" w:space="0" w:color="auto"/>
            </w:tcBorders>
            <w:hideMark/>
          </w:tcPr>
          <w:p w14:paraId="6E6B8A46"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8</w:t>
            </w:r>
          </w:p>
        </w:tc>
      </w:tr>
      <w:tr w:rsidR="00AB58B8" w14:paraId="6E6B8A4D" w14:textId="77777777" w:rsidTr="00AB58B8">
        <w:trPr>
          <w:trHeight w:val="20"/>
          <w:tblCellSpacing w:w="20" w:type="dxa"/>
          <w:jc w:val="center"/>
        </w:trPr>
        <w:tc>
          <w:tcPr>
            <w:tcW w:w="1841" w:type="dxa"/>
            <w:tcBorders>
              <w:top w:val="inset" w:sz="6" w:space="0" w:color="auto"/>
              <w:left w:val="inset" w:sz="6" w:space="0" w:color="auto"/>
              <w:bottom w:val="inset" w:sz="6" w:space="0" w:color="auto"/>
              <w:right w:val="inset" w:sz="6" w:space="0" w:color="auto"/>
            </w:tcBorders>
            <w:hideMark/>
          </w:tcPr>
          <w:p w14:paraId="6E6B8A48" w14:textId="77777777" w:rsidR="00AB58B8" w:rsidRDefault="00AB58B8">
            <w:pPr>
              <w:autoSpaceDE w:val="0"/>
              <w:autoSpaceDN w:val="0"/>
              <w:adjustRightInd w:val="0"/>
              <w:jc w:val="both"/>
              <w:rPr>
                <w:rFonts w:ascii="Arial" w:hAnsi="Arial" w:cs="Arial"/>
                <w:color w:val="252525"/>
                <w:sz w:val="20"/>
                <w:szCs w:val="20"/>
                <w:lang w:eastAsia="es-MX"/>
              </w:rPr>
            </w:pPr>
            <w:r>
              <w:rPr>
                <w:rFonts w:ascii="Arial" w:hAnsi="Arial" w:cs="Arial"/>
                <w:color w:val="252525"/>
                <w:sz w:val="20"/>
                <w:szCs w:val="20"/>
                <w:lang w:eastAsia="es-MX"/>
              </w:rPr>
              <w:t>Pando</w:t>
            </w:r>
          </w:p>
        </w:tc>
        <w:tc>
          <w:tcPr>
            <w:tcW w:w="1579" w:type="dxa"/>
            <w:tcBorders>
              <w:top w:val="inset" w:sz="6" w:space="0" w:color="auto"/>
              <w:left w:val="inset" w:sz="6" w:space="0" w:color="auto"/>
              <w:bottom w:val="inset" w:sz="6" w:space="0" w:color="auto"/>
              <w:right w:val="inset" w:sz="6" w:space="0" w:color="auto"/>
            </w:tcBorders>
            <w:hideMark/>
          </w:tcPr>
          <w:p w14:paraId="6E6B8A49"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2</w:t>
            </w:r>
          </w:p>
        </w:tc>
        <w:tc>
          <w:tcPr>
            <w:tcW w:w="1689" w:type="dxa"/>
            <w:tcBorders>
              <w:top w:val="inset" w:sz="6" w:space="0" w:color="auto"/>
              <w:left w:val="inset" w:sz="6" w:space="0" w:color="auto"/>
              <w:bottom w:val="inset" w:sz="6" w:space="0" w:color="auto"/>
              <w:right w:val="inset" w:sz="6" w:space="0" w:color="auto"/>
            </w:tcBorders>
            <w:hideMark/>
          </w:tcPr>
          <w:p w14:paraId="6E6B8A4A"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2</w:t>
            </w:r>
          </w:p>
        </w:tc>
        <w:tc>
          <w:tcPr>
            <w:tcW w:w="1310" w:type="dxa"/>
            <w:tcBorders>
              <w:top w:val="inset" w:sz="6" w:space="0" w:color="auto"/>
              <w:left w:val="inset" w:sz="6" w:space="0" w:color="auto"/>
              <w:bottom w:val="inset" w:sz="6" w:space="0" w:color="auto"/>
              <w:right w:val="inset" w:sz="6" w:space="0" w:color="auto"/>
            </w:tcBorders>
            <w:hideMark/>
          </w:tcPr>
          <w:p w14:paraId="6E6B8A4B"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1</w:t>
            </w:r>
          </w:p>
        </w:tc>
        <w:tc>
          <w:tcPr>
            <w:tcW w:w="1846" w:type="dxa"/>
            <w:tcBorders>
              <w:top w:val="inset" w:sz="6" w:space="0" w:color="auto"/>
              <w:left w:val="inset" w:sz="6" w:space="0" w:color="auto"/>
              <w:bottom w:val="inset" w:sz="6" w:space="0" w:color="auto"/>
              <w:right w:val="inset" w:sz="6" w:space="0" w:color="auto"/>
            </w:tcBorders>
            <w:hideMark/>
          </w:tcPr>
          <w:p w14:paraId="6E6B8A4C" w14:textId="77777777" w:rsidR="00AB58B8" w:rsidRDefault="00AB58B8">
            <w:pPr>
              <w:autoSpaceDE w:val="0"/>
              <w:autoSpaceDN w:val="0"/>
              <w:adjustRightInd w:val="0"/>
              <w:jc w:val="center"/>
              <w:rPr>
                <w:rFonts w:ascii="Arial" w:hAnsi="Arial" w:cs="Arial"/>
                <w:color w:val="252525"/>
                <w:sz w:val="20"/>
                <w:szCs w:val="20"/>
                <w:lang w:eastAsia="es-MX"/>
              </w:rPr>
            </w:pPr>
            <w:r>
              <w:rPr>
                <w:rFonts w:ascii="Arial" w:hAnsi="Arial" w:cs="Arial"/>
                <w:color w:val="252525"/>
                <w:sz w:val="20"/>
                <w:szCs w:val="20"/>
                <w:lang w:eastAsia="es-MX"/>
              </w:rPr>
              <w:t>5</w:t>
            </w:r>
          </w:p>
        </w:tc>
      </w:tr>
      <w:tr w:rsidR="00AB58B8" w14:paraId="6E6B8A53" w14:textId="77777777" w:rsidTr="00AB58B8">
        <w:trPr>
          <w:trHeight w:val="20"/>
          <w:tblCellSpacing w:w="20" w:type="dxa"/>
          <w:jc w:val="center"/>
        </w:trPr>
        <w:tc>
          <w:tcPr>
            <w:tcW w:w="1841" w:type="dxa"/>
            <w:tcBorders>
              <w:top w:val="inset" w:sz="6" w:space="0" w:color="auto"/>
              <w:left w:val="inset" w:sz="6" w:space="0" w:color="auto"/>
              <w:bottom w:val="inset" w:sz="6" w:space="0" w:color="auto"/>
              <w:right w:val="inset" w:sz="6" w:space="0" w:color="auto"/>
            </w:tcBorders>
            <w:hideMark/>
          </w:tcPr>
          <w:p w14:paraId="6E6B8A4E" w14:textId="77777777" w:rsidR="00AB58B8" w:rsidRDefault="00AB58B8">
            <w:pPr>
              <w:autoSpaceDE w:val="0"/>
              <w:autoSpaceDN w:val="0"/>
              <w:adjustRightInd w:val="0"/>
              <w:jc w:val="both"/>
              <w:rPr>
                <w:rFonts w:ascii="Arial" w:hAnsi="Arial" w:cs="Arial"/>
                <w:b/>
                <w:bCs/>
                <w:color w:val="252525"/>
                <w:sz w:val="20"/>
                <w:szCs w:val="20"/>
                <w:lang w:eastAsia="es-MX"/>
              </w:rPr>
            </w:pPr>
            <w:r>
              <w:rPr>
                <w:rFonts w:ascii="Arial" w:hAnsi="Arial" w:cs="Arial"/>
                <w:b/>
                <w:bCs/>
                <w:color w:val="252525"/>
                <w:sz w:val="20"/>
                <w:szCs w:val="20"/>
                <w:lang w:eastAsia="es-MX"/>
              </w:rPr>
              <w:lastRenderedPageBreak/>
              <w:t>Total nacional</w:t>
            </w:r>
          </w:p>
        </w:tc>
        <w:tc>
          <w:tcPr>
            <w:tcW w:w="1579" w:type="dxa"/>
            <w:tcBorders>
              <w:top w:val="inset" w:sz="6" w:space="0" w:color="auto"/>
              <w:left w:val="inset" w:sz="6" w:space="0" w:color="auto"/>
              <w:bottom w:val="inset" w:sz="6" w:space="0" w:color="auto"/>
              <w:right w:val="inset" w:sz="6" w:space="0" w:color="auto"/>
            </w:tcBorders>
            <w:hideMark/>
          </w:tcPr>
          <w:p w14:paraId="6E6B8A4F" w14:textId="77777777" w:rsidR="00AB58B8" w:rsidRDefault="00AB58B8">
            <w:pPr>
              <w:autoSpaceDE w:val="0"/>
              <w:autoSpaceDN w:val="0"/>
              <w:adjustRightInd w:val="0"/>
              <w:jc w:val="center"/>
              <w:rPr>
                <w:rFonts w:ascii="Arial" w:hAnsi="Arial" w:cs="Arial"/>
                <w:b/>
                <w:bCs/>
                <w:color w:val="252525"/>
                <w:sz w:val="20"/>
                <w:szCs w:val="20"/>
                <w:lang w:eastAsia="es-MX"/>
              </w:rPr>
            </w:pPr>
            <w:r>
              <w:rPr>
                <w:rFonts w:ascii="Arial" w:hAnsi="Arial" w:cs="Arial"/>
                <w:b/>
                <w:bCs/>
                <w:color w:val="252525"/>
                <w:sz w:val="20"/>
                <w:szCs w:val="20"/>
                <w:lang w:eastAsia="es-MX"/>
              </w:rPr>
              <w:t>63</w:t>
            </w:r>
          </w:p>
        </w:tc>
        <w:tc>
          <w:tcPr>
            <w:tcW w:w="1689" w:type="dxa"/>
            <w:tcBorders>
              <w:top w:val="inset" w:sz="6" w:space="0" w:color="auto"/>
              <w:left w:val="inset" w:sz="6" w:space="0" w:color="auto"/>
              <w:bottom w:val="inset" w:sz="6" w:space="0" w:color="auto"/>
              <w:right w:val="inset" w:sz="6" w:space="0" w:color="auto"/>
            </w:tcBorders>
            <w:hideMark/>
          </w:tcPr>
          <w:p w14:paraId="6E6B8A50" w14:textId="77777777" w:rsidR="00AB58B8" w:rsidRDefault="00AB58B8">
            <w:pPr>
              <w:autoSpaceDE w:val="0"/>
              <w:autoSpaceDN w:val="0"/>
              <w:adjustRightInd w:val="0"/>
              <w:jc w:val="center"/>
              <w:rPr>
                <w:rFonts w:ascii="Arial" w:hAnsi="Arial" w:cs="Arial"/>
                <w:b/>
                <w:bCs/>
                <w:color w:val="252525"/>
                <w:sz w:val="20"/>
                <w:szCs w:val="20"/>
                <w:lang w:eastAsia="es-MX"/>
              </w:rPr>
            </w:pPr>
            <w:r>
              <w:rPr>
                <w:rFonts w:ascii="Arial" w:hAnsi="Arial" w:cs="Arial"/>
                <w:b/>
                <w:bCs/>
                <w:color w:val="252525"/>
                <w:sz w:val="20"/>
                <w:szCs w:val="20"/>
                <w:lang w:eastAsia="es-MX"/>
              </w:rPr>
              <w:t>60</w:t>
            </w:r>
          </w:p>
        </w:tc>
        <w:tc>
          <w:tcPr>
            <w:tcW w:w="1310" w:type="dxa"/>
            <w:tcBorders>
              <w:top w:val="inset" w:sz="6" w:space="0" w:color="auto"/>
              <w:left w:val="inset" w:sz="6" w:space="0" w:color="auto"/>
              <w:bottom w:val="inset" w:sz="6" w:space="0" w:color="auto"/>
              <w:right w:val="inset" w:sz="6" w:space="0" w:color="auto"/>
            </w:tcBorders>
            <w:hideMark/>
          </w:tcPr>
          <w:p w14:paraId="6E6B8A51" w14:textId="77777777" w:rsidR="00AB58B8" w:rsidRDefault="00AB58B8">
            <w:pPr>
              <w:autoSpaceDE w:val="0"/>
              <w:autoSpaceDN w:val="0"/>
              <w:adjustRightInd w:val="0"/>
              <w:jc w:val="center"/>
              <w:rPr>
                <w:rFonts w:ascii="Arial" w:hAnsi="Arial" w:cs="Arial"/>
                <w:b/>
                <w:bCs/>
                <w:color w:val="252525"/>
                <w:sz w:val="20"/>
                <w:szCs w:val="20"/>
                <w:lang w:eastAsia="es-MX"/>
              </w:rPr>
            </w:pPr>
            <w:r>
              <w:rPr>
                <w:rFonts w:ascii="Arial" w:hAnsi="Arial" w:cs="Arial"/>
                <w:b/>
                <w:bCs/>
                <w:color w:val="252525"/>
                <w:sz w:val="20"/>
                <w:szCs w:val="20"/>
                <w:lang w:eastAsia="es-MX"/>
              </w:rPr>
              <w:t>7</w:t>
            </w:r>
          </w:p>
        </w:tc>
        <w:tc>
          <w:tcPr>
            <w:tcW w:w="1846" w:type="dxa"/>
            <w:tcBorders>
              <w:top w:val="inset" w:sz="6" w:space="0" w:color="auto"/>
              <w:left w:val="inset" w:sz="6" w:space="0" w:color="auto"/>
              <w:bottom w:val="inset" w:sz="6" w:space="0" w:color="auto"/>
              <w:right w:val="inset" w:sz="6" w:space="0" w:color="auto"/>
            </w:tcBorders>
            <w:hideMark/>
          </w:tcPr>
          <w:p w14:paraId="6E6B8A52" w14:textId="77777777" w:rsidR="00AB58B8" w:rsidRDefault="00AB58B8">
            <w:pPr>
              <w:autoSpaceDE w:val="0"/>
              <w:autoSpaceDN w:val="0"/>
              <w:adjustRightInd w:val="0"/>
              <w:jc w:val="center"/>
              <w:rPr>
                <w:rFonts w:ascii="Arial" w:hAnsi="Arial" w:cs="Arial"/>
                <w:b/>
                <w:bCs/>
                <w:color w:val="252525"/>
                <w:sz w:val="20"/>
                <w:szCs w:val="20"/>
                <w:lang w:eastAsia="es-MX"/>
              </w:rPr>
            </w:pPr>
            <w:r>
              <w:rPr>
                <w:rFonts w:ascii="Arial" w:hAnsi="Arial" w:cs="Arial"/>
                <w:b/>
                <w:bCs/>
                <w:color w:val="252525"/>
                <w:sz w:val="20"/>
                <w:szCs w:val="20"/>
                <w:lang w:eastAsia="es-MX"/>
              </w:rPr>
              <w:t>130</w:t>
            </w:r>
          </w:p>
        </w:tc>
      </w:tr>
    </w:tbl>
    <w:p w14:paraId="6E6B8A54" w14:textId="77777777" w:rsidR="00AB58B8" w:rsidRDefault="00AB58B8" w:rsidP="00AB58B8">
      <w:pPr>
        <w:jc w:val="both"/>
        <w:rPr>
          <w:sz w:val="22"/>
          <w:szCs w:val="22"/>
        </w:rPr>
      </w:pPr>
    </w:p>
    <w:p w14:paraId="6E6B8A55" w14:textId="77777777" w:rsidR="00AB58B8" w:rsidRDefault="00AB58B8" w:rsidP="00AB58B8">
      <w:pPr>
        <w:jc w:val="both"/>
        <w:rPr>
          <w:sz w:val="22"/>
          <w:szCs w:val="22"/>
        </w:rPr>
      </w:pPr>
      <w:r>
        <w:rPr>
          <w:sz w:val="22"/>
          <w:szCs w:val="22"/>
        </w:rPr>
        <w:t>Los diputados y diputadas uninominales y de circunscripciones especiales se eligen por mayoría simple en los respectivos distritos. Las Diputadas y los Diputados plurinominales se eligen en circunscripciones departamentales, de las listas encabezadas por las candidatas o los candidatos a Presidenta o Presidente y Vicepresidenta o Vicepresidente del Estado, mediante el sistema proporcional establecido en la Ley</w:t>
      </w:r>
      <w:r>
        <w:rPr>
          <w:rStyle w:val="FootnoteReference"/>
          <w:sz w:val="22"/>
          <w:szCs w:val="22"/>
        </w:rPr>
        <w:footnoteReference w:id="2"/>
      </w:r>
      <w:r>
        <w:rPr>
          <w:sz w:val="22"/>
          <w:szCs w:val="22"/>
        </w:rPr>
        <w:t>.</w:t>
      </w:r>
    </w:p>
    <w:p w14:paraId="6E6B8A56" w14:textId="77777777" w:rsidR="00AB58B8" w:rsidRDefault="00AB58B8" w:rsidP="00AB58B8">
      <w:pPr>
        <w:jc w:val="both"/>
        <w:rPr>
          <w:i/>
          <w:iCs/>
          <w:sz w:val="22"/>
          <w:szCs w:val="22"/>
          <w:u w:val="single"/>
        </w:rPr>
      </w:pPr>
    </w:p>
    <w:p w14:paraId="6E6B8A57" w14:textId="77777777" w:rsidR="00AB58B8" w:rsidRDefault="00AB58B8" w:rsidP="00AB58B8">
      <w:pPr>
        <w:jc w:val="both"/>
        <w:rPr>
          <w:i/>
          <w:iCs/>
          <w:sz w:val="22"/>
          <w:szCs w:val="22"/>
          <w:u w:val="single"/>
        </w:rPr>
      </w:pPr>
      <w:r>
        <w:rPr>
          <w:i/>
          <w:iCs/>
          <w:sz w:val="22"/>
          <w:szCs w:val="22"/>
          <w:u w:val="single"/>
        </w:rPr>
        <w:t>Representantes ante Organismos Parlamentarios Supraestatales</w:t>
      </w:r>
    </w:p>
    <w:p w14:paraId="6E6B8A58" w14:textId="77777777" w:rsidR="00AB58B8" w:rsidRDefault="00AB58B8" w:rsidP="00AB58B8">
      <w:pPr>
        <w:jc w:val="both"/>
        <w:rPr>
          <w:sz w:val="22"/>
          <w:szCs w:val="22"/>
        </w:rPr>
      </w:pPr>
    </w:p>
    <w:p w14:paraId="6E6B8A59" w14:textId="77777777" w:rsidR="00AB58B8" w:rsidRDefault="00AB58B8" w:rsidP="00AB58B8">
      <w:pPr>
        <w:jc w:val="both"/>
        <w:rPr>
          <w:sz w:val="22"/>
          <w:szCs w:val="22"/>
        </w:rPr>
      </w:pPr>
      <w:r>
        <w:rPr>
          <w:sz w:val="22"/>
          <w:szCs w:val="22"/>
        </w:rPr>
        <w:t>De acuerdo con el artículo 7 de la ley 522</w:t>
      </w:r>
      <w:r>
        <w:rPr>
          <w:rStyle w:val="FootnoteReference"/>
          <w:sz w:val="22"/>
          <w:szCs w:val="22"/>
        </w:rPr>
        <w:footnoteReference w:id="3"/>
      </w:r>
      <w:r>
        <w:rPr>
          <w:sz w:val="22"/>
          <w:szCs w:val="22"/>
        </w:rPr>
        <w:t>, los 9 representantes del Estado Plurinacional de Bolivia ante organismos parlamentarios supraestatales, son elegidos mediante sufragio universal, uno por cada circunscripción departamental, por mayoría simple de votos válidos emitidos, de la lista encabezada por las candidaturas a la Presidencia y Vicepresidencia del Estado Plurinacional de Bolivia.</w:t>
      </w:r>
    </w:p>
    <w:p w14:paraId="6E6B8A5A" w14:textId="77777777" w:rsidR="00AB58B8" w:rsidRDefault="00AB58B8" w:rsidP="00AB58B8">
      <w:pPr>
        <w:jc w:val="both"/>
        <w:rPr>
          <w:sz w:val="22"/>
          <w:szCs w:val="22"/>
        </w:rPr>
      </w:pPr>
    </w:p>
    <w:p w14:paraId="6E6B8A5B" w14:textId="77777777" w:rsidR="00AB58B8" w:rsidRDefault="00AB58B8" w:rsidP="00AB58B8">
      <w:pPr>
        <w:pStyle w:val="ListParagraph"/>
        <w:numPr>
          <w:ilvl w:val="0"/>
          <w:numId w:val="4"/>
        </w:numPr>
        <w:rPr>
          <w:b/>
          <w:bCs/>
          <w:sz w:val="22"/>
          <w:szCs w:val="22"/>
        </w:rPr>
      </w:pPr>
      <w:r>
        <w:rPr>
          <w:b/>
          <w:bCs/>
          <w:sz w:val="22"/>
          <w:szCs w:val="22"/>
        </w:rPr>
        <w:t>Autoridades electorales</w:t>
      </w:r>
    </w:p>
    <w:p w14:paraId="6E6B8A5C" w14:textId="77777777" w:rsidR="00AB58B8" w:rsidRDefault="00AB58B8" w:rsidP="00AB58B8">
      <w:pPr>
        <w:jc w:val="both"/>
        <w:rPr>
          <w:b/>
          <w:bCs/>
          <w:sz w:val="22"/>
          <w:szCs w:val="22"/>
        </w:rPr>
      </w:pPr>
    </w:p>
    <w:p w14:paraId="6E6B8A5D" w14:textId="77777777" w:rsidR="00AB58B8" w:rsidRDefault="00AB58B8" w:rsidP="00AB58B8">
      <w:pPr>
        <w:jc w:val="both"/>
        <w:rPr>
          <w:sz w:val="22"/>
          <w:szCs w:val="22"/>
        </w:rPr>
      </w:pPr>
      <w:r>
        <w:rPr>
          <w:sz w:val="22"/>
          <w:szCs w:val="22"/>
        </w:rPr>
        <w:t>El Órgano Electoral Plurinacional es un órgano del poder público del Estado Plurinacional y tiene igual jerarquía constitucional a la de los Órganos Legislativo, Ejecutivo y Judicial. Se relaciona con estos sobre la base de la independencia, separación, coordinación y cooperación</w:t>
      </w:r>
      <w:r>
        <w:rPr>
          <w:rStyle w:val="FootnoteReference"/>
          <w:sz w:val="22"/>
          <w:szCs w:val="22"/>
        </w:rPr>
        <w:footnoteReference w:id="4"/>
      </w:r>
      <w:r>
        <w:rPr>
          <w:sz w:val="22"/>
          <w:szCs w:val="22"/>
        </w:rPr>
        <w:t>.</w:t>
      </w:r>
    </w:p>
    <w:p w14:paraId="6E6B8A5E" w14:textId="77777777" w:rsidR="00AB58B8" w:rsidRDefault="00AB58B8" w:rsidP="00AB58B8">
      <w:pPr>
        <w:jc w:val="both"/>
        <w:rPr>
          <w:sz w:val="22"/>
          <w:szCs w:val="22"/>
        </w:rPr>
      </w:pPr>
    </w:p>
    <w:p w14:paraId="6E6B8A5F" w14:textId="77777777" w:rsidR="00AB58B8" w:rsidRDefault="00AB58B8" w:rsidP="00AB58B8">
      <w:pPr>
        <w:jc w:val="both"/>
        <w:rPr>
          <w:sz w:val="22"/>
          <w:szCs w:val="22"/>
        </w:rPr>
      </w:pPr>
      <w:r>
        <w:rPr>
          <w:sz w:val="22"/>
          <w:szCs w:val="22"/>
        </w:rPr>
        <w:t>De conformidad con lo dispuesto en el artículo 205 de la Constitución Política del Estado y artículo 3 de la Ley del Órgano Electoral, integran el Órgano Electoral:</w:t>
      </w:r>
    </w:p>
    <w:p w14:paraId="6E6B8A60" w14:textId="77777777" w:rsidR="00AB58B8" w:rsidRDefault="00AB58B8" w:rsidP="00AB58B8">
      <w:pPr>
        <w:jc w:val="both"/>
        <w:rPr>
          <w:sz w:val="22"/>
          <w:szCs w:val="22"/>
        </w:rPr>
      </w:pPr>
    </w:p>
    <w:p w14:paraId="6E6B8A61" w14:textId="77777777" w:rsidR="00AB58B8" w:rsidRDefault="00AB58B8" w:rsidP="00AB58B8">
      <w:pPr>
        <w:pStyle w:val="ListParagraph"/>
        <w:numPr>
          <w:ilvl w:val="0"/>
          <w:numId w:val="6"/>
        </w:numPr>
        <w:jc w:val="both"/>
        <w:rPr>
          <w:sz w:val="22"/>
          <w:szCs w:val="22"/>
        </w:rPr>
      </w:pPr>
      <w:r>
        <w:rPr>
          <w:sz w:val="22"/>
          <w:szCs w:val="22"/>
        </w:rPr>
        <w:t>El Tribunal Supremo Electoral (TSE)</w:t>
      </w:r>
    </w:p>
    <w:p w14:paraId="6E6B8A62" w14:textId="77777777" w:rsidR="00AB58B8" w:rsidRDefault="00AB58B8" w:rsidP="00AB58B8">
      <w:pPr>
        <w:pStyle w:val="ListParagraph"/>
        <w:numPr>
          <w:ilvl w:val="0"/>
          <w:numId w:val="6"/>
        </w:numPr>
        <w:jc w:val="both"/>
        <w:rPr>
          <w:sz w:val="22"/>
          <w:szCs w:val="22"/>
        </w:rPr>
      </w:pPr>
      <w:r>
        <w:rPr>
          <w:sz w:val="22"/>
          <w:szCs w:val="22"/>
        </w:rPr>
        <w:t>Tribunales Electorales Departamentales (TED)</w:t>
      </w:r>
    </w:p>
    <w:p w14:paraId="6E6B8A63" w14:textId="77777777" w:rsidR="00AB58B8" w:rsidRDefault="00AB58B8" w:rsidP="00AB58B8">
      <w:pPr>
        <w:pStyle w:val="ListParagraph"/>
        <w:numPr>
          <w:ilvl w:val="0"/>
          <w:numId w:val="6"/>
        </w:numPr>
        <w:jc w:val="both"/>
        <w:rPr>
          <w:sz w:val="22"/>
          <w:szCs w:val="22"/>
        </w:rPr>
      </w:pPr>
      <w:r>
        <w:rPr>
          <w:sz w:val="22"/>
          <w:szCs w:val="22"/>
        </w:rPr>
        <w:t>Juzgados Electorales (JE)</w:t>
      </w:r>
    </w:p>
    <w:p w14:paraId="6E6B8A64" w14:textId="77777777" w:rsidR="00AB58B8" w:rsidRDefault="00AB58B8" w:rsidP="00AB58B8">
      <w:pPr>
        <w:pStyle w:val="ListParagraph"/>
        <w:numPr>
          <w:ilvl w:val="0"/>
          <w:numId w:val="6"/>
        </w:numPr>
        <w:jc w:val="both"/>
        <w:rPr>
          <w:sz w:val="22"/>
          <w:szCs w:val="22"/>
        </w:rPr>
      </w:pPr>
      <w:r>
        <w:rPr>
          <w:sz w:val="22"/>
          <w:szCs w:val="22"/>
        </w:rPr>
        <w:t>Notarios Electorales (NE).</w:t>
      </w:r>
    </w:p>
    <w:p w14:paraId="6E6B8A65" w14:textId="77777777" w:rsidR="00AB58B8" w:rsidRDefault="00AB58B8" w:rsidP="00AB58B8">
      <w:pPr>
        <w:pStyle w:val="ListParagraph"/>
        <w:numPr>
          <w:ilvl w:val="0"/>
          <w:numId w:val="6"/>
        </w:numPr>
        <w:jc w:val="both"/>
        <w:rPr>
          <w:sz w:val="22"/>
          <w:szCs w:val="22"/>
        </w:rPr>
      </w:pPr>
      <w:r>
        <w:rPr>
          <w:sz w:val="22"/>
          <w:szCs w:val="22"/>
        </w:rPr>
        <w:t>Jurados de las Mesas de Sufragio (JMS)</w:t>
      </w:r>
    </w:p>
    <w:p w14:paraId="6E6B8A66" w14:textId="77777777" w:rsidR="00AB58B8" w:rsidRDefault="00AB58B8" w:rsidP="00AB58B8">
      <w:pPr>
        <w:jc w:val="both"/>
        <w:rPr>
          <w:b/>
          <w:bCs/>
          <w:i/>
          <w:iCs/>
          <w:sz w:val="22"/>
          <w:szCs w:val="22"/>
        </w:rPr>
      </w:pPr>
    </w:p>
    <w:p w14:paraId="6E6B8A67" w14:textId="77777777" w:rsidR="00AB58B8" w:rsidRDefault="00AB58B8" w:rsidP="00AB58B8">
      <w:pPr>
        <w:jc w:val="both"/>
        <w:rPr>
          <w:b/>
          <w:bCs/>
          <w:i/>
          <w:iCs/>
          <w:sz w:val="22"/>
          <w:szCs w:val="22"/>
        </w:rPr>
      </w:pPr>
    </w:p>
    <w:p w14:paraId="6E6B8A68" w14:textId="77777777" w:rsidR="00AB58B8" w:rsidRDefault="00AB58B8" w:rsidP="00AB58B8">
      <w:pPr>
        <w:jc w:val="both"/>
        <w:rPr>
          <w:b/>
          <w:bCs/>
          <w:i/>
          <w:iCs/>
          <w:sz w:val="22"/>
          <w:szCs w:val="22"/>
        </w:rPr>
      </w:pPr>
      <w:r>
        <w:rPr>
          <w:b/>
          <w:bCs/>
          <w:i/>
          <w:iCs/>
          <w:sz w:val="22"/>
          <w:szCs w:val="22"/>
        </w:rPr>
        <w:t xml:space="preserve">Autoridades permanentes </w:t>
      </w:r>
    </w:p>
    <w:p w14:paraId="6E6B8A69" w14:textId="77777777" w:rsidR="00AB58B8" w:rsidRDefault="00AB58B8" w:rsidP="00AB58B8">
      <w:pPr>
        <w:jc w:val="both"/>
        <w:rPr>
          <w:sz w:val="22"/>
          <w:szCs w:val="22"/>
        </w:rPr>
      </w:pPr>
    </w:p>
    <w:p w14:paraId="6E6B8A6A" w14:textId="77777777" w:rsidR="00AB58B8" w:rsidRDefault="00AB58B8" w:rsidP="00AB58B8">
      <w:pPr>
        <w:jc w:val="both"/>
        <w:rPr>
          <w:i/>
          <w:iCs/>
          <w:sz w:val="22"/>
          <w:szCs w:val="22"/>
          <w:u w:val="single"/>
        </w:rPr>
      </w:pPr>
      <w:r>
        <w:rPr>
          <w:i/>
          <w:iCs/>
          <w:sz w:val="22"/>
          <w:szCs w:val="22"/>
          <w:u w:val="single"/>
        </w:rPr>
        <w:t xml:space="preserve">El Tribunal Supremo Electoral </w:t>
      </w:r>
    </w:p>
    <w:p w14:paraId="6E6B8A6B" w14:textId="77777777" w:rsidR="00AB58B8" w:rsidRDefault="00AB58B8" w:rsidP="00AB58B8">
      <w:pPr>
        <w:jc w:val="both"/>
        <w:rPr>
          <w:sz w:val="22"/>
          <w:szCs w:val="22"/>
        </w:rPr>
      </w:pPr>
    </w:p>
    <w:p w14:paraId="6E6B8A6C" w14:textId="77777777" w:rsidR="00AB58B8" w:rsidRDefault="00AB58B8" w:rsidP="00AB58B8">
      <w:pPr>
        <w:jc w:val="both"/>
        <w:rPr>
          <w:sz w:val="22"/>
          <w:szCs w:val="22"/>
        </w:rPr>
      </w:pPr>
      <w:r>
        <w:rPr>
          <w:sz w:val="22"/>
          <w:szCs w:val="22"/>
        </w:rPr>
        <w:t xml:space="preserve">El Tribunal Supremo Electoral es la máxima autoridad del Órgano Electoral Plurinacional, con jurisdicción y competencia en todo el territorio del Estado.  Es responsable de organizar, dirigir, supervisar, administrar y ejecutar los procesos electorales, revocatorias de mandato y referendos de alcance nacional, departamental, regional y municipal. Sus decisiones son de cumplimiento obligatorio, inapelables e irrevisables, excepto en los asuntos que correspondan al ámbito de la jurisdicción y competencia del Tribunal Constitucional Plurinacional. </w:t>
      </w:r>
      <w:r>
        <w:rPr>
          <w:rStyle w:val="FootnoteReference"/>
          <w:sz w:val="22"/>
          <w:szCs w:val="22"/>
        </w:rPr>
        <w:footnoteReference w:id="5"/>
      </w:r>
    </w:p>
    <w:p w14:paraId="6E6B8A6D" w14:textId="77777777" w:rsidR="00AB58B8" w:rsidRDefault="00AB58B8" w:rsidP="00AB58B8">
      <w:pPr>
        <w:jc w:val="both"/>
        <w:rPr>
          <w:sz w:val="22"/>
          <w:szCs w:val="22"/>
        </w:rPr>
      </w:pPr>
    </w:p>
    <w:p w14:paraId="6E6B8A6E" w14:textId="77777777" w:rsidR="00AB58B8" w:rsidRDefault="00AB58B8" w:rsidP="00AB58B8">
      <w:pPr>
        <w:jc w:val="both"/>
        <w:rPr>
          <w:sz w:val="22"/>
          <w:szCs w:val="22"/>
        </w:rPr>
      </w:pPr>
      <w:r>
        <w:rPr>
          <w:sz w:val="22"/>
          <w:szCs w:val="22"/>
        </w:rPr>
        <w:t xml:space="preserve">El TSE tiene entre otras las siguientes atribuciones: </w:t>
      </w:r>
    </w:p>
    <w:p w14:paraId="6E6B8A6F" w14:textId="77777777" w:rsidR="00AB58B8" w:rsidRDefault="00AB58B8" w:rsidP="00AB58B8">
      <w:pPr>
        <w:jc w:val="both"/>
        <w:rPr>
          <w:sz w:val="22"/>
          <w:szCs w:val="22"/>
        </w:rPr>
      </w:pPr>
    </w:p>
    <w:p w14:paraId="6E6B8A70" w14:textId="77777777" w:rsidR="00AB58B8" w:rsidRDefault="00AB58B8" w:rsidP="00AB58B8">
      <w:pPr>
        <w:jc w:val="both"/>
        <w:rPr>
          <w:sz w:val="22"/>
          <w:szCs w:val="22"/>
        </w:rPr>
      </w:pPr>
      <w:r>
        <w:rPr>
          <w:i/>
          <w:iCs/>
          <w:sz w:val="22"/>
          <w:szCs w:val="22"/>
        </w:rPr>
        <w:lastRenderedPageBreak/>
        <w:t>I. Atribuciones Electorales</w:t>
      </w:r>
      <w:r>
        <w:rPr>
          <w:sz w:val="22"/>
          <w:szCs w:val="22"/>
        </w:rPr>
        <w:t>: 1. Establecer la reglamentación para la delimitación de circunscripciones y fijación de recintos y mesas electorales. 2. Establecer los asientos y la codificación de recintos y mesas electorales.3. Realizar el cómputo nacional y proclamar los resultados oficiales.4. Aprobar el diseño de las franjas presentadas por las organizaciones políticas y el diseño de las papeletas de sufragio, y disponer su impresión.5. Registrar candidaturas, disponer su inhabilitación y otorgar las credenciales a las candidatas y los candidatos que resulten electos.6. Verificar el estricto cumplimiento de los criterios de paridad y de alternancia entre mujeres y varones. 7. Regular y fiscalizar los gastos de propaganda de las organizaciones políticas de alcance nacional.8. Invitar y acreditar misiones nacionales e internacionales de acompañamiento electoral. 9. Regular y fiscalizar la contratación y uso de medios de comunicación masiva en la difusión de propaganda electoral.10. Regular y fiscalizar la elaboración y difusión de encuestas de intención de voto, bocas de urna, conteo rápido y otros estudios de opinión.11. Reglamentar la difusión gratuita de propaganda electoral de las organizaciones políticas en los medios de comunicación del Estado.</w:t>
      </w:r>
    </w:p>
    <w:p w14:paraId="6E6B8A71" w14:textId="77777777" w:rsidR="00AB58B8" w:rsidRDefault="00AB58B8" w:rsidP="00AB58B8">
      <w:pPr>
        <w:jc w:val="both"/>
        <w:rPr>
          <w:sz w:val="22"/>
          <w:szCs w:val="22"/>
        </w:rPr>
      </w:pPr>
    </w:p>
    <w:p w14:paraId="6E6B8A72" w14:textId="77777777" w:rsidR="00AB58B8" w:rsidRDefault="00AB58B8" w:rsidP="00AB58B8">
      <w:pPr>
        <w:jc w:val="both"/>
        <w:rPr>
          <w:sz w:val="22"/>
          <w:szCs w:val="22"/>
        </w:rPr>
      </w:pPr>
      <w:r>
        <w:rPr>
          <w:i/>
          <w:iCs/>
          <w:sz w:val="22"/>
          <w:szCs w:val="22"/>
        </w:rPr>
        <w:t>II. Atribuciones de Registro Civil:</w:t>
      </w:r>
      <w:r>
        <w:rPr>
          <w:sz w:val="22"/>
          <w:szCs w:val="22"/>
        </w:rPr>
        <w:t xml:space="preserve"> 1. Organización y administración del Servicio de Registro Cívico.2. Organizar y administrar el sistema del Padrón Electoral. 3. Organizar y administrar el registro civil.</w:t>
      </w:r>
    </w:p>
    <w:p w14:paraId="6E6B8A73" w14:textId="77777777" w:rsidR="00AB58B8" w:rsidRDefault="00AB58B8" w:rsidP="00AB58B8">
      <w:pPr>
        <w:jc w:val="both"/>
        <w:rPr>
          <w:sz w:val="22"/>
          <w:szCs w:val="22"/>
        </w:rPr>
      </w:pPr>
    </w:p>
    <w:p w14:paraId="6E6B8A74" w14:textId="77777777" w:rsidR="00AB58B8" w:rsidRDefault="00AB58B8" w:rsidP="00AB58B8">
      <w:pPr>
        <w:jc w:val="both"/>
        <w:rPr>
          <w:sz w:val="22"/>
          <w:szCs w:val="22"/>
        </w:rPr>
      </w:pPr>
      <w:r>
        <w:rPr>
          <w:i/>
          <w:iCs/>
          <w:sz w:val="22"/>
          <w:szCs w:val="22"/>
        </w:rPr>
        <w:t>III. Atribuciones Jurisdiccionales:</w:t>
      </w:r>
      <w:r>
        <w:rPr>
          <w:sz w:val="22"/>
          <w:szCs w:val="22"/>
        </w:rPr>
        <w:t xml:space="preserve"> 1. Conocer y decidir, sin recurso ulterior y vía Recurso de Nulidad, las resoluciones de los Tribunales Electorales Departamentales pronunciadas en Recursos de Apelación por causales de nulidad de las actas de escrutinio y cómputo. 2. Conocer y decidir, sin recurso ulterior, las demandas de inhabilitación de candidaturas en procesos electorales de alcance nacional y vía Recurso de Apelación, las resoluciones de los Tribunales Electorales Departamentales sobre demandas de inhabilitación de candidaturas. 3. Conocer y decidir las controversias electorales, de organizaciones políticas y de los registros civil y electoral, como Tribunal de última y definitiva instancia. 4. Conocer y decidir, sin recurso ulterior, las controversias sobre faltas electorales y cumplimiento de derechos políticos. Las decisiones del Tribunal Supremo Electoral son inapelables con excepción de los asuntos que le competan al Tribunal Constitucional Plurinacional. </w:t>
      </w:r>
    </w:p>
    <w:p w14:paraId="6E6B8A75" w14:textId="77777777" w:rsidR="00AB58B8" w:rsidRDefault="00AB58B8" w:rsidP="00AB58B8">
      <w:pPr>
        <w:jc w:val="both"/>
        <w:rPr>
          <w:sz w:val="22"/>
          <w:szCs w:val="22"/>
        </w:rPr>
      </w:pPr>
    </w:p>
    <w:p w14:paraId="6E6B8A76" w14:textId="77777777" w:rsidR="00AB58B8" w:rsidRDefault="00AB58B8" w:rsidP="00AB58B8">
      <w:pPr>
        <w:jc w:val="both"/>
        <w:rPr>
          <w:sz w:val="22"/>
          <w:szCs w:val="22"/>
        </w:rPr>
      </w:pPr>
      <w:r>
        <w:rPr>
          <w:sz w:val="22"/>
          <w:szCs w:val="22"/>
        </w:rPr>
        <w:t>Conforme a la Ley del Órgano Electoral, el TSE se integra por siete vocales, designados por un periodo de seis años, de los cuales uno es elegido por el Presidente y seis por la Asamblea legislativa mediante convocatoria pública</w:t>
      </w:r>
      <w:r>
        <w:rPr>
          <w:rStyle w:val="FootnoteReference"/>
          <w:sz w:val="22"/>
          <w:szCs w:val="22"/>
        </w:rPr>
        <w:footnoteReference w:id="6"/>
      </w:r>
      <w:r>
        <w:rPr>
          <w:sz w:val="22"/>
          <w:szCs w:val="22"/>
        </w:rPr>
        <w:t>. Además, se eligen a seis Vocales suplentes dentro de los postulantes. De acuerdo con la normativa, de los 7 vocales, al menos dos deben ser de origen indígena originario campesino, y al menos tres, mujeres</w:t>
      </w:r>
    </w:p>
    <w:p w14:paraId="6E6B8A77" w14:textId="77777777" w:rsidR="00AB58B8" w:rsidRDefault="00AB58B8" w:rsidP="00AB58B8">
      <w:pPr>
        <w:jc w:val="both"/>
        <w:rPr>
          <w:sz w:val="22"/>
          <w:szCs w:val="22"/>
        </w:rPr>
      </w:pPr>
    </w:p>
    <w:p w14:paraId="6E6B8A78" w14:textId="77777777" w:rsidR="00AB58B8" w:rsidRDefault="00AB58B8" w:rsidP="00AB58B8">
      <w:pPr>
        <w:jc w:val="both"/>
        <w:rPr>
          <w:sz w:val="22"/>
          <w:szCs w:val="22"/>
        </w:rPr>
      </w:pPr>
    </w:p>
    <w:p w14:paraId="6E6B8A79" w14:textId="77777777" w:rsidR="00AB58B8" w:rsidRDefault="00AB58B8" w:rsidP="00AB58B8">
      <w:pPr>
        <w:jc w:val="center"/>
        <w:rPr>
          <w:b/>
          <w:bCs/>
          <w:sz w:val="22"/>
          <w:szCs w:val="22"/>
        </w:rPr>
      </w:pPr>
      <w:r>
        <w:rPr>
          <w:b/>
          <w:bCs/>
          <w:sz w:val="22"/>
          <w:szCs w:val="22"/>
        </w:rPr>
        <w:t>INTEGRACIÓN DEL TRIBUNAL SUPREMO ELECTORAL</w:t>
      </w:r>
      <w:r>
        <w:rPr>
          <w:rStyle w:val="FootnoteReference"/>
          <w:b/>
          <w:bCs/>
          <w:sz w:val="22"/>
          <w:szCs w:val="22"/>
        </w:rPr>
        <w:footnoteReference w:id="7"/>
      </w:r>
    </w:p>
    <w:p w14:paraId="6E6B8A7A" w14:textId="77777777" w:rsidR="00AB58B8" w:rsidRDefault="00AB58B8" w:rsidP="00AB58B8">
      <w:pPr>
        <w:jc w:val="both"/>
        <w:rPr>
          <w:sz w:val="22"/>
          <w:szCs w:val="22"/>
        </w:rPr>
      </w:pPr>
    </w:p>
    <w:tbl>
      <w:tblPr>
        <w:tblStyle w:val="TableGrid"/>
        <w:tblW w:w="7508" w:type="dxa"/>
        <w:jc w:val="center"/>
        <w:tblInd w:w="0" w:type="dxa"/>
        <w:tblLook w:val="04A0" w:firstRow="1" w:lastRow="0" w:firstColumn="1" w:lastColumn="0" w:noHBand="0" w:noVBand="1"/>
      </w:tblPr>
      <w:tblGrid>
        <w:gridCol w:w="3285"/>
        <w:gridCol w:w="1839"/>
        <w:gridCol w:w="2384"/>
      </w:tblGrid>
      <w:tr w:rsidR="00AB58B8" w14:paraId="6E6B8A7E" w14:textId="77777777" w:rsidTr="00AB58B8">
        <w:trPr>
          <w:trHeight w:val="20"/>
          <w:jc w:val="center"/>
        </w:trPr>
        <w:tc>
          <w:tcPr>
            <w:tcW w:w="3285" w:type="dxa"/>
            <w:tcBorders>
              <w:top w:val="single" w:sz="4" w:space="0" w:color="auto"/>
              <w:left w:val="single" w:sz="4" w:space="0" w:color="auto"/>
              <w:bottom w:val="single" w:sz="4" w:space="0" w:color="auto"/>
              <w:right w:val="single" w:sz="4" w:space="0" w:color="auto"/>
            </w:tcBorders>
            <w:hideMark/>
          </w:tcPr>
          <w:p w14:paraId="6E6B8A7B" w14:textId="77777777" w:rsidR="00AB58B8" w:rsidRDefault="00AB58B8">
            <w:pPr>
              <w:pStyle w:val="NormalWeb"/>
              <w:spacing w:before="0" w:beforeAutospacing="0" w:after="0" w:afterAutospacing="0"/>
              <w:jc w:val="center"/>
              <w:rPr>
                <w:rFonts w:ascii="Calibri" w:hAnsi="Calibri" w:cs="Calibri"/>
                <w:b/>
                <w:sz w:val="22"/>
                <w:szCs w:val="22"/>
                <w:bdr w:val="none" w:sz="0" w:space="0" w:color="auto" w:frame="1"/>
                <w:lang w:val="es-ES_tradnl"/>
              </w:rPr>
            </w:pPr>
            <w:r>
              <w:rPr>
                <w:rFonts w:ascii="Calibri" w:hAnsi="Calibri" w:cs="Calibri"/>
                <w:b/>
                <w:bdr w:val="none" w:sz="0" w:space="0" w:color="auto" w:frame="1"/>
                <w:lang w:val="es-ES_tradnl"/>
              </w:rPr>
              <w:t>Nombre</w:t>
            </w:r>
          </w:p>
        </w:tc>
        <w:tc>
          <w:tcPr>
            <w:tcW w:w="1839" w:type="dxa"/>
            <w:tcBorders>
              <w:top w:val="single" w:sz="4" w:space="0" w:color="000000"/>
              <w:left w:val="single" w:sz="4" w:space="0" w:color="auto"/>
              <w:bottom w:val="single" w:sz="4" w:space="0" w:color="auto"/>
              <w:right w:val="single" w:sz="4" w:space="0" w:color="000000"/>
            </w:tcBorders>
            <w:hideMark/>
          </w:tcPr>
          <w:p w14:paraId="6E6B8A7C" w14:textId="77777777" w:rsidR="00AB58B8" w:rsidRDefault="00AB58B8">
            <w:pPr>
              <w:pStyle w:val="NormalWeb"/>
              <w:spacing w:before="0" w:beforeAutospacing="0" w:after="0" w:afterAutospacing="0"/>
              <w:jc w:val="center"/>
              <w:rPr>
                <w:rFonts w:ascii="Calibri" w:hAnsi="Calibri" w:cs="Calibri"/>
                <w:b/>
                <w:bdr w:val="none" w:sz="0" w:space="0" w:color="auto" w:frame="1"/>
                <w:lang w:val="es-ES_tradnl"/>
              </w:rPr>
            </w:pPr>
            <w:r>
              <w:rPr>
                <w:rFonts w:ascii="Calibri" w:hAnsi="Calibri" w:cs="Calibri"/>
                <w:b/>
                <w:bdr w:val="none" w:sz="0" w:space="0" w:color="auto" w:frame="1"/>
                <w:lang w:val="es-ES_tradnl"/>
              </w:rPr>
              <w:t>Cargo</w:t>
            </w:r>
          </w:p>
        </w:tc>
        <w:tc>
          <w:tcPr>
            <w:tcW w:w="2384" w:type="dxa"/>
            <w:tcBorders>
              <w:top w:val="single" w:sz="4" w:space="0" w:color="000000"/>
              <w:left w:val="single" w:sz="4" w:space="0" w:color="000000"/>
              <w:bottom w:val="single" w:sz="4" w:space="0" w:color="auto"/>
              <w:right w:val="single" w:sz="4" w:space="0" w:color="auto"/>
            </w:tcBorders>
          </w:tcPr>
          <w:p w14:paraId="6E6B8A7D" w14:textId="77777777" w:rsidR="00AB58B8" w:rsidRDefault="00AB58B8">
            <w:pPr>
              <w:pStyle w:val="NormalWeb"/>
              <w:spacing w:before="0" w:beforeAutospacing="0" w:after="0" w:afterAutospacing="0"/>
              <w:jc w:val="center"/>
              <w:rPr>
                <w:rFonts w:ascii="Arial" w:hAnsi="Arial" w:cs="Arial"/>
                <w:b/>
                <w:sz w:val="20"/>
                <w:szCs w:val="20"/>
                <w:bdr w:val="none" w:sz="0" w:space="0" w:color="auto" w:frame="1"/>
                <w:lang w:val="es-ES_tradnl"/>
              </w:rPr>
            </w:pPr>
          </w:p>
        </w:tc>
      </w:tr>
      <w:tr w:rsidR="00AB58B8" w14:paraId="6E6B8A85" w14:textId="77777777" w:rsidTr="00AB58B8">
        <w:trPr>
          <w:trHeight w:val="364"/>
          <w:jc w:val="center"/>
        </w:trPr>
        <w:tc>
          <w:tcPr>
            <w:tcW w:w="3285" w:type="dxa"/>
            <w:tcBorders>
              <w:top w:val="single" w:sz="4" w:space="0" w:color="auto"/>
              <w:left w:val="single" w:sz="4" w:space="0" w:color="auto"/>
              <w:bottom w:val="single" w:sz="4" w:space="0" w:color="000000"/>
              <w:right w:val="single" w:sz="4" w:space="0" w:color="auto"/>
            </w:tcBorders>
          </w:tcPr>
          <w:p w14:paraId="6E6B8A7F" w14:textId="77777777" w:rsidR="00AB58B8" w:rsidRDefault="00AB58B8">
            <w:pPr>
              <w:pStyle w:val="NormalWeb"/>
              <w:spacing w:before="0" w:beforeAutospacing="0" w:after="0" w:afterAutospacing="0"/>
              <w:rPr>
                <w:rFonts w:ascii="Calibri" w:hAnsi="Calibri" w:cs="Calibri"/>
                <w:sz w:val="22"/>
                <w:szCs w:val="22"/>
                <w:lang w:val="es-ES_tradnl"/>
              </w:rPr>
            </w:pPr>
            <w:r>
              <w:rPr>
                <w:rFonts w:ascii="Calibri" w:hAnsi="Calibri" w:cs="Calibri"/>
                <w:lang w:val="es-ES_tradnl"/>
              </w:rPr>
              <w:t>María Eugenia Choque Quispe</w:t>
            </w:r>
          </w:p>
          <w:p w14:paraId="6E6B8A80" w14:textId="77777777" w:rsidR="00AB58B8" w:rsidRDefault="00AB58B8">
            <w:pPr>
              <w:pStyle w:val="NormalWeb"/>
              <w:spacing w:before="0" w:beforeAutospacing="0" w:after="0" w:afterAutospacing="0"/>
              <w:rPr>
                <w:rFonts w:ascii="Calibri" w:hAnsi="Calibri" w:cs="Calibri"/>
                <w:bdr w:val="none" w:sz="0" w:space="0" w:color="auto" w:frame="1"/>
                <w:lang w:val="es-ES_tradnl"/>
              </w:rPr>
            </w:pPr>
          </w:p>
        </w:tc>
        <w:tc>
          <w:tcPr>
            <w:tcW w:w="1839" w:type="dxa"/>
            <w:tcBorders>
              <w:top w:val="single" w:sz="4" w:space="0" w:color="auto"/>
              <w:left w:val="single" w:sz="4" w:space="0" w:color="auto"/>
              <w:bottom w:val="single" w:sz="4" w:space="0" w:color="000000"/>
              <w:right w:val="single" w:sz="4" w:space="0" w:color="000000"/>
            </w:tcBorders>
          </w:tcPr>
          <w:p w14:paraId="6E6B8A81" w14:textId="77777777" w:rsidR="00AB58B8" w:rsidRDefault="00AB58B8">
            <w:pPr>
              <w:pStyle w:val="NormalWeb"/>
              <w:spacing w:before="0" w:beforeAutospacing="0" w:after="0" w:afterAutospacing="0"/>
              <w:rPr>
                <w:rFonts w:ascii="Calibri" w:hAnsi="Calibri" w:cs="Calibri"/>
                <w:bCs/>
                <w:lang w:val="es-ES_tradnl"/>
              </w:rPr>
            </w:pPr>
            <w:r>
              <w:rPr>
                <w:rFonts w:ascii="Calibri" w:hAnsi="Calibri" w:cs="Calibri"/>
                <w:bCs/>
                <w:lang w:val="es-ES_tradnl"/>
              </w:rPr>
              <w:t xml:space="preserve"> Presidenta </w:t>
            </w:r>
          </w:p>
          <w:p w14:paraId="6E6B8A82" w14:textId="77777777" w:rsidR="00AB58B8" w:rsidRDefault="00AB58B8">
            <w:pPr>
              <w:pStyle w:val="NormalWeb"/>
              <w:spacing w:before="0" w:beforeAutospacing="0" w:after="0" w:afterAutospacing="0"/>
              <w:rPr>
                <w:rFonts w:ascii="Calibri" w:hAnsi="Calibri" w:cs="Calibri"/>
                <w:color w:val="252525"/>
                <w:lang w:val="es-ES_tradnl"/>
              </w:rPr>
            </w:pPr>
          </w:p>
        </w:tc>
        <w:tc>
          <w:tcPr>
            <w:tcW w:w="2384" w:type="dxa"/>
            <w:tcBorders>
              <w:top w:val="single" w:sz="4" w:space="0" w:color="auto"/>
              <w:left w:val="single" w:sz="4" w:space="0" w:color="000000"/>
              <w:bottom w:val="single" w:sz="4" w:space="0" w:color="000000"/>
              <w:right w:val="single" w:sz="4" w:space="0" w:color="auto"/>
            </w:tcBorders>
          </w:tcPr>
          <w:p w14:paraId="6E6B8A83" w14:textId="77777777" w:rsidR="00AB58B8" w:rsidRDefault="00AB58B8">
            <w:pPr>
              <w:jc w:val="center"/>
            </w:pPr>
            <w:r>
              <w:rPr>
                <w:noProof/>
                <w:lang w:val="en-US"/>
              </w:rPr>
              <w:drawing>
                <wp:inline distT="0" distB="0" distL="0" distR="0" wp14:anchorId="6E6B8D64" wp14:editId="6E6B8D65">
                  <wp:extent cx="835025" cy="1121410"/>
                  <wp:effectExtent l="0" t="0" r="3175" b="2540"/>
                  <wp:docPr id="7" name="Picture 7" descr="https://www.oep.org.bo/wp-content/uploads/2017/01/vocal_choque-225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s://www.oep.org.bo/wp-content/uploads/2017/01/vocal_choque-225x300.jp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835025" cy="1121410"/>
                          </a:xfrm>
                          <a:prstGeom prst="rect">
                            <a:avLst/>
                          </a:prstGeom>
                          <a:noFill/>
                          <a:ln>
                            <a:noFill/>
                          </a:ln>
                        </pic:spPr>
                      </pic:pic>
                    </a:graphicData>
                  </a:graphic>
                </wp:inline>
              </w:drawing>
            </w:r>
          </w:p>
          <w:p w14:paraId="6E6B8A84" w14:textId="77777777" w:rsidR="00AB58B8" w:rsidRDefault="00AB58B8">
            <w:pPr>
              <w:pStyle w:val="NormalWeb"/>
              <w:spacing w:before="0" w:beforeAutospacing="0" w:after="0" w:afterAutospacing="0"/>
              <w:jc w:val="center"/>
              <w:rPr>
                <w:rFonts w:ascii="Arial" w:hAnsi="Arial" w:cs="Arial"/>
                <w:color w:val="252525"/>
                <w:sz w:val="20"/>
                <w:szCs w:val="20"/>
                <w:lang w:val="es-ES_tradnl"/>
              </w:rPr>
            </w:pPr>
          </w:p>
        </w:tc>
      </w:tr>
      <w:tr w:rsidR="00AB58B8" w14:paraId="6E6B8A8C" w14:textId="77777777" w:rsidTr="00AB58B8">
        <w:trPr>
          <w:trHeight w:val="542"/>
          <w:jc w:val="center"/>
        </w:trPr>
        <w:tc>
          <w:tcPr>
            <w:tcW w:w="3285" w:type="dxa"/>
            <w:tcBorders>
              <w:top w:val="single" w:sz="4" w:space="0" w:color="000000"/>
              <w:left w:val="single" w:sz="4" w:space="0" w:color="auto"/>
              <w:bottom w:val="single" w:sz="4" w:space="0" w:color="auto"/>
              <w:right w:val="single" w:sz="4" w:space="0" w:color="auto"/>
            </w:tcBorders>
          </w:tcPr>
          <w:p w14:paraId="6E6B8A86" w14:textId="77777777" w:rsidR="00AB58B8" w:rsidRDefault="00AB58B8">
            <w:pPr>
              <w:pStyle w:val="NormalWeb"/>
              <w:spacing w:before="0" w:beforeAutospacing="0" w:after="0" w:afterAutospacing="0"/>
              <w:rPr>
                <w:rFonts w:ascii="Calibri" w:hAnsi="Calibri" w:cs="Calibri"/>
                <w:sz w:val="22"/>
                <w:szCs w:val="22"/>
                <w:lang w:val="es-ES_tradnl"/>
              </w:rPr>
            </w:pPr>
            <w:r>
              <w:rPr>
                <w:rFonts w:ascii="Calibri" w:hAnsi="Calibri" w:cs="Calibri"/>
                <w:lang w:val="es-ES_tradnl"/>
              </w:rPr>
              <w:lastRenderedPageBreak/>
              <w:t>Antonio José Iván Costas Sitic</w:t>
            </w:r>
          </w:p>
          <w:p w14:paraId="6E6B8A87" w14:textId="77777777" w:rsidR="00AB58B8" w:rsidRDefault="00AB58B8">
            <w:pPr>
              <w:pStyle w:val="NormalWeb"/>
              <w:spacing w:before="0" w:beforeAutospacing="0" w:after="0" w:afterAutospacing="0"/>
              <w:rPr>
                <w:rFonts w:ascii="Calibri" w:hAnsi="Calibri" w:cs="Calibri"/>
                <w:color w:val="FF0000"/>
                <w:sz w:val="18"/>
                <w:szCs w:val="18"/>
                <w:lang w:val="es-ES_tradnl"/>
              </w:rPr>
            </w:pPr>
            <w:r>
              <w:rPr>
                <w:rFonts w:ascii="Calibri" w:hAnsi="Calibri" w:cs="Calibri"/>
                <w:color w:val="FF0000"/>
                <w:sz w:val="18"/>
                <w:szCs w:val="18"/>
                <w:lang w:val="es-ES_tradnl"/>
              </w:rPr>
              <w:t>Renunció el 22 de octubre</w:t>
            </w:r>
          </w:p>
          <w:p w14:paraId="6E6B8A88" w14:textId="77777777" w:rsidR="00AB58B8" w:rsidRDefault="00AB58B8">
            <w:pPr>
              <w:pStyle w:val="NormalWeb"/>
              <w:rPr>
                <w:rFonts w:ascii="Calibri" w:hAnsi="Calibri" w:cs="Calibri"/>
                <w:sz w:val="22"/>
                <w:szCs w:val="22"/>
                <w:lang w:val="es-ES_tradnl"/>
              </w:rPr>
            </w:pPr>
          </w:p>
        </w:tc>
        <w:tc>
          <w:tcPr>
            <w:tcW w:w="1839" w:type="dxa"/>
            <w:tcBorders>
              <w:top w:val="single" w:sz="4" w:space="0" w:color="000000"/>
              <w:left w:val="single" w:sz="4" w:space="0" w:color="auto"/>
              <w:bottom w:val="single" w:sz="4" w:space="0" w:color="auto"/>
              <w:right w:val="single" w:sz="4" w:space="0" w:color="000000"/>
            </w:tcBorders>
            <w:hideMark/>
          </w:tcPr>
          <w:p w14:paraId="6E6B8A89" w14:textId="77777777" w:rsidR="00AB58B8" w:rsidRDefault="00AB58B8">
            <w:pPr>
              <w:pStyle w:val="NormalWeb"/>
              <w:rPr>
                <w:rFonts w:ascii="Calibri" w:hAnsi="Calibri" w:cs="Calibri"/>
                <w:bCs/>
                <w:lang w:val="es-ES_tradnl"/>
              </w:rPr>
            </w:pPr>
            <w:r>
              <w:rPr>
                <w:rFonts w:ascii="Calibri" w:hAnsi="Calibri" w:cs="Calibri"/>
                <w:bCs/>
                <w:lang w:val="es-ES_tradnl"/>
              </w:rPr>
              <w:t>Vicepresidente</w:t>
            </w:r>
          </w:p>
        </w:tc>
        <w:tc>
          <w:tcPr>
            <w:tcW w:w="2384" w:type="dxa"/>
            <w:tcBorders>
              <w:top w:val="single" w:sz="4" w:space="0" w:color="000000"/>
              <w:left w:val="single" w:sz="4" w:space="0" w:color="000000"/>
              <w:bottom w:val="single" w:sz="4" w:space="0" w:color="auto"/>
              <w:right w:val="single" w:sz="4" w:space="0" w:color="auto"/>
            </w:tcBorders>
          </w:tcPr>
          <w:p w14:paraId="6E6B8A8A" w14:textId="77777777" w:rsidR="00AB58B8" w:rsidRDefault="00AB58B8">
            <w:pPr>
              <w:jc w:val="center"/>
            </w:pPr>
            <w:r>
              <w:rPr>
                <w:noProof/>
                <w:lang w:val="en-US"/>
              </w:rPr>
              <w:drawing>
                <wp:inline distT="0" distB="0" distL="0" distR="0" wp14:anchorId="6E6B8D66" wp14:editId="6E6B8D67">
                  <wp:extent cx="858520" cy="1144905"/>
                  <wp:effectExtent l="0" t="0" r="0" b="0"/>
                  <wp:docPr id="6" name="Picture 6" descr="https://www.oep.org.bo/wp-content/uploads/2017/01/vicepresidente-225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s://www.oep.org.bo/wp-content/uploads/2017/01/vicepresidente-225x300.jpg"/>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858520" cy="1144905"/>
                          </a:xfrm>
                          <a:prstGeom prst="rect">
                            <a:avLst/>
                          </a:prstGeom>
                          <a:noFill/>
                          <a:ln>
                            <a:noFill/>
                          </a:ln>
                        </pic:spPr>
                      </pic:pic>
                    </a:graphicData>
                  </a:graphic>
                </wp:inline>
              </w:drawing>
            </w:r>
          </w:p>
          <w:p w14:paraId="6E6B8A8B" w14:textId="77777777" w:rsidR="00AB58B8" w:rsidRDefault="00AB58B8">
            <w:pPr>
              <w:jc w:val="center"/>
            </w:pPr>
          </w:p>
        </w:tc>
      </w:tr>
      <w:tr w:rsidR="00AB58B8" w14:paraId="6E6B8A92" w14:textId="77777777" w:rsidTr="00AB58B8">
        <w:trPr>
          <w:trHeight w:val="399"/>
          <w:jc w:val="center"/>
        </w:trPr>
        <w:tc>
          <w:tcPr>
            <w:tcW w:w="3285" w:type="dxa"/>
            <w:tcBorders>
              <w:top w:val="single" w:sz="4" w:space="0" w:color="auto"/>
              <w:left w:val="single" w:sz="4" w:space="0" w:color="auto"/>
              <w:bottom w:val="single" w:sz="4" w:space="0" w:color="000000"/>
              <w:right w:val="single" w:sz="4" w:space="0" w:color="auto"/>
            </w:tcBorders>
            <w:hideMark/>
          </w:tcPr>
          <w:p w14:paraId="6E6B8A8D" w14:textId="77777777" w:rsidR="00AB58B8" w:rsidRDefault="00AB58B8">
            <w:pPr>
              <w:pStyle w:val="NormalWeb"/>
              <w:rPr>
                <w:rFonts w:ascii="Calibri" w:hAnsi="Calibri" w:cs="Calibri"/>
                <w:lang w:val="es-ES_tradnl"/>
              </w:rPr>
            </w:pPr>
            <w:r>
              <w:rPr>
                <w:rFonts w:ascii="Calibri" w:hAnsi="Calibri" w:cs="Calibri"/>
                <w:lang w:val="es-ES_tradnl"/>
              </w:rPr>
              <w:t>Lucy Cruz Villca</w:t>
            </w:r>
          </w:p>
        </w:tc>
        <w:tc>
          <w:tcPr>
            <w:tcW w:w="1839" w:type="dxa"/>
            <w:tcBorders>
              <w:top w:val="single" w:sz="4" w:space="0" w:color="auto"/>
              <w:left w:val="single" w:sz="4" w:space="0" w:color="auto"/>
              <w:bottom w:val="single" w:sz="4" w:space="0" w:color="000000"/>
              <w:right w:val="single" w:sz="4" w:space="0" w:color="000000"/>
            </w:tcBorders>
          </w:tcPr>
          <w:p w14:paraId="6E6B8A8E" w14:textId="77777777" w:rsidR="00AB58B8" w:rsidRDefault="00AB58B8">
            <w:pPr>
              <w:rPr>
                <w:rFonts w:ascii="Calibri" w:hAnsi="Calibri" w:cs="Calibri"/>
                <w:bCs/>
                <w:lang w:eastAsia="es-MX"/>
              </w:rPr>
            </w:pPr>
            <w:r>
              <w:rPr>
                <w:rFonts w:ascii="Calibri" w:hAnsi="Calibri" w:cs="Calibri"/>
                <w:bCs/>
                <w:lang w:eastAsia="es-MX"/>
              </w:rPr>
              <w:t xml:space="preserve">Vocal </w:t>
            </w:r>
          </w:p>
          <w:p w14:paraId="6E6B8A8F" w14:textId="77777777" w:rsidR="00AB58B8" w:rsidRDefault="00AB58B8">
            <w:pPr>
              <w:rPr>
                <w:rFonts w:ascii="Calibri" w:hAnsi="Calibri" w:cs="Calibri"/>
                <w:sz w:val="22"/>
                <w:szCs w:val="22"/>
              </w:rPr>
            </w:pPr>
          </w:p>
        </w:tc>
        <w:tc>
          <w:tcPr>
            <w:tcW w:w="2384" w:type="dxa"/>
            <w:tcBorders>
              <w:top w:val="single" w:sz="4" w:space="0" w:color="auto"/>
              <w:left w:val="single" w:sz="4" w:space="0" w:color="000000"/>
              <w:bottom w:val="single" w:sz="4" w:space="0" w:color="000000"/>
              <w:right w:val="single" w:sz="4" w:space="0" w:color="auto"/>
            </w:tcBorders>
          </w:tcPr>
          <w:p w14:paraId="6E6B8A90" w14:textId="77777777" w:rsidR="00AB58B8" w:rsidRDefault="00AB58B8">
            <w:pPr>
              <w:jc w:val="center"/>
            </w:pPr>
            <w:r>
              <w:rPr>
                <w:noProof/>
                <w:lang w:val="en-US"/>
              </w:rPr>
              <w:drawing>
                <wp:inline distT="0" distB="0" distL="0" distR="0" wp14:anchorId="6E6B8D68" wp14:editId="6E6B8D69">
                  <wp:extent cx="914400" cy="1216660"/>
                  <wp:effectExtent l="0" t="0" r="0" b="2540"/>
                  <wp:docPr id="5" name="Picture 5" descr="G:\var\folders\fv\3t5_vfxn0xq946gzpd2876kr0000gn\T\com.microsoft.Word\WebArchiveCopyPasteTempFiles\vocal_cru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G:\var\folders\fv\3t5_vfxn0xq946gzpd2876kr0000gn\T\com.microsoft.Word\WebArchiveCopyPasteTempFiles\vocal_cruz.jpg"/>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914400" cy="1216660"/>
                          </a:xfrm>
                          <a:prstGeom prst="rect">
                            <a:avLst/>
                          </a:prstGeom>
                          <a:noFill/>
                          <a:ln>
                            <a:noFill/>
                          </a:ln>
                        </pic:spPr>
                      </pic:pic>
                    </a:graphicData>
                  </a:graphic>
                </wp:inline>
              </w:drawing>
            </w:r>
          </w:p>
          <w:p w14:paraId="6E6B8A91" w14:textId="77777777" w:rsidR="00AB58B8" w:rsidRDefault="00AB58B8">
            <w:pPr>
              <w:jc w:val="center"/>
              <w:rPr>
                <w:rFonts w:ascii="Arial" w:hAnsi="Arial" w:cs="Arial"/>
              </w:rPr>
            </w:pPr>
          </w:p>
        </w:tc>
      </w:tr>
      <w:tr w:rsidR="00AB58B8" w14:paraId="6E6B8A98" w14:textId="77777777" w:rsidTr="00AB58B8">
        <w:trPr>
          <w:trHeight w:val="414"/>
          <w:jc w:val="center"/>
        </w:trPr>
        <w:tc>
          <w:tcPr>
            <w:tcW w:w="3285" w:type="dxa"/>
            <w:tcBorders>
              <w:top w:val="single" w:sz="4" w:space="0" w:color="000000"/>
              <w:left w:val="single" w:sz="4" w:space="0" w:color="auto"/>
              <w:bottom w:val="single" w:sz="4" w:space="0" w:color="000000"/>
              <w:right w:val="single" w:sz="4" w:space="0" w:color="auto"/>
            </w:tcBorders>
            <w:hideMark/>
          </w:tcPr>
          <w:p w14:paraId="6E6B8A93" w14:textId="77777777" w:rsidR="00AB58B8" w:rsidRDefault="00AB58B8">
            <w:pPr>
              <w:pStyle w:val="NormalWeb"/>
              <w:rPr>
                <w:rFonts w:ascii="Calibri" w:hAnsi="Calibri" w:cs="Calibri"/>
                <w:lang w:val="es-ES_tradnl"/>
              </w:rPr>
            </w:pPr>
            <w:r>
              <w:rPr>
                <w:rFonts w:ascii="Calibri" w:hAnsi="Calibri" w:cs="Calibri"/>
                <w:lang w:val="es-ES_tradnl"/>
              </w:rPr>
              <w:t xml:space="preserve"> Lidia Iriarte Torrez</w:t>
            </w:r>
          </w:p>
        </w:tc>
        <w:tc>
          <w:tcPr>
            <w:tcW w:w="1839" w:type="dxa"/>
            <w:tcBorders>
              <w:top w:val="single" w:sz="4" w:space="0" w:color="000000"/>
              <w:left w:val="single" w:sz="4" w:space="0" w:color="auto"/>
              <w:bottom w:val="single" w:sz="4" w:space="0" w:color="000000"/>
              <w:right w:val="single" w:sz="4" w:space="0" w:color="000000"/>
            </w:tcBorders>
          </w:tcPr>
          <w:p w14:paraId="6E6B8A94" w14:textId="77777777" w:rsidR="00AB58B8" w:rsidRDefault="00AB58B8">
            <w:pPr>
              <w:rPr>
                <w:rFonts w:ascii="Calibri" w:hAnsi="Calibri" w:cs="Calibri"/>
                <w:bCs/>
                <w:lang w:eastAsia="es-MX"/>
              </w:rPr>
            </w:pPr>
            <w:r>
              <w:rPr>
                <w:rFonts w:ascii="Calibri" w:hAnsi="Calibri" w:cs="Calibri"/>
                <w:bCs/>
                <w:lang w:eastAsia="es-MX"/>
              </w:rPr>
              <w:t>Vocal</w:t>
            </w:r>
          </w:p>
          <w:p w14:paraId="6E6B8A95" w14:textId="77777777" w:rsidR="00AB58B8" w:rsidRDefault="00AB58B8">
            <w:pPr>
              <w:rPr>
                <w:rFonts w:ascii="Calibri" w:hAnsi="Calibri" w:cs="Calibri"/>
                <w:bCs/>
                <w:sz w:val="22"/>
                <w:szCs w:val="22"/>
                <w:lang w:eastAsia="es-MX"/>
              </w:rPr>
            </w:pPr>
          </w:p>
        </w:tc>
        <w:tc>
          <w:tcPr>
            <w:tcW w:w="2384" w:type="dxa"/>
            <w:tcBorders>
              <w:top w:val="single" w:sz="4" w:space="0" w:color="000000"/>
              <w:left w:val="single" w:sz="4" w:space="0" w:color="000000"/>
              <w:bottom w:val="single" w:sz="4" w:space="0" w:color="000000"/>
              <w:right w:val="single" w:sz="4" w:space="0" w:color="auto"/>
            </w:tcBorders>
          </w:tcPr>
          <w:p w14:paraId="6E6B8A96" w14:textId="77777777" w:rsidR="00AB58B8" w:rsidRDefault="00AB58B8">
            <w:pPr>
              <w:jc w:val="center"/>
            </w:pPr>
            <w:r>
              <w:rPr>
                <w:noProof/>
                <w:lang w:val="en-US"/>
              </w:rPr>
              <w:drawing>
                <wp:inline distT="0" distB="0" distL="0" distR="0" wp14:anchorId="6E6B8D6A" wp14:editId="6E6B8D6B">
                  <wp:extent cx="882650" cy="1184910"/>
                  <wp:effectExtent l="0" t="0" r="0" b="0"/>
                  <wp:docPr id="4" name="Picture 4" descr="G:\var\folders\fv\3t5_vfxn0xq946gzpd2876kr0000gn\T\com.microsoft.Word\WebArchiveCopyPasteTempFiles\vocal_iria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G:\var\folders\fv\3t5_vfxn0xq946gzpd2876kr0000gn\T\com.microsoft.Word\WebArchiveCopyPasteTempFiles\vocal_iriarte.jpg"/>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882650" cy="1184910"/>
                          </a:xfrm>
                          <a:prstGeom prst="rect">
                            <a:avLst/>
                          </a:prstGeom>
                          <a:noFill/>
                          <a:ln>
                            <a:noFill/>
                          </a:ln>
                        </pic:spPr>
                      </pic:pic>
                    </a:graphicData>
                  </a:graphic>
                </wp:inline>
              </w:drawing>
            </w:r>
          </w:p>
          <w:p w14:paraId="6E6B8A97" w14:textId="77777777" w:rsidR="00AB58B8" w:rsidRDefault="00AB58B8">
            <w:pPr>
              <w:jc w:val="center"/>
              <w:rPr>
                <w:rFonts w:ascii="Arial" w:hAnsi="Arial" w:cs="Arial"/>
                <w:bCs/>
                <w:lang w:eastAsia="es-MX"/>
              </w:rPr>
            </w:pPr>
          </w:p>
        </w:tc>
      </w:tr>
      <w:tr w:rsidR="00AB58B8" w14:paraId="6E6B8A9E" w14:textId="77777777" w:rsidTr="00AB58B8">
        <w:trPr>
          <w:trHeight w:val="385"/>
          <w:jc w:val="center"/>
        </w:trPr>
        <w:tc>
          <w:tcPr>
            <w:tcW w:w="3285" w:type="dxa"/>
            <w:tcBorders>
              <w:top w:val="single" w:sz="4" w:space="0" w:color="000000"/>
              <w:left w:val="single" w:sz="4" w:space="0" w:color="auto"/>
              <w:bottom w:val="single" w:sz="4" w:space="0" w:color="000000"/>
              <w:right w:val="single" w:sz="4" w:space="0" w:color="auto"/>
            </w:tcBorders>
            <w:hideMark/>
          </w:tcPr>
          <w:p w14:paraId="6E6B8A99" w14:textId="77777777" w:rsidR="00AB58B8" w:rsidRDefault="00AB58B8">
            <w:pPr>
              <w:pStyle w:val="NormalWeb"/>
              <w:rPr>
                <w:rFonts w:ascii="Calibri" w:hAnsi="Calibri" w:cs="Calibri"/>
                <w:lang w:val="es-ES_tradnl"/>
              </w:rPr>
            </w:pPr>
            <w:r>
              <w:rPr>
                <w:rFonts w:ascii="Calibri" w:hAnsi="Calibri" w:cs="Calibri"/>
                <w:lang w:val="es-ES_tradnl"/>
              </w:rPr>
              <w:t>Idelfonso Mamani Romero</w:t>
            </w:r>
          </w:p>
        </w:tc>
        <w:tc>
          <w:tcPr>
            <w:tcW w:w="1839" w:type="dxa"/>
            <w:tcBorders>
              <w:top w:val="single" w:sz="4" w:space="0" w:color="000000"/>
              <w:left w:val="single" w:sz="4" w:space="0" w:color="auto"/>
              <w:bottom w:val="single" w:sz="4" w:space="0" w:color="000000"/>
              <w:right w:val="single" w:sz="4" w:space="0" w:color="000000"/>
            </w:tcBorders>
          </w:tcPr>
          <w:p w14:paraId="6E6B8A9A" w14:textId="77777777" w:rsidR="00AB58B8" w:rsidRDefault="00AB58B8">
            <w:pPr>
              <w:rPr>
                <w:rFonts w:ascii="Calibri" w:hAnsi="Calibri" w:cs="Calibri"/>
                <w:bCs/>
                <w:sz w:val="22"/>
                <w:szCs w:val="22"/>
                <w:lang w:eastAsia="es-MX"/>
              </w:rPr>
            </w:pPr>
          </w:p>
          <w:p w14:paraId="6E6B8A9B" w14:textId="77777777" w:rsidR="00AB58B8" w:rsidRDefault="00AB58B8">
            <w:pPr>
              <w:rPr>
                <w:rFonts w:ascii="Calibri" w:hAnsi="Calibri" w:cs="Calibri"/>
                <w:bCs/>
                <w:lang w:eastAsia="es-MX"/>
              </w:rPr>
            </w:pPr>
            <w:r>
              <w:rPr>
                <w:rFonts w:ascii="Calibri" w:hAnsi="Calibri" w:cs="Calibri"/>
                <w:bCs/>
                <w:lang w:eastAsia="es-MX"/>
              </w:rPr>
              <w:t>Vocal</w:t>
            </w:r>
          </w:p>
        </w:tc>
        <w:tc>
          <w:tcPr>
            <w:tcW w:w="2384" w:type="dxa"/>
            <w:tcBorders>
              <w:top w:val="single" w:sz="4" w:space="0" w:color="000000"/>
              <w:left w:val="single" w:sz="4" w:space="0" w:color="000000"/>
              <w:bottom w:val="single" w:sz="4" w:space="0" w:color="000000"/>
              <w:right w:val="single" w:sz="4" w:space="0" w:color="auto"/>
            </w:tcBorders>
          </w:tcPr>
          <w:p w14:paraId="6E6B8A9C" w14:textId="77777777" w:rsidR="00AB58B8" w:rsidRDefault="00AB58B8">
            <w:pPr>
              <w:jc w:val="center"/>
            </w:pPr>
            <w:r>
              <w:rPr>
                <w:noProof/>
                <w:lang w:val="en-US"/>
              </w:rPr>
              <w:drawing>
                <wp:inline distT="0" distB="0" distL="0" distR="0" wp14:anchorId="6E6B8D6C" wp14:editId="6E6B8D6D">
                  <wp:extent cx="914400" cy="1216660"/>
                  <wp:effectExtent l="0" t="0" r="0" b="2540"/>
                  <wp:docPr id="3" name="Picture 3" descr="G:\var\folders\fv\3t5_vfxn0xq946gzpd2876kr0000gn\T\com.microsoft.Word\WebArchiveCopyPasteTempFiles\vocal_mam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G:\var\folders\fv\3t5_vfxn0xq946gzpd2876kr0000gn\T\com.microsoft.Word\WebArchiveCopyPasteTempFiles\vocal_mamani.jpg"/>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914400" cy="1216660"/>
                          </a:xfrm>
                          <a:prstGeom prst="rect">
                            <a:avLst/>
                          </a:prstGeom>
                          <a:noFill/>
                          <a:ln>
                            <a:noFill/>
                          </a:ln>
                        </pic:spPr>
                      </pic:pic>
                    </a:graphicData>
                  </a:graphic>
                </wp:inline>
              </w:drawing>
            </w:r>
          </w:p>
          <w:p w14:paraId="6E6B8A9D" w14:textId="77777777" w:rsidR="00AB58B8" w:rsidRDefault="00AB58B8">
            <w:pPr>
              <w:jc w:val="center"/>
              <w:rPr>
                <w:rFonts w:ascii="Arial" w:hAnsi="Arial" w:cs="Arial"/>
                <w:bCs/>
                <w:lang w:eastAsia="es-MX"/>
              </w:rPr>
            </w:pPr>
          </w:p>
        </w:tc>
      </w:tr>
      <w:tr w:rsidR="00AB58B8" w14:paraId="6E6B8AA3" w14:textId="77777777" w:rsidTr="00AB58B8">
        <w:trPr>
          <w:trHeight w:val="1651"/>
          <w:jc w:val="center"/>
        </w:trPr>
        <w:tc>
          <w:tcPr>
            <w:tcW w:w="3285" w:type="dxa"/>
            <w:tcBorders>
              <w:top w:val="single" w:sz="4" w:space="0" w:color="000000"/>
              <w:left w:val="single" w:sz="4" w:space="0" w:color="auto"/>
              <w:bottom w:val="single" w:sz="4" w:space="0" w:color="auto"/>
              <w:right w:val="single" w:sz="4" w:space="0" w:color="auto"/>
            </w:tcBorders>
            <w:hideMark/>
          </w:tcPr>
          <w:p w14:paraId="6E6B8A9F" w14:textId="77777777" w:rsidR="00AB58B8" w:rsidRDefault="00AB58B8">
            <w:pPr>
              <w:pStyle w:val="NormalWeb"/>
              <w:rPr>
                <w:rFonts w:ascii="Calibri" w:hAnsi="Calibri" w:cs="Calibri"/>
                <w:lang w:val="es-ES_tradnl"/>
              </w:rPr>
            </w:pPr>
            <w:r>
              <w:rPr>
                <w:rFonts w:ascii="Calibri" w:hAnsi="Calibri" w:cs="Calibri"/>
                <w:lang w:val="es-ES_tradnl"/>
              </w:rPr>
              <w:t>Edgar Gonzales López</w:t>
            </w:r>
          </w:p>
        </w:tc>
        <w:tc>
          <w:tcPr>
            <w:tcW w:w="1839" w:type="dxa"/>
            <w:tcBorders>
              <w:top w:val="single" w:sz="4" w:space="0" w:color="000000"/>
              <w:left w:val="single" w:sz="4" w:space="0" w:color="auto"/>
              <w:bottom w:val="single" w:sz="4" w:space="0" w:color="auto"/>
              <w:right w:val="single" w:sz="4" w:space="0" w:color="000000"/>
            </w:tcBorders>
          </w:tcPr>
          <w:p w14:paraId="6E6B8AA0" w14:textId="77777777" w:rsidR="00AB58B8" w:rsidRDefault="00AB58B8">
            <w:pPr>
              <w:rPr>
                <w:rFonts w:ascii="Calibri" w:hAnsi="Calibri" w:cs="Calibri"/>
                <w:bCs/>
                <w:sz w:val="22"/>
                <w:szCs w:val="22"/>
                <w:lang w:eastAsia="es-MX"/>
              </w:rPr>
            </w:pPr>
          </w:p>
          <w:p w14:paraId="6E6B8AA1" w14:textId="77777777" w:rsidR="00AB58B8" w:rsidRDefault="00AB58B8">
            <w:pPr>
              <w:rPr>
                <w:rFonts w:ascii="Calibri" w:hAnsi="Calibri" w:cs="Calibri"/>
                <w:bCs/>
                <w:lang w:eastAsia="es-MX"/>
              </w:rPr>
            </w:pPr>
            <w:r>
              <w:rPr>
                <w:rFonts w:ascii="Calibri" w:hAnsi="Calibri" w:cs="Calibri"/>
                <w:bCs/>
                <w:lang w:eastAsia="es-MX"/>
              </w:rPr>
              <w:t>Vocal</w:t>
            </w:r>
          </w:p>
        </w:tc>
        <w:tc>
          <w:tcPr>
            <w:tcW w:w="2384" w:type="dxa"/>
            <w:tcBorders>
              <w:top w:val="single" w:sz="4" w:space="0" w:color="000000"/>
              <w:left w:val="single" w:sz="4" w:space="0" w:color="000000"/>
              <w:bottom w:val="single" w:sz="4" w:space="0" w:color="auto"/>
              <w:right w:val="single" w:sz="4" w:space="0" w:color="auto"/>
            </w:tcBorders>
            <w:hideMark/>
          </w:tcPr>
          <w:p w14:paraId="6E6B8AA2" w14:textId="77777777" w:rsidR="00AB58B8" w:rsidRDefault="00AB58B8">
            <w:pPr>
              <w:jc w:val="center"/>
            </w:pPr>
            <w:r>
              <w:rPr>
                <w:noProof/>
                <w:lang w:val="en-US"/>
              </w:rPr>
              <w:drawing>
                <wp:inline distT="0" distB="0" distL="0" distR="0" wp14:anchorId="6E6B8D6E" wp14:editId="6E6B8D6F">
                  <wp:extent cx="922655" cy="1240155"/>
                  <wp:effectExtent l="0" t="0" r="0" b="0"/>
                  <wp:docPr id="2" name="Picture 2" descr="G:\var\folders\fv\3t5_vfxn0xq946gzpd2876kr0000gn\T\com.microsoft.Word\WebArchiveCopyPasteTempFiles\vocal_gonz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G:\var\folders\fv\3t5_vfxn0xq946gzpd2876kr0000gn\T\com.microsoft.Word\WebArchiveCopyPasteTempFiles\vocal_gonzales.jpg"/>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922655" cy="1240155"/>
                          </a:xfrm>
                          <a:prstGeom prst="rect">
                            <a:avLst/>
                          </a:prstGeom>
                          <a:noFill/>
                          <a:ln>
                            <a:noFill/>
                          </a:ln>
                        </pic:spPr>
                      </pic:pic>
                    </a:graphicData>
                  </a:graphic>
                </wp:inline>
              </w:drawing>
            </w:r>
          </w:p>
        </w:tc>
      </w:tr>
    </w:tbl>
    <w:p w14:paraId="6E6B8AA4" w14:textId="77777777" w:rsidR="00AB58B8" w:rsidRDefault="00AB58B8" w:rsidP="00AB58B8">
      <w:pPr>
        <w:jc w:val="both"/>
        <w:rPr>
          <w:sz w:val="22"/>
          <w:szCs w:val="22"/>
        </w:rPr>
      </w:pPr>
    </w:p>
    <w:p w14:paraId="6E6B8AA5" w14:textId="77777777" w:rsidR="00AB58B8" w:rsidRDefault="00AB58B8" w:rsidP="00AB58B8">
      <w:pPr>
        <w:jc w:val="both"/>
        <w:rPr>
          <w:sz w:val="22"/>
          <w:szCs w:val="22"/>
        </w:rPr>
      </w:pPr>
    </w:p>
    <w:p w14:paraId="6E6B8AA6" w14:textId="77777777" w:rsidR="00AB58B8" w:rsidRDefault="00AB58B8" w:rsidP="00AB58B8">
      <w:pPr>
        <w:jc w:val="both"/>
        <w:rPr>
          <w:i/>
          <w:iCs/>
          <w:sz w:val="22"/>
          <w:szCs w:val="22"/>
          <w:u w:val="single"/>
        </w:rPr>
      </w:pPr>
      <w:r>
        <w:rPr>
          <w:i/>
          <w:iCs/>
          <w:sz w:val="22"/>
          <w:szCs w:val="22"/>
          <w:u w:val="single"/>
        </w:rPr>
        <w:t>Tribunales Electorales Departamentales</w:t>
      </w:r>
    </w:p>
    <w:p w14:paraId="6E6B8AA7" w14:textId="77777777" w:rsidR="00AB58B8" w:rsidRDefault="00AB58B8" w:rsidP="00AB58B8">
      <w:pPr>
        <w:jc w:val="both"/>
        <w:rPr>
          <w:sz w:val="22"/>
          <w:szCs w:val="22"/>
        </w:rPr>
      </w:pPr>
    </w:p>
    <w:p w14:paraId="6E6B8AA8" w14:textId="77777777" w:rsidR="00AB58B8" w:rsidRDefault="00AB58B8" w:rsidP="00AB58B8">
      <w:pPr>
        <w:jc w:val="both"/>
        <w:rPr>
          <w:sz w:val="22"/>
          <w:szCs w:val="22"/>
        </w:rPr>
      </w:pPr>
      <w:r>
        <w:rPr>
          <w:sz w:val="22"/>
          <w:szCs w:val="22"/>
        </w:rPr>
        <w:t>Los Tribunales Electorales Departamentales son el máximo nivel y autoridad del Órgano Electoral Plurinacional a nivel departamental, con jurisdicción y atribuciones en sus respectivos departamentos.</w:t>
      </w:r>
    </w:p>
    <w:p w14:paraId="6E6B8AA9" w14:textId="77777777" w:rsidR="00AB58B8" w:rsidRDefault="00AB58B8" w:rsidP="00AB58B8">
      <w:pPr>
        <w:jc w:val="both"/>
        <w:rPr>
          <w:sz w:val="22"/>
          <w:szCs w:val="22"/>
        </w:rPr>
      </w:pPr>
    </w:p>
    <w:p w14:paraId="6E6B8AAA" w14:textId="77777777" w:rsidR="00AB58B8" w:rsidRDefault="00AB58B8" w:rsidP="00AB58B8">
      <w:pPr>
        <w:jc w:val="both"/>
        <w:rPr>
          <w:sz w:val="22"/>
          <w:szCs w:val="22"/>
        </w:rPr>
      </w:pPr>
      <w:r>
        <w:rPr>
          <w:sz w:val="22"/>
          <w:szCs w:val="22"/>
        </w:rPr>
        <w:lastRenderedPageBreak/>
        <w:t>Conforme a la Ley No. 018, los Tribunales Electorales Departamentales se integran por cinco vocales, designados por un periodo de seis años, de los cuales uno es designado por el Presidente y cuatro por la Cámara de Diputados, de las ternas enviadas por cada una de las Asambleas Departamentales. Además, se designan entre los postulantes a cuatro Vocales suplentes.</w:t>
      </w:r>
    </w:p>
    <w:p w14:paraId="6E6B8AAB" w14:textId="77777777" w:rsidR="00AB58B8" w:rsidRDefault="00AB58B8" w:rsidP="00AB58B8">
      <w:pPr>
        <w:jc w:val="both"/>
        <w:rPr>
          <w:sz w:val="22"/>
          <w:szCs w:val="22"/>
        </w:rPr>
      </w:pPr>
    </w:p>
    <w:p w14:paraId="6E6B8AAC" w14:textId="77777777" w:rsidR="00AB58B8" w:rsidRDefault="00AB58B8" w:rsidP="00AB58B8">
      <w:pPr>
        <w:jc w:val="both"/>
        <w:rPr>
          <w:sz w:val="22"/>
          <w:szCs w:val="22"/>
        </w:rPr>
      </w:pPr>
      <w:r>
        <w:rPr>
          <w:sz w:val="22"/>
          <w:szCs w:val="22"/>
        </w:rPr>
        <w:t xml:space="preserve">Los Tribunales Electorales Departamentales tienen las siguientes funciones: </w:t>
      </w:r>
    </w:p>
    <w:p w14:paraId="6E6B8AAD" w14:textId="77777777" w:rsidR="00AB58B8" w:rsidRDefault="00AB58B8" w:rsidP="00AB58B8">
      <w:pPr>
        <w:jc w:val="both"/>
        <w:rPr>
          <w:sz w:val="22"/>
          <w:szCs w:val="22"/>
        </w:rPr>
      </w:pPr>
    </w:p>
    <w:p w14:paraId="6E6B8AAE" w14:textId="77777777" w:rsidR="00AB58B8" w:rsidRDefault="00AB58B8" w:rsidP="00AB58B8">
      <w:pPr>
        <w:jc w:val="both"/>
        <w:rPr>
          <w:sz w:val="22"/>
          <w:szCs w:val="22"/>
        </w:rPr>
      </w:pPr>
      <w:r>
        <w:rPr>
          <w:i/>
          <w:iCs/>
          <w:sz w:val="22"/>
          <w:szCs w:val="22"/>
        </w:rPr>
        <w:t>I. Atribuciones Electorales</w:t>
      </w:r>
      <w:r>
        <w:rPr>
          <w:sz w:val="22"/>
          <w:szCs w:val="22"/>
        </w:rPr>
        <w:t>: 1. Administrar y ejecutar los procesos electorales, referendos y las revocatorias de mandato de alcance nacional, departamental, regional y municipal, 2. Delimitar las circunscripciones electorales en procesos de alcance departamental, regional y municipal. 3. Fijar el número y la ubicación de los recintos y mesas electorales, de su departamento. 4.Establecer los lugares y recintos de votación en su jurisdicción. 5. Efectuar, en sesión pública, los cómputos finales y proclamar los resultados oficiales y remitirlos al Tribunal Supremo Electoral. 6. Entregar el material electoral a los Notarios Electorales.7. Registrar a las candidatas y candidatos, otorgar las credenciales de los que resulten electos, en los procesos electorales de alcance departamental, regional y municipal e inhabilitar a quienes no hayan cumplido con los requisitos establecidos en la presente Ley. 8. Fiscalizar, los gastos de propaganda de las organizaciones políticas de alcance departamental, regional o municipal.</w:t>
      </w:r>
    </w:p>
    <w:p w14:paraId="6E6B8AAF" w14:textId="77777777" w:rsidR="00AB58B8" w:rsidRDefault="00AB58B8" w:rsidP="00AB58B8">
      <w:pPr>
        <w:jc w:val="both"/>
        <w:rPr>
          <w:sz w:val="22"/>
          <w:szCs w:val="22"/>
        </w:rPr>
      </w:pPr>
    </w:p>
    <w:p w14:paraId="6E6B8AB0" w14:textId="77777777" w:rsidR="00AB58B8" w:rsidRDefault="00AB58B8" w:rsidP="00AB58B8">
      <w:pPr>
        <w:jc w:val="both"/>
        <w:rPr>
          <w:sz w:val="22"/>
          <w:szCs w:val="22"/>
        </w:rPr>
      </w:pPr>
      <w:r>
        <w:rPr>
          <w:sz w:val="22"/>
          <w:szCs w:val="22"/>
        </w:rPr>
        <w:t>II. Atribuciones Jurisdiccionales: 1. Conocer y decidir nulidades de actas de escrutinio y cómputo en procesos electorales de alcance nacional, departamental, regional y municipal, a través de los recursos de apelación presentados ante los Jurados Electorales de las Mesas de Sufragio. 2. Conocer y decidir las demandas de inhabilitación de candidaturas en procesos electorales de alcance departamental, regional y municipal. 3. Conocer y decidir, en segunda instancia, las controversias sobre faltas electorales y cumplimiento de derechos políticos, de alcance departamental, regional y municipal, a través de los recursos presentados contra las sentencias de los Jueces Electorales. 4. Conocer y decidir, en segunda instancia, otras controversias de alcance departamental, regional y municipal, a través de los recursos presentados contra las sentencias de los Jueces Electorales. 5. Conocer y decidir, como tribunal de instancia, las controversias de alcance departamental, regional y municipal.</w:t>
      </w:r>
    </w:p>
    <w:p w14:paraId="6E6B8AB1" w14:textId="77777777" w:rsidR="00AB58B8" w:rsidRDefault="00AB58B8" w:rsidP="00AB58B8">
      <w:pPr>
        <w:jc w:val="both"/>
        <w:rPr>
          <w:sz w:val="22"/>
          <w:szCs w:val="22"/>
        </w:rPr>
      </w:pPr>
    </w:p>
    <w:p w14:paraId="6E6B8AB2" w14:textId="77777777" w:rsidR="00AB58B8" w:rsidRDefault="00AB58B8" w:rsidP="00AB58B8">
      <w:pPr>
        <w:jc w:val="both"/>
        <w:rPr>
          <w:b/>
          <w:bCs/>
          <w:sz w:val="22"/>
          <w:szCs w:val="22"/>
        </w:rPr>
      </w:pPr>
      <w:r>
        <w:rPr>
          <w:b/>
          <w:bCs/>
          <w:sz w:val="22"/>
          <w:szCs w:val="22"/>
        </w:rPr>
        <w:t xml:space="preserve">Autoridades Temporales </w:t>
      </w:r>
    </w:p>
    <w:p w14:paraId="6E6B8AB3" w14:textId="77777777" w:rsidR="00AB58B8" w:rsidRDefault="00AB58B8" w:rsidP="00AB58B8">
      <w:pPr>
        <w:jc w:val="both"/>
        <w:rPr>
          <w:sz w:val="22"/>
          <w:szCs w:val="22"/>
        </w:rPr>
      </w:pPr>
    </w:p>
    <w:p w14:paraId="6E6B8AB4" w14:textId="77777777" w:rsidR="00AB58B8" w:rsidRDefault="00AB58B8" w:rsidP="00AB58B8">
      <w:pPr>
        <w:jc w:val="both"/>
        <w:rPr>
          <w:i/>
          <w:iCs/>
          <w:sz w:val="22"/>
          <w:szCs w:val="22"/>
          <w:u w:val="single"/>
        </w:rPr>
      </w:pPr>
      <w:r>
        <w:rPr>
          <w:i/>
          <w:iCs/>
          <w:sz w:val="22"/>
          <w:szCs w:val="22"/>
          <w:u w:val="single"/>
        </w:rPr>
        <w:t xml:space="preserve">Jueces Electorales </w:t>
      </w:r>
    </w:p>
    <w:p w14:paraId="6E6B8AB5" w14:textId="77777777" w:rsidR="00AB58B8" w:rsidRDefault="00AB58B8" w:rsidP="00AB58B8">
      <w:pPr>
        <w:jc w:val="both"/>
        <w:rPr>
          <w:sz w:val="22"/>
          <w:szCs w:val="22"/>
        </w:rPr>
      </w:pPr>
    </w:p>
    <w:p w14:paraId="6E6B8AB6" w14:textId="77777777" w:rsidR="00AB58B8" w:rsidRDefault="00AB58B8" w:rsidP="00AB58B8">
      <w:pPr>
        <w:jc w:val="both"/>
        <w:rPr>
          <w:sz w:val="22"/>
          <w:szCs w:val="22"/>
        </w:rPr>
      </w:pPr>
      <w:r>
        <w:rPr>
          <w:sz w:val="22"/>
          <w:szCs w:val="22"/>
        </w:rPr>
        <w:t>Son autoridades judiciales designadas por el Tribunal Electoral Departamental y cuentan con las siguientes atribuciones: 1. Conocer y resolver, en primera instancia, controversias sobre procesos electorales, referendos y revocatorias de mandato, con excepción de las relativas a inhabilitación de candidaturas y la nulidad de actas de escrutinio y cómputo de votos. 2. Sancionar, en primera instancia, las faltas electorales. 3. Vigilar el funcionamiento y la organización de las notarías, jurados y mesas de sufragio y establecer sanciones por faltas electorales. 4. Disponer las medidas cautelares conforme a ley durante la sustanciación del proceso.</w:t>
      </w:r>
    </w:p>
    <w:p w14:paraId="6E6B8AB7" w14:textId="77777777" w:rsidR="00AB58B8" w:rsidRDefault="00AB58B8" w:rsidP="00AB58B8">
      <w:pPr>
        <w:jc w:val="both"/>
        <w:rPr>
          <w:sz w:val="22"/>
          <w:szCs w:val="22"/>
        </w:rPr>
      </w:pPr>
    </w:p>
    <w:p w14:paraId="6E6B8AB8" w14:textId="77777777" w:rsidR="00AB58B8" w:rsidRDefault="00AB58B8" w:rsidP="00AB58B8">
      <w:pPr>
        <w:jc w:val="both"/>
        <w:rPr>
          <w:i/>
          <w:iCs/>
          <w:sz w:val="22"/>
          <w:szCs w:val="22"/>
        </w:rPr>
      </w:pPr>
      <w:r>
        <w:rPr>
          <w:i/>
          <w:iCs/>
          <w:sz w:val="22"/>
          <w:szCs w:val="22"/>
          <w:u w:val="single"/>
        </w:rPr>
        <w:t>Jurados de las mesas de sufragio</w:t>
      </w:r>
      <w:r>
        <w:rPr>
          <w:i/>
          <w:iCs/>
          <w:sz w:val="22"/>
          <w:szCs w:val="22"/>
        </w:rPr>
        <w:t xml:space="preserve"> </w:t>
      </w:r>
    </w:p>
    <w:p w14:paraId="6E6B8AB9" w14:textId="77777777" w:rsidR="00AB58B8" w:rsidRDefault="00AB58B8" w:rsidP="00AB58B8">
      <w:pPr>
        <w:jc w:val="both"/>
        <w:rPr>
          <w:sz w:val="22"/>
          <w:szCs w:val="22"/>
        </w:rPr>
      </w:pPr>
    </w:p>
    <w:p w14:paraId="6E6B8ABA" w14:textId="77777777" w:rsidR="00AB58B8" w:rsidRDefault="00AB58B8" w:rsidP="00AB58B8">
      <w:pPr>
        <w:jc w:val="both"/>
        <w:rPr>
          <w:sz w:val="22"/>
          <w:szCs w:val="22"/>
        </w:rPr>
      </w:pPr>
      <w:r>
        <w:rPr>
          <w:sz w:val="22"/>
          <w:szCs w:val="22"/>
        </w:rPr>
        <w:t>Son los ciudadanos que se convierten en la máxima autoridad electoral de cada mesa de sufragio</w:t>
      </w:r>
      <w:r>
        <w:rPr>
          <w:rStyle w:val="FootnoteReference"/>
          <w:sz w:val="22"/>
          <w:szCs w:val="22"/>
        </w:rPr>
        <w:footnoteReference w:id="8"/>
      </w:r>
      <w:r>
        <w:rPr>
          <w:sz w:val="22"/>
          <w:szCs w:val="22"/>
        </w:rPr>
        <w:t>. Son seleccionados por los Tribunales Electorales Departamentales mediante sorteo de la lista de personas habilitadas para votar.</w:t>
      </w:r>
    </w:p>
    <w:p w14:paraId="6E6B8ABB" w14:textId="77777777" w:rsidR="00AB58B8" w:rsidRDefault="00AB58B8" w:rsidP="00AB58B8">
      <w:pPr>
        <w:jc w:val="both"/>
        <w:rPr>
          <w:sz w:val="22"/>
          <w:szCs w:val="22"/>
        </w:rPr>
      </w:pPr>
    </w:p>
    <w:p w14:paraId="6E6B8ABC" w14:textId="77777777" w:rsidR="00AB58B8" w:rsidRDefault="00AB58B8" w:rsidP="00AB58B8">
      <w:pPr>
        <w:jc w:val="both"/>
        <w:rPr>
          <w:sz w:val="22"/>
          <w:szCs w:val="22"/>
        </w:rPr>
      </w:pPr>
      <w:r>
        <w:rPr>
          <w:sz w:val="22"/>
          <w:szCs w:val="22"/>
        </w:rPr>
        <w:t xml:space="preserve">Los Jurados tienen las siguientes atribuciones: 1. Determinar, junto con el Notario Electoral, el lugar y la ubicación de la Mesa de Sufragio dentro del recinto electoral, que reúna condiciones de seguridad y garantía para la emisión del voto.  2. Garantizar la celeridad, transparencia y corrección del acto electoral. 3. Disponer el rol de asistencia de Jurados suplentes y la convocatoria a ciudadanas o ciudadanos presentes en la fila en caso de no estar completo el número de Jurados. 4. Garantizar el cumplimiento del procedimiento de votación establecido por ley.  5. Realizar los actos de apertura y cierre de la Mesa de Sufragio, escrutinio y cómputo de los votos, asentando el acta correspondiente. 6. Disponer el orden de votación de electores en función de las preferencias de Ley.  7. Brindar la información que requieran los electores respecto al procedimiento de votación. </w:t>
      </w:r>
    </w:p>
    <w:p w14:paraId="6E6B8ABD" w14:textId="77777777" w:rsidR="00AB58B8" w:rsidRDefault="00AB58B8" w:rsidP="00AB58B8">
      <w:pPr>
        <w:jc w:val="both"/>
        <w:rPr>
          <w:sz w:val="22"/>
          <w:szCs w:val="22"/>
        </w:rPr>
      </w:pPr>
    </w:p>
    <w:p w14:paraId="6E6B8ABE" w14:textId="77777777" w:rsidR="00AB58B8" w:rsidRDefault="00AB58B8" w:rsidP="00AB58B8">
      <w:pPr>
        <w:jc w:val="both"/>
        <w:rPr>
          <w:sz w:val="22"/>
          <w:szCs w:val="22"/>
        </w:rPr>
      </w:pPr>
    </w:p>
    <w:p w14:paraId="6E6B8ABF" w14:textId="77777777" w:rsidR="00AB58B8" w:rsidRDefault="00AB58B8" w:rsidP="00AB58B8">
      <w:pPr>
        <w:jc w:val="both"/>
        <w:rPr>
          <w:sz w:val="22"/>
          <w:szCs w:val="22"/>
        </w:rPr>
      </w:pPr>
      <w:r>
        <w:rPr>
          <w:sz w:val="22"/>
          <w:szCs w:val="22"/>
        </w:rPr>
        <w:t>De acuerdo con calendario electoral, el 20 de septiembre se realizó el sorteo de juradas y jurados de las mesas de sufragio en un acto público y en presencia de las autoridades de los Tribunales Electorales Departamentales (TED). El 22 de septiembre los TED publicaron la nómina de juradas y jurados sorteados en medio de prensa escrito y el TSE, la lista de jurados para el voto en el exterior.</w:t>
      </w:r>
    </w:p>
    <w:p w14:paraId="6E6B8AC0" w14:textId="77777777" w:rsidR="00AB58B8" w:rsidRDefault="00AB58B8" w:rsidP="00AB58B8">
      <w:pPr>
        <w:jc w:val="both"/>
        <w:rPr>
          <w:sz w:val="22"/>
          <w:szCs w:val="22"/>
        </w:rPr>
      </w:pPr>
    </w:p>
    <w:p w14:paraId="6E6B8AC1" w14:textId="77777777" w:rsidR="00AB58B8" w:rsidRDefault="00AB58B8" w:rsidP="00AB58B8">
      <w:pPr>
        <w:jc w:val="center"/>
        <w:rPr>
          <w:b/>
          <w:bCs/>
          <w:sz w:val="22"/>
          <w:szCs w:val="22"/>
        </w:rPr>
      </w:pPr>
      <w:r>
        <w:rPr>
          <w:b/>
          <w:bCs/>
          <w:sz w:val="22"/>
          <w:szCs w:val="22"/>
        </w:rPr>
        <w:t>Jurados Electorales y Mesas de Sufragio por Departamento</w:t>
      </w:r>
    </w:p>
    <w:p w14:paraId="6E6B8AC2" w14:textId="77777777" w:rsidR="00AB58B8" w:rsidRDefault="00AB58B8" w:rsidP="00AB58B8">
      <w:pPr>
        <w:jc w:val="both"/>
        <w:rPr>
          <w:sz w:val="22"/>
          <w:szCs w:val="22"/>
        </w:rPr>
      </w:pPr>
    </w:p>
    <w:tbl>
      <w:tblPr>
        <w:tblStyle w:val="TableGrid"/>
        <w:tblW w:w="8231" w:type="dxa"/>
        <w:jc w:val="cente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827"/>
        <w:gridCol w:w="2928"/>
        <w:gridCol w:w="2476"/>
      </w:tblGrid>
      <w:tr w:rsidR="00AB58B8" w14:paraId="6E6B8AC6" w14:textId="77777777" w:rsidTr="00AB58B8">
        <w:trPr>
          <w:trHeight w:val="113"/>
          <w:tblCellSpacing w:w="20" w:type="dxa"/>
          <w:jc w:val="center"/>
        </w:trPr>
        <w:tc>
          <w:tcPr>
            <w:tcW w:w="2767" w:type="dxa"/>
            <w:tcBorders>
              <w:top w:val="inset" w:sz="6" w:space="0" w:color="auto"/>
              <w:left w:val="inset" w:sz="6" w:space="0" w:color="auto"/>
              <w:bottom w:val="inset" w:sz="6" w:space="0" w:color="auto"/>
              <w:right w:val="inset" w:sz="6" w:space="0" w:color="auto"/>
            </w:tcBorders>
            <w:shd w:val="pct20" w:color="auto" w:fill="auto"/>
            <w:hideMark/>
          </w:tcPr>
          <w:p w14:paraId="6E6B8AC3" w14:textId="77777777" w:rsidR="00AB58B8" w:rsidRDefault="00AB58B8">
            <w:pPr>
              <w:autoSpaceDE w:val="0"/>
              <w:autoSpaceDN w:val="0"/>
              <w:adjustRightInd w:val="0"/>
              <w:jc w:val="center"/>
              <w:rPr>
                <w:rFonts w:cs="Arial"/>
                <w:b/>
                <w:bCs/>
                <w:color w:val="252525"/>
                <w:sz w:val="20"/>
                <w:szCs w:val="20"/>
                <w:lang w:eastAsia="es-MX"/>
              </w:rPr>
            </w:pPr>
            <w:r>
              <w:rPr>
                <w:rFonts w:cs="Arial"/>
                <w:b/>
                <w:bCs/>
                <w:color w:val="252525"/>
                <w:sz w:val="20"/>
                <w:szCs w:val="20"/>
                <w:lang w:eastAsia="es-MX"/>
              </w:rPr>
              <w:t>Departamento</w:t>
            </w:r>
          </w:p>
        </w:tc>
        <w:tc>
          <w:tcPr>
            <w:tcW w:w="2888" w:type="dxa"/>
            <w:tcBorders>
              <w:top w:val="inset" w:sz="6" w:space="0" w:color="auto"/>
              <w:left w:val="inset" w:sz="6" w:space="0" w:color="auto"/>
              <w:bottom w:val="inset" w:sz="6" w:space="0" w:color="auto"/>
              <w:right w:val="inset" w:sz="6" w:space="0" w:color="auto"/>
            </w:tcBorders>
            <w:shd w:val="pct20" w:color="auto" w:fill="auto"/>
            <w:hideMark/>
          </w:tcPr>
          <w:p w14:paraId="6E6B8AC4" w14:textId="77777777" w:rsidR="00AB58B8" w:rsidRDefault="00AB58B8">
            <w:pPr>
              <w:autoSpaceDE w:val="0"/>
              <w:autoSpaceDN w:val="0"/>
              <w:adjustRightInd w:val="0"/>
              <w:jc w:val="center"/>
              <w:rPr>
                <w:rFonts w:cs="Arial"/>
                <w:b/>
                <w:bCs/>
                <w:color w:val="252525"/>
                <w:sz w:val="20"/>
                <w:szCs w:val="20"/>
                <w:lang w:eastAsia="es-MX"/>
              </w:rPr>
            </w:pPr>
            <w:r>
              <w:rPr>
                <w:rFonts w:cs="Arial"/>
                <w:b/>
                <w:bCs/>
                <w:color w:val="252525"/>
                <w:sz w:val="20"/>
                <w:szCs w:val="20"/>
                <w:lang w:eastAsia="es-MX"/>
              </w:rPr>
              <w:t>Número de mesas de sufragio</w:t>
            </w:r>
          </w:p>
        </w:tc>
        <w:tc>
          <w:tcPr>
            <w:tcW w:w="2416" w:type="dxa"/>
            <w:tcBorders>
              <w:top w:val="inset" w:sz="6" w:space="0" w:color="auto"/>
              <w:left w:val="inset" w:sz="6" w:space="0" w:color="auto"/>
              <w:bottom w:val="inset" w:sz="6" w:space="0" w:color="auto"/>
              <w:right w:val="inset" w:sz="6" w:space="0" w:color="auto"/>
            </w:tcBorders>
            <w:shd w:val="pct20" w:color="auto" w:fill="auto"/>
            <w:hideMark/>
          </w:tcPr>
          <w:p w14:paraId="6E6B8AC5" w14:textId="77777777" w:rsidR="00AB58B8" w:rsidRDefault="00AB58B8">
            <w:pPr>
              <w:autoSpaceDE w:val="0"/>
              <w:autoSpaceDN w:val="0"/>
              <w:adjustRightInd w:val="0"/>
              <w:jc w:val="center"/>
              <w:rPr>
                <w:rFonts w:cs="Arial"/>
                <w:b/>
                <w:bCs/>
                <w:color w:val="252525"/>
                <w:sz w:val="20"/>
                <w:szCs w:val="20"/>
                <w:lang w:eastAsia="es-MX"/>
              </w:rPr>
            </w:pPr>
            <w:r>
              <w:rPr>
                <w:rFonts w:cs="Arial"/>
                <w:b/>
                <w:bCs/>
                <w:color w:val="252525"/>
                <w:sz w:val="20"/>
                <w:szCs w:val="20"/>
                <w:lang w:eastAsia="es-MX"/>
              </w:rPr>
              <w:t>Jurados Sorteados</w:t>
            </w:r>
          </w:p>
        </w:tc>
      </w:tr>
      <w:tr w:rsidR="00AB58B8" w14:paraId="6E6B8ACA" w14:textId="77777777" w:rsidTr="00AB58B8">
        <w:trPr>
          <w:trHeight w:val="113"/>
          <w:tblCellSpacing w:w="20" w:type="dxa"/>
          <w:jc w:val="center"/>
        </w:trPr>
        <w:tc>
          <w:tcPr>
            <w:tcW w:w="2767" w:type="dxa"/>
            <w:tcBorders>
              <w:top w:val="inset" w:sz="6" w:space="0" w:color="auto"/>
              <w:left w:val="inset" w:sz="6" w:space="0" w:color="auto"/>
              <w:bottom w:val="inset" w:sz="6" w:space="0" w:color="auto"/>
              <w:right w:val="inset" w:sz="6" w:space="0" w:color="auto"/>
            </w:tcBorders>
            <w:hideMark/>
          </w:tcPr>
          <w:p w14:paraId="6E6B8AC7" w14:textId="77777777" w:rsidR="00AB58B8" w:rsidRDefault="00AB58B8">
            <w:pPr>
              <w:rPr>
                <w:rFonts w:cs="Arial"/>
                <w:sz w:val="20"/>
                <w:szCs w:val="20"/>
              </w:rPr>
            </w:pPr>
            <w:r>
              <w:rPr>
                <w:rFonts w:cs="Arial"/>
                <w:sz w:val="20"/>
                <w:szCs w:val="20"/>
              </w:rPr>
              <w:t>La Paz</w:t>
            </w:r>
          </w:p>
        </w:tc>
        <w:tc>
          <w:tcPr>
            <w:tcW w:w="2888" w:type="dxa"/>
            <w:tcBorders>
              <w:top w:val="inset" w:sz="6" w:space="0" w:color="auto"/>
              <w:left w:val="inset" w:sz="6" w:space="0" w:color="auto"/>
              <w:bottom w:val="inset" w:sz="6" w:space="0" w:color="auto"/>
              <w:right w:val="inset" w:sz="6" w:space="0" w:color="auto"/>
            </w:tcBorders>
            <w:hideMark/>
          </w:tcPr>
          <w:p w14:paraId="6E6B8AC8" w14:textId="77777777" w:rsidR="00AB58B8" w:rsidRDefault="00AB58B8">
            <w:pPr>
              <w:jc w:val="center"/>
              <w:rPr>
                <w:rFonts w:cs="Arial"/>
                <w:sz w:val="20"/>
                <w:szCs w:val="20"/>
              </w:rPr>
            </w:pPr>
            <w:r>
              <w:rPr>
                <w:rFonts w:cs="Arial"/>
                <w:sz w:val="20"/>
                <w:szCs w:val="20"/>
              </w:rPr>
              <w:t>53.928</w:t>
            </w:r>
          </w:p>
        </w:tc>
        <w:tc>
          <w:tcPr>
            <w:tcW w:w="2416" w:type="dxa"/>
            <w:tcBorders>
              <w:top w:val="inset" w:sz="6" w:space="0" w:color="auto"/>
              <w:left w:val="inset" w:sz="6" w:space="0" w:color="auto"/>
              <w:bottom w:val="inset" w:sz="6" w:space="0" w:color="auto"/>
              <w:right w:val="inset" w:sz="6" w:space="0" w:color="auto"/>
            </w:tcBorders>
            <w:hideMark/>
          </w:tcPr>
          <w:p w14:paraId="6E6B8AC9" w14:textId="77777777" w:rsidR="00AB58B8" w:rsidRDefault="00AB58B8">
            <w:pPr>
              <w:jc w:val="center"/>
              <w:rPr>
                <w:rFonts w:cs="Arial"/>
                <w:sz w:val="20"/>
                <w:szCs w:val="20"/>
              </w:rPr>
            </w:pPr>
            <w:r>
              <w:rPr>
                <w:rFonts w:cs="Arial"/>
                <w:sz w:val="20"/>
                <w:szCs w:val="20"/>
              </w:rPr>
              <w:t>8.988</w:t>
            </w:r>
          </w:p>
        </w:tc>
      </w:tr>
      <w:tr w:rsidR="00AB58B8" w14:paraId="6E6B8ACE" w14:textId="77777777" w:rsidTr="00AB58B8">
        <w:trPr>
          <w:trHeight w:val="113"/>
          <w:tblCellSpacing w:w="20" w:type="dxa"/>
          <w:jc w:val="center"/>
        </w:trPr>
        <w:tc>
          <w:tcPr>
            <w:tcW w:w="2767" w:type="dxa"/>
            <w:tcBorders>
              <w:top w:val="inset" w:sz="6" w:space="0" w:color="auto"/>
              <w:left w:val="inset" w:sz="6" w:space="0" w:color="auto"/>
              <w:bottom w:val="inset" w:sz="6" w:space="0" w:color="auto"/>
              <w:right w:val="inset" w:sz="6" w:space="0" w:color="auto"/>
            </w:tcBorders>
            <w:hideMark/>
          </w:tcPr>
          <w:p w14:paraId="6E6B8ACB" w14:textId="77777777" w:rsidR="00AB58B8" w:rsidRDefault="00AB58B8">
            <w:pPr>
              <w:autoSpaceDE w:val="0"/>
              <w:autoSpaceDN w:val="0"/>
              <w:adjustRightInd w:val="0"/>
              <w:jc w:val="both"/>
              <w:rPr>
                <w:rFonts w:cs="Arial"/>
                <w:color w:val="252525"/>
                <w:sz w:val="20"/>
                <w:szCs w:val="20"/>
                <w:lang w:eastAsia="es-MX"/>
              </w:rPr>
            </w:pPr>
            <w:r>
              <w:rPr>
                <w:rFonts w:cs="Arial"/>
                <w:color w:val="252525"/>
                <w:sz w:val="20"/>
                <w:szCs w:val="20"/>
                <w:lang w:eastAsia="es-MX"/>
              </w:rPr>
              <w:t>Santa Cruz</w:t>
            </w:r>
          </w:p>
        </w:tc>
        <w:tc>
          <w:tcPr>
            <w:tcW w:w="2888" w:type="dxa"/>
            <w:tcBorders>
              <w:top w:val="inset" w:sz="6" w:space="0" w:color="auto"/>
              <w:left w:val="inset" w:sz="6" w:space="0" w:color="auto"/>
              <w:bottom w:val="inset" w:sz="6" w:space="0" w:color="auto"/>
              <w:right w:val="inset" w:sz="6" w:space="0" w:color="auto"/>
            </w:tcBorders>
            <w:hideMark/>
          </w:tcPr>
          <w:p w14:paraId="6E6B8ACC" w14:textId="77777777" w:rsidR="00AB58B8" w:rsidRDefault="00AB58B8">
            <w:pPr>
              <w:autoSpaceDE w:val="0"/>
              <w:autoSpaceDN w:val="0"/>
              <w:adjustRightInd w:val="0"/>
              <w:jc w:val="center"/>
              <w:rPr>
                <w:rFonts w:cs="Arial"/>
                <w:color w:val="252525"/>
                <w:sz w:val="20"/>
                <w:szCs w:val="20"/>
                <w:lang w:eastAsia="es-MX"/>
              </w:rPr>
            </w:pPr>
            <w:r>
              <w:rPr>
                <w:rFonts w:cs="Arial"/>
                <w:color w:val="252525"/>
                <w:sz w:val="20"/>
                <w:szCs w:val="20"/>
                <w:lang w:eastAsia="es-MX"/>
              </w:rPr>
              <w:t>51.725</w:t>
            </w:r>
          </w:p>
        </w:tc>
        <w:tc>
          <w:tcPr>
            <w:tcW w:w="2416" w:type="dxa"/>
            <w:tcBorders>
              <w:top w:val="inset" w:sz="6" w:space="0" w:color="auto"/>
              <w:left w:val="inset" w:sz="6" w:space="0" w:color="auto"/>
              <w:bottom w:val="inset" w:sz="6" w:space="0" w:color="auto"/>
              <w:right w:val="inset" w:sz="6" w:space="0" w:color="auto"/>
            </w:tcBorders>
            <w:hideMark/>
          </w:tcPr>
          <w:p w14:paraId="6E6B8ACD" w14:textId="77777777" w:rsidR="00AB58B8" w:rsidRDefault="00AB58B8">
            <w:pPr>
              <w:autoSpaceDE w:val="0"/>
              <w:autoSpaceDN w:val="0"/>
              <w:adjustRightInd w:val="0"/>
              <w:jc w:val="center"/>
              <w:rPr>
                <w:rFonts w:cs="Arial"/>
                <w:color w:val="252525"/>
                <w:sz w:val="20"/>
                <w:szCs w:val="20"/>
                <w:lang w:eastAsia="es-MX"/>
              </w:rPr>
            </w:pPr>
            <w:r>
              <w:rPr>
                <w:rFonts w:cs="Arial"/>
                <w:color w:val="252525"/>
                <w:sz w:val="20"/>
                <w:szCs w:val="20"/>
                <w:lang w:eastAsia="es-MX"/>
              </w:rPr>
              <w:t>8.621</w:t>
            </w:r>
          </w:p>
        </w:tc>
      </w:tr>
      <w:tr w:rsidR="00AB58B8" w14:paraId="6E6B8AD2" w14:textId="77777777" w:rsidTr="00AB58B8">
        <w:trPr>
          <w:trHeight w:val="113"/>
          <w:tblCellSpacing w:w="20" w:type="dxa"/>
          <w:jc w:val="center"/>
        </w:trPr>
        <w:tc>
          <w:tcPr>
            <w:tcW w:w="2767" w:type="dxa"/>
            <w:tcBorders>
              <w:top w:val="inset" w:sz="6" w:space="0" w:color="auto"/>
              <w:left w:val="inset" w:sz="6" w:space="0" w:color="auto"/>
              <w:bottom w:val="inset" w:sz="6" w:space="0" w:color="auto"/>
              <w:right w:val="inset" w:sz="6" w:space="0" w:color="auto"/>
            </w:tcBorders>
            <w:hideMark/>
          </w:tcPr>
          <w:p w14:paraId="6E6B8ACF" w14:textId="77777777" w:rsidR="00AB58B8" w:rsidRDefault="00AB58B8">
            <w:pPr>
              <w:autoSpaceDE w:val="0"/>
              <w:autoSpaceDN w:val="0"/>
              <w:adjustRightInd w:val="0"/>
              <w:jc w:val="both"/>
              <w:rPr>
                <w:rFonts w:cs="Arial"/>
                <w:color w:val="252525"/>
                <w:sz w:val="20"/>
                <w:szCs w:val="20"/>
                <w:lang w:eastAsia="es-MX"/>
              </w:rPr>
            </w:pPr>
            <w:r>
              <w:rPr>
                <w:rFonts w:cs="Arial"/>
                <w:color w:val="252525"/>
                <w:sz w:val="20"/>
                <w:szCs w:val="20"/>
                <w:lang w:eastAsia="es-MX"/>
              </w:rPr>
              <w:t>Cochabamba</w:t>
            </w:r>
          </w:p>
        </w:tc>
        <w:tc>
          <w:tcPr>
            <w:tcW w:w="2888" w:type="dxa"/>
            <w:tcBorders>
              <w:top w:val="inset" w:sz="6" w:space="0" w:color="auto"/>
              <w:left w:val="inset" w:sz="6" w:space="0" w:color="auto"/>
              <w:bottom w:val="inset" w:sz="6" w:space="0" w:color="auto"/>
              <w:right w:val="inset" w:sz="6" w:space="0" w:color="auto"/>
            </w:tcBorders>
            <w:hideMark/>
          </w:tcPr>
          <w:p w14:paraId="6E6B8AD0" w14:textId="77777777" w:rsidR="00AB58B8" w:rsidRDefault="00AB58B8">
            <w:pPr>
              <w:autoSpaceDE w:val="0"/>
              <w:autoSpaceDN w:val="0"/>
              <w:adjustRightInd w:val="0"/>
              <w:jc w:val="center"/>
              <w:rPr>
                <w:rFonts w:cs="Arial"/>
                <w:color w:val="252525"/>
                <w:sz w:val="20"/>
                <w:szCs w:val="20"/>
                <w:lang w:eastAsia="es-MX"/>
              </w:rPr>
            </w:pPr>
            <w:r>
              <w:rPr>
                <w:rFonts w:cs="Arial"/>
                <w:color w:val="252525"/>
                <w:sz w:val="20"/>
                <w:szCs w:val="20"/>
                <w:lang w:eastAsia="es-MX"/>
              </w:rPr>
              <w:t>36.804</w:t>
            </w:r>
          </w:p>
        </w:tc>
        <w:tc>
          <w:tcPr>
            <w:tcW w:w="2416" w:type="dxa"/>
            <w:tcBorders>
              <w:top w:val="inset" w:sz="6" w:space="0" w:color="auto"/>
              <w:left w:val="inset" w:sz="6" w:space="0" w:color="auto"/>
              <w:bottom w:val="inset" w:sz="6" w:space="0" w:color="auto"/>
              <w:right w:val="inset" w:sz="6" w:space="0" w:color="auto"/>
            </w:tcBorders>
            <w:hideMark/>
          </w:tcPr>
          <w:p w14:paraId="6E6B8AD1" w14:textId="77777777" w:rsidR="00AB58B8" w:rsidRDefault="00AB58B8">
            <w:pPr>
              <w:autoSpaceDE w:val="0"/>
              <w:autoSpaceDN w:val="0"/>
              <w:adjustRightInd w:val="0"/>
              <w:jc w:val="center"/>
              <w:rPr>
                <w:rFonts w:cs="Arial"/>
                <w:color w:val="252525"/>
                <w:sz w:val="20"/>
                <w:szCs w:val="20"/>
                <w:lang w:eastAsia="es-MX"/>
              </w:rPr>
            </w:pPr>
            <w:r>
              <w:rPr>
                <w:rFonts w:cs="Arial"/>
                <w:color w:val="252525"/>
                <w:sz w:val="20"/>
                <w:szCs w:val="20"/>
                <w:lang w:eastAsia="es-MX"/>
              </w:rPr>
              <w:t>6.134</w:t>
            </w:r>
          </w:p>
        </w:tc>
      </w:tr>
      <w:tr w:rsidR="00AB58B8" w14:paraId="6E6B8AD6" w14:textId="77777777" w:rsidTr="00AB58B8">
        <w:trPr>
          <w:trHeight w:val="113"/>
          <w:tblCellSpacing w:w="20" w:type="dxa"/>
          <w:jc w:val="center"/>
        </w:trPr>
        <w:tc>
          <w:tcPr>
            <w:tcW w:w="2767" w:type="dxa"/>
            <w:tcBorders>
              <w:top w:val="inset" w:sz="6" w:space="0" w:color="auto"/>
              <w:left w:val="inset" w:sz="6" w:space="0" w:color="auto"/>
              <w:bottom w:val="inset" w:sz="6" w:space="0" w:color="auto"/>
              <w:right w:val="inset" w:sz="6" w:space="0" w:color="auto"/>
            </w:tcBorders>
            <w:hideMark/>
          </w:tcPr>
          <w:p w14:paraId="6E6B8AD3" w14:textId="77777777" w:rsidR="00AB58B8" w:rsidRDefault="00AB58B8">
            <w:pPr>
              <w:autoSpaceDE w:val="0"/>
              <w:autoSpaceDN w:val="0"/>
              <w:adjustRightInd w:val="0"/>
              <w:jc w:val="both"/>
              <w:rPr>
                <w:rFonts w:cs="Arial"/>
                <w:color w:val="252525"/>
                <w:sz w:val="20"/>
                <w:szCs w:val="20"/>
                <w:lang w:eastAsia="es-MX"/>
              </w:rPr>
            </w:pPr>
            <w:r>
              <w:rPr>
                <w:rFonts w:cs="Arial"/>
                <w:color w:val="252525"/>
                <w:sz w:val="20"/>
                <w:szCs w:val="20"/>
                <w:lang w:eastAsia="es-MX"/>
              </w:rPr>
              <w:t>Potosí</w:t>
            </w:r>
          </w:p>
        </w:tc>
        <w:tc>
          <w:tcPr>
            <w:tcW w:w="2888" w:type="dxa"/>
            <w:tcBorders>
              <w:top w:val="inset" w:sz="6" w:space="0" w:color="auto"/>
              <w:left w:val="inset" w:sz="6" w:space="0" w:color="auto"/>
              <w:bottom w:val="inset" w:sz="6" w:space="0" w:color="auto"/>
              <w:right w:val="inset" w:sz="6" w:space="0" w:color="auto"/>
            </w:tcBorders>
            <w:hideMark/>
          </w:tcPr>
          <w:p w14:paraId="6E6B8AD4" w14:textId="77777777" w:rsidR="00AB58B8" w:rsidRDefault="00AB58B8">
            <w:pPr>
              <w:autoSpaceDE w:val="0"/>
              <w:autoSpaceDN w:val="0"/>
              <w:adjustRightInd w:val="0"/>
              <w:jc w:val="center"/>
              <w:rPr>
                <w:rFonts w:cs="Arial"/>
                <w:color w:val="252525"/>
                <w:sz w:val="20"/>
                <w:szCs w:val="20"/>
                <w:lang w:eastAsia="es-MX"/>
              </w:rPr>
            </w:pPr>
            <w:r>
              <w:rPr>
                <w:rFonts w:cs="Arial"/>
                <w:color w:val="252525"/>
                <w:sz w:val="20"/>
                <w:szCs w:val="20"/>
                <w:lang w:eastAsia="es-MX"/>
              </w:rPr>
              <w:t>14.027</w:t>
            </w:r>
          </w:p>
        </w:tc>
        <w:tc>
          <w:tcPr>
            <w:tcW w:w="2416" w:type="dxa"/>
            <w:tcBorders>
              <w:top w:val="inset" w:sz="6" w:space="0" w:color="auto"/>
              <w:left w:val="inset" w:sz="6" w:space="0" w:color="auto"/>
              <w:bottom w:val="inset" w:sz="6" w:space="0" w:color="auto"/>
              <w:right w:val="inset" w:sz="6" w:space="0" w:color="auto"/>
            </w:tcBorders>
            <w:hideMark/>
          </w:tcPr>
          <w:p w14:paraId="6E6B8AD5" w14:textId="77777777" w:rsidR="00AB58B8" w:rsidRDefault="00AB58B8">
            <w:pPr>
              <w:autoSpaceDE w:val="0"/>
              <w:autoSpaceDN w:val="0"/>
              <w:adjustRightInd w:val="0"/>
              <w:jc w:val="center"/>
              <w:rPr>
                <w:rFonts w:cs="Arial"/>
                <w:color w:val="252525"/>
                <w:sz w:val="20"/>
                <w:szCs w:val="20"/>
                <w:lang w:eastAsia="es-MX"/>
              </w:rPr>
            </w:pPr>
            <w:r>
              <w:rPr>
                <w:rFonts w:cs="Arial"/>
                <w:color w:val="252525"/>
                <w:sz w:val="20"/>
                <w:szCs w:val="20"/>
                <w:lang w:eastAsia="es-MX"/>
              </w:rPr>
              <w:t>2.338</w:t>
            </w:r>
          </w:p>
        </w:tc>
      </w:tr>
      <w:tr w:rsidR="00AB58B8" w14:paraId="6E6B8ADA" w14:textId="77777777" w:rsidTr="00AB58B8">
        <w:trPr>
          <w:trHeight w:val="113"/>
          <w:tblCellSpacing w:w="20" w:type="dxa"/>
          <w:jc w:val="center"/>
        </w:trPr>
        <w:tc>
          <w:tcPr>
            <w:tcW w:w="2767" w:type="dxa"/>
            <w:tcBorders>
              <w:top w:val="inset" w:sz="6" w:space="0" w:color="auto"/>
              <w:left w:val="inset" w:sz="6" w:space="0" w:color="auto"/>
              <w:bottom w:val="inset" w:sz="6" w:space="0" w:color="auto"/>
              <w:right w:val="inset" w:sz="6" w:space="0" w:color="auto"/>
            </w:tcBorders>
            <w:hideMark/>
          </w:tcPr>
          <w:p w14:paraId="6E6B8AD7" w14:textId="77777777" w:rsidR="00AB58B8" w:rsidRDefault="00AB58B8">
            <w:pPr>
              <w:autoSpaceDE w:val="0"/>
              <w:autoSpaceDN w:val="0"/>
              <w:adjustRightInd w:val="0"/>
              <w:jc w:val="both"/>
              <w:rPr>
                <w:rFonts w:cs="Arial"/>
                <w:color w:val="252525"/>
                <w:sz w:val="20"/>
                <w:szCs w:val="20"/>
                <w:lang w:eastAsia="es-MX"/>
              </w:rPr>
            </w:pPr>
            <w:r>
              <w:rPr>
                <w:rFonts w:cs="Arial"/>
                <w:color w:val="252525"/>
                <w:sz w:val="20"/>
                <w:szCs w:val="20"/>
                <w:lang w:eastAsia="es-MX"/>
              </w:rPr>
              <w:t>Chuquisaca</w:t>
            </w:r>
          </w:p>
        </w:tc>
        <w:tc>
          <w:tcPr>
            <w:tcW w:w="2888" w:type="dxa"/>
            <w:tcBorders>
              <w:top w:val="inset" w:sz="6" w:space="0" w:color="auto"/>
              <w:left w:val="inset" w:sz="6" w:space="0" w:color="auto"/>
              <w:bottom w:val="inset" w:sz="6" w:space="0" w:color="auto"/>
              <w:right w:val="inset" w:sz="6" w:space="0" w:color="auto"/>
            </w:tcBorders>
            <w:hideMark/>
          </w:tcPr>
          <w:p w14:paraId="6E6B8AD8" w14:textId="77777777" w:rsidR="00AB58B8" w:rsidRDefault="00AB58B8">
            <w:pPr>
              <w:autoSpaceDE w:val="0"/>
              <w:autoSpaceDN w:val="0"/>
              <w:adjustRightInd w:val="0"/>
              <w:jc w:val="center"/>
              <w:rPr>
                <w:rFonts w:cs="Arial"/>
                <w:color w:val="252525"/>
                <w:sz w:val="20"/>
                <w:szCs w:val="20"/>
                <w:lang w:eastAsia="es-MX"/>
              </w:rPr>
            </w:pPr>
            <w:r>
              <w:rPr>
                <w:rFonts w:cs="Arial"/>
                <w:color w:val="252525"/>
                <w:sz w:val="20"/>
                <w:szCs w:val="20"/>
                <w:lang w:eastAsia="es-MX"/>
              </w:rPr>
              <w:t>10.968</w:t>
            </w:r>
          </w:p>
        </w:tc>
        <w:tc>
          <w:tcPr>
            <w:tcW w:w="2416" w:type="dxa"/>
            <w:tcBorders>
              <w:top w:val="inset" w:sz="6" w:space="0" w:color="auto"/>
              <w:left w:val="inset" w:sz="6" w:space="0" w:color="auto"/>
              <w:bottom w:val="inset" w:sz="6" w:space="0" w:color="auto"/>
              <w:right w:val="inset" w:sz="6" w:space="0" w:color="auto"/>
            </w:tcBorders>
            <w:hideMark/>
          </w:tcPr>
          <w:p w14:paraId="6E6B8AD9" w14:textId="77777777" w:rsidR="00AB58B8" w:rsidRDefault="00AB58B8">
            <w:pPr>
              <w:autoSpaceDE w:val="0"/>
              <w:autoSpaceDN w:val="0"/>
              <w:adjustRightInd w:val="0"/>
              <w:jc w:val="center"/>
              <w:rPr>
                <w:rFonts w:cs="Arial"/>
                <w:color w:val="252525"/>
                <w:sz w:val="20"/>
                <w:szCs w:val="20"/>
                <w:lang w:eastAsia="es-MX"/>
              </w:rPr>
            </w:pPr>
            <w:r>
              <w:rPr>
                <w:rFonts w:cs="Arial"/>
                <w:color w:val="252525"/>
                <w:sz w:val="20"/>
                <w:szCs w:val="20"/>
                <w:lang w:eastAsia="es-MX"/>
              </w:rPr>
              <w:t>1.828</w:t>
            </w:r>
          </w:p>
        </w:tc>
      </w:tr>
      <w:tr w:rsidR="00AB58B8" w14:paraId="6E6B8ADE" w14:textId="77777777" w:rsidTr="00AB58B8">
        <w:trPr>
          <w:trHeight w:val="113"/>
          <w:tblCellSpacing w:w="20" w:type="dxa"/>
          <w:jc w:val="center"/>
        </w:trPr>
        <w:tc>
          <w:tcPr>
            <w:tcW w:w="2767" w:type="dxa"/>
            <w:tcBorders>
              <w:top w:val="inset" w:sz="6" w:space="0" w:color="auto"/>
              <w:left w:val="inset" w:sz="6" w:space="0" w:color="auto"/>
              <w:bottom w:val="inset" w:sz="6" w:space="0" w:color="auto"/>
              <w:right w:val="inset" w:sz="6" w:space="0" w:color="auto"/>
            </w:tcBorders>
            <w:hideMark/>
          </w:tcPr>
          <w:p w14:paraId="6E6B8ADB" w14:textId="77777777" w:rsidR="00AB58B8" w:rsidRDefault="00AB58B8">
            <w:pPr>
              <w:autoSpaceDE w:val="0"/>
              <w:autoSpaceDN w:val="0"/>
              <w:adjustRightInd w:val="0"/>
              <w:jc w:val="both"/>
              <w:rPr>
                <w:rFonts w:cs="Arial"/>
                <w:color w:val="252525"/>
                <w:sz w:val="20"/>
                <w:szCs w:val="20"/>
                <w:lang w:eastAsia="es-MX"/>
              </w:rPr>
            </w:pPr>
            <w:r>
              <w:rPr>
                <w:rFonts w:cs="Arial"/>
                <w:color w:val="252525"/>
                <w:sz w:val="20"/>
                <w:szCs w:val="20"/>
                <w:lang w:eastAsia="es-MX"/>
              </w:rPr>
              <w:t>Oruro</w:t>
            </w:r>
          </w:p>
        </w:tc>
        <w:tc>
          <w:tcPr>
            <w:tcW w:w="2888" w:type="dxa"/>
            <w:tcBorders>
              <w:top w:val="inset" w:sz="6" w:space="0" w:color="auto"/>
              <w:left w:val="inset" w:sz="6" w:space="0" w:color="auto"/>
              <w:bottom w:val="inset" w:sz="6" w:space="0" w:color="auto"/>
              <w:right w:val="inset" w:sz="6" w:space="0" w:color="auto"/>
            </w:tcBorders>
            <w:hideMark/>
          </w:tcPr>
          <w:p w14:paraId="6E6B8ADC" w14:textId="77777777" w:rsidR="00AB58B8" w:rsidRDefault="00AB58B8">
            <w:pPr>
              <w:autoSpaceDE w:val="0"/>
              <w:autoSpaceDN w:val="0"/>
              <w:adjustRightInd w:val="0"/>
              <w:jc w:val="center"/>
              <w:rPr>
                <w:rFonts w:cs="Arial"/>
                <w:color w:val="252525"/>
                <w:sz w:val="20"/>
                <w:szCs w:val="20"/>
                <w:lang w:eastAsia="es-MX"/>
              </w:rPr>
            </w:pPr>
            <w:r>
              <w:rPr>
                <w:rFonts w:cs="Arial"/>
                <w:color w:val="252525"/>
                <w:sz w:val="20"/>
                <w:szCs w:val="20"/>
                <w:lang w:eastAsia="es-MX"/>
              </w:rPr>
              <w:t>9.876</w:t>
            </w:r>
          </w:p>
        </w:tc>
        <w:tc>
          <w:tcPr>
            <w:tcW w:w="2416" w:type="dxa"/>
            <w:tcBorders>
              <w:top w:val="inset" w:sz="6" w:space="0" w:color="auto"/>
              <w:left w:val="inset" w:sz="6" w:space="0" w:color="auto"/>
              <w:bottom w:val="inset" w:sz="6" w:space="0" w:color="auto"/>
              <w:right w:val="inset" w:sz="6" w:space="0" w:color="auto"/>
            </w:tcBorders>
            <w:hideMark/>
          </w:tcPr>
          <w:p w14:paraId="6E6B8ADD" w14:textId="77777777" w:rsidR="00AB58B8" w:rsidRDefault="00AB58B8">
            <w:pPr>
              <w:autoSpaceDE w:val="0"/>
              <w:autoSpaceDN w:val="0"/>
              <w:adjustRightInd w:val="0"/>
              <w:jc w:val="center"/>
              <w:rPr>
                <w:rFonts w:cs="Arial"/>
                <w:color w:val="252525"/>
                <w:sz w:val="20"/>
                <w:szCs w:val="20"/>
                <w:lang w:eastAsia="es-MX"/>
              </w:rPr>
            </w:pPr>
            <w:r>
              <w:rPr>
                <w:rFonts w:cs="Arial"/>
                <w:color w:val="252525"/>
                <w:sz w:val="20"/>
                <w:szCs w:val="20"/>
                <w:lang w:eastAsia="es-MX"/>
              </w:rPr>
              <w:t>1.646</w:t>
            </w:r>
          </w:p>
        </w:tc>
      </w:tr>
      <w:tr w:rsidR="00AB58B8" w14:paraId="6E6B8AE2" w14:textId="77777777" w:rsidTr="00AB58B8">
        <w:trPr>
          <w:trHeight w:val="113"/>
          <w:tblCellSpacing w:w="20" w:type="dxa"/>
          <w:jc w:val="center"/>
        </w:trPr>
        <w:tc>
          <w:tcPr>
            <w:tcW w:w="2767" w:type="dxa"/>
            <w:tcBorders>
              <w:top w:val="inset" w:sz="6" w:space="0" w:color="auto"/>
              <w:left w:val="inset" w:sz="6" w:space="0" w:color="auto"/>
              <w:bottom w:val="inset" w:sz="6" w:space="0" w:color="auto"/>
              <w:right w:val="inset" w:sz="6" w:space="0" w:color="auto"/>
            </w:tcBorders>
            <w:hideMark/>
          </w:tcPr>
          <w:p w14:paraId="6E6B8ADF" w14:textId="77777777" w:rsidR="00AB58B8" w:rsidRDefault="00AB58B8">
            <w:pPr>
              <w:autoSpaceDE w:val="0"/>
              <w:autoSpaceDN w:val="0"/>
              <w:adjustRightInd w:val="0"/>
              <w:jc w:val="both"/>
              <w:rPr>
                <w:rFonts w:cs="Arial"/>
                <w:color w:val="252525"/>
                <w:sz w:val="20"/>
                <w:szCs w:val="20"/>
                <w:lang w:eastAsia="es-MX"/>
              </w:rPr>
            </w:pPr>
            <w:r>
              <w:rPr>
                <w:rFonts w:cs="Arial"/>
                <w:color w:val="252525"/>
                <w:sz w:val="20"/>
                <w:szCs w:val="20"/>
                <w:lang w:eastAsia="es-MX"/>
              </w:rPr>
              <w:t>Tarija</w:t>
            </w:r>
          </w:p>
        </w:tc>
        <w:tc>
          <w:tcPr>
            <w:tcW w:w="2888" w:type="dxa"/>
            <w:tcBorders>
              <w:top w:val="inset" w:sz="6" w:space="0" w:color="auto"/>
              <w:left w:val="inset" w:sz="6" w:space="0" w:color="auto"/>
              <w:bottom w:val="inset" w:sz="6" w:space="0" w:color="auto"/>
              <w:right w:val="inset" w:sz="6" w:space="0" w:color="auto"/>
            </w:tcBorders>
            <w:hideMark/>
          </w:tcPr>
          <w:p w14:paraId="6E6B8AE0" w14:textId="77777777" w:rsidR="00AB58B8" w:rsidRDefault="00AB58B8">
            <w:pPr>
              <w:autoSpaceDE w:val="0"/>
              <w:autoSpaceDN w:val="0"/>
              <w:adjustRightInd w:val="0"/>
              <w:jc w:val="center"/>
              <w:rPr>
                <w:rFonts w:cs="Arial"/>
                <w:color w:val="252525"/>
                <w:sz w:val="20"/>
                <w:szCs w:val="20"/>
                <w:lang w:eastAsia="es-MX"/>
              </w:rPr>
            </w:pPr>
            <w:r>
              <w:rPr>
                <w:rFonts w:cs="Arial"/>
                <w:color w:val="252525"/>
                <w:sz w:val="20"/>
                <w:szCs w:val="20"/>
                <w:lang w:eastAsia="es-MX"/>
              </w:rPr>
              <w:t>10.812</w:t>
            </w:r>
          </w:p>
        </w:tc>
        <w:tc>
          <w:tcPr>
            <w:tcW w:w="2416" w:type="dxa"/>
            <w:tcBorders>
              <w:top w:val="inset" w:sz="6" w:space="0" w:color="auto"/>
              <w:left w:val="inset" w:sz="6" w:space="0" w:color="auto"/>
              <w:bottom w:val="inset" w:sz="6" w:space="0" w:color="auto"/>
              <w:right w:val="inset" w:sz="6" w:space="0" w:color="auto"/>
            </w:tcBorders>
            <w:hideMark/>
          </w:tcPr>
          <w:p w14:paraId="6E6B8AE1" w14:textId="77777777" w:rsidR="00AB58B8" w:rsidRDefault="00AB58B8">
            <w:pPr>
              <w:autoSpaceDE w:val="0"/>
              <w:autoSpaceDN w:val="0"/>
              <w:adjustRightInd w:val="0"/>
              <w:jc w:val="center"/>
              <w:rPr>
                <w:rFonts w:cs="Arial"/>
                <w:color w:val="252525"/>
                <w:sz w:val="20"/>
                <w:szCs w:val="20"/>
                <w:lang w:eastAsia="es-MX"/>
              </w:rPr>
            </w:pPr>
            <w:r>
              <w:rPr>
                <w:rFonts w:cs="Arial"/>
                <w:color w:val="252525"/>
                <w:sz w:val="20"/>
                <w:szCs w:val="20"/>
                <w:lang w:eastAsia="es-MX"/>
              </w:rPr>
              <w:t>1.802</w:t>
            </w:r>
          </w:p>
        </w:tc>
      </w:tr>
      <w:tr w:rsidR="00AB58B8" w14:paraId="6E6B8AE6" w14:textId="77777777" w:rsidTr="00AB58B8">
        <w:trPr>
          <w:trHeight w:val="113"/>
          <w:tblCellSpacing w:w="20" w:type="dxa"/>
          <w:jc w:val="center"/>
        </w:trPr>
        <w:tc>
          <w:tcPr>
            <w:tcW w:w="2767" w:type="dxa"/>
            <w:tcBorders>
              <w:top w:val="inset" w:sz="6" w:space="0" w:color="auto"/>
              <w:left w:val="inset" w:sz="6" w:space="0" w:color="auto"/>
              <w:bottom w:val="inset" w:sz="6" w:space="0" w:color="auto"/>
              <w:right w:val="inset" w:sz="6" w:space="0" w:color="auto"/>
            </w:tcBorders>
            <w:hideMark/>
          </w:tcPr>
          <w:p w14:paraId="6E6B8AE3" w14:textId="77777777" w:rsidR="00AB58B8" w:rsidRDefault="00AB58B8">
            <w:pPr>
              <w:autoSpaceDE w:val="0"/>
              <w:autoSpaceDN w:val="0"/>
              <w:adjustRightInd w:val="0"/>
              <w:jc w:val="both"/>
              <w:rPr>
                <w:rFonts w:cs="Arial"/>
                <w:color w:val="252525"/>
                <w:sz w:val="20"/>
                <w:szCs w:val="20"/>
                <w:lang w:eastAsia="es-MX"/>
              </w:rPr>
            </w:pPr>
            <w:r>
              <w:rPr>
                <w:rFonts w:cs="Arial"/>
                <w:color w:val="252525"/>
                <w:sz w:val="20"/>
                <w:szCs w:val="20"/>
                <w:lang w:eastAsia="es-MX"/>
              </w:rPr>
              <w:t>Beni</w:t>
            </w:r>
          </w:p>
        </w:tc>
        <w:tc>
          <w:tcPr>
            <w:tcW w:w="2888" w:type="dxa"/>
            <w:tcBorders>
              <w:top w:val="inset" w:sz="6" w:space="0" w:color="auto"/>
              <w:left w:val="inset" w:sz="6" w:space="0" w:color="auto"/>
              <w:bottom w:val="inset" w:sz="6" w:space="0" w:color="auto"/>
              <w:right w:val="inset" w:sz="6" w:space="0" w:color="auto"/>
            </w:tcBorders>
            <w:hideMark/>
          </w:tcPr>
          <w:p w14:paraId="6E6B8AE4" w14:textId="77777777" w:rsidR="00AB58B8" w:rsidRDefault="00AB58B8">
            <w:pPr>
              <w:autoSpaceDE w:val="0"/>
              <w:autoSpaceDN w:val="0"/>
              <w:adjustRightInd w:val="0"/>
              <w:jc w:val="center"/>
              <w:rPr>
                <w:rFonts w:cs="Arial"/>
                <w:color w:val="252525"/>
                <w:sz w:val="20"/>
                <w:szCs w:val="20"/>
                <w:lang w:eastAsia="es-MX"/>
              </w:rPr>
            </w:pPr>
            <w:r>
              <w:rPr>
                <w:rFonts w:cs="Arial"/>
                <w:color w:val="252525"/>
                <w:sz w:val="20"/>
                <w:szCs w:val="20"/>
                <w:lang w:eastAsia="es-MX"/>
              </w:rPr>
              <w:t>7.806</w:t>
            </w:r>
          </w:p>
        </w:tc>
        <w:tc>
          <w:tcPr>
            <w:tcW w:w="2416" w:type="dxa"/>
            <w:tcBorders>
              <w:top w:val="inset" w:sz="6" w:space="0" w:color="auto"/>
              <w:left w:val="inset" w:sz="6" w:space="0" w:color="auto"/>
              <w:bottom w:val="inset" w:sz="6" w:space="0" w:color="auto"/>
              <w:right w:val="inset" w:sz="6" w:space="0" w:color="auto"/>
            </w:tcBorders>
            <w:hideMark/>
          </w:tcPr>
          <w:p w14:paraId="6E6B8AE5" w14:textId="77777777" w:rsidR="00AB58B8" w:rsidRDefault="00AB58B8">
            <w:pPr>
              <w:autoSpaceDE w:val="0"/>
              <w:autoSpaceDN w:val="0"/>
              <w:adjustRightInd w:val="0"/>
              <w:jc w:val="center"/>
              <w:rPr>
                <w:rFonts w:cs="Arial"/>
                <w:color w:val="252525"/>
                <w:sz w:val="20"/>
                <w:szCs w:val="20"/>
                <w:lang w:eastAsia="es-MX"/>
              </w:rPr>
            </w:pPr>
            <w:r>
              <w:rPr>
                <w:rFonts w:cs="Arial"/>
                <w:color w:val="252525"/>
                <w:sz w:val="20"/>
                <w:szCs w:val="20"/>
                <w:lang w:eastAsia="es-MX"/>
              </w:rPr>
              <w:t>1.302</w:t>
            </w:r>
          </w:p>
        </w:tc>
      </w:tr>
      <w:tr w:rsidR="00AB58B8" w14:paraId="6E6B8AEA" w14:textId="77777777" w:rsidTr="00AB58B8">
        <w:trPr>
          <w:trHeight w:val="113"/>
          <w:tblCellSpacing w:w="20" w:type="dxa"/>
          <w:jc w:val="center"/>
        </w:trPr>
        <w:tc>
          <w:tcPr>
            <w:tcW w:w="2767" w:type="dxa"/>
            <w:tcBorders>
              <w:top w:val="inset" w:sz="6" w:space="0" w:color="auto"/>
              <w:left w:val="inset" w:sz="6" w:space="0" w:color="auto"/>
              <w:bottom w:val="inset" w:sz="6" w:space="0" w:color="auto"/>
              <w:right w:val="inset" w:sz="6" w:space="0" w:color="auto"/>
            </w:tcBorders>
            <w:hideMark/>
          </w:tcPr>
          <w:p w14:paraId="6E6B8AE7" w14:textId="77777777" w:rsidR="00AB58B8" w:rsidRDefault="00AB58B8">
            <w:pPr>
              <w:autoSpaceDE w:val="0"/>
              <w:autoSpaceDN w:val="0"/>
              <w:adjustRightInd w:val="0"/>
              <w:jc w:val="both"/>
              <w:rPr>
                <w:rFonts w:cs="Arial"/>
                <w:color w:val="252525"/>
                <w:sz w:val="20"/>
                <w:szCs w:val="20"/>
                <w:lang w:eastAsia="es-MX"/>
              </w:rPr>
            </w:pPr>
            <w:r>
              <w:rPr>
                <w:rFonts w:cs="Arial"/>
                <w:color w:val="252525"/>
                <w:sz w:val="20"/>
                <w:szCs w:val="20"/>
                <w:lang w:eastAsia="es-MX"/>
              </w:rPr>
              <w:t>Pando</w:t>
            </w:r>
          </w:p>
        </w:tc>
        <w:tc>
          <w:tcPr>
            <w:tcW w:w="2888" w:type="dxa"/>
            <w:tcBorders>
              <w:top w:val="inset" w:sz="6" w:space="0" w:color="auto"/>
              <w:left w:val="inset" w:sz="6" w:space="0" w:color="auto"/>
              <w:bottom w:val="inset" w:sz="6" w:space="0" w:color="auto"/>
              <w:right w:val="inset" w:sz="6" w:space="0" w:color="auto"/>
            </w:tcBorders>
            <w:hideMark/>
          </w:tcPr>
          <w:p w14:paraId="6E6B8AE8" w14:textId="77777777" w:rsidR="00AB58B8" w:rsidRDefault="00AB58B8">
            <w:pPr>
              <w:autoSpaceDE w:val="0"/>
              <w:autoSpaceDN w:val="0"/>
              <w:adjustRightInd w:val="0"/>
              <w:jc w:val="center"/>
              <w:rPr>
                <w:rFonts w:cs="Arial"/>
                <w:color w:val="252525"/>
                <w:sz w:val="20"/>
                <w:szCs w:val="20"/>
                <w:lang w:eastAsia="es-MX"/>
              </w:rPr>
            </w:pPr>
            <w:r>
              <w:rPr>
                <w:rFonts w:cs="Arial"/>
                <w:color w:val="252525"/>
                <w:sz w:val="20"/>
                <w:szCs w:val="20"/>
                <w:lang w:eastAsia="es-MX"/>
              </w:rPr>
              <w:t>2.334</w:t>
            </w:r>
          </w:p>
        </w:tc>
        <w:tc>
          <w:tcPr>
            <w:tcW w:w="2416" w:type="dxa"/>
            <w:tcBorders>
              <w:top w:val="inset" w:sz="6" w:space="0" w:color="auto"/>
              <w:left w:val="inset" w:sz="6" w:space="0" w:color="auto"/>
              <w:bottom w:val="inset" w:sz="6" w:space="0" w:color="auto"/>
              <w:right w:val="inset" w:sz="6" w:space="0" w:color="auto"/>
            </w:tcBorders>
            <w:hideMark/>
          </w:tcPr>
          <w:p w14:paraId="6E6B8AE9" w14:textId="77777777" w:rsidR="00AB58B8" w:rsidRDefault="00AB58B8">
            <w:pPr>
              <w:autoSpaceDE w:val="0"/>
              <w:autoSpaceDN w:val="0"/>
              <w:adjustRightInd w:val="0"/>
              <w:jc w:val="center"/>
              <w:rPr>
                <w:rFonts w:cs="Arial"/>
                <w:color w:val="252525"/>
                <w:sz w:val="20"/>
                <w:szCs w:val="20"/>
                <w:lang w:eastAsia="es-MX"/>
              </w:rPr>
            </w:pPr>
            <w:r>
              <w:rPr>
                <w:rFonts w:cs="Arial"/>
                <w:color w:val="252525"/>
                <w:sz w:val="20"/>
                <w:szCs w:val="20"/>
                <w:lang w:eastAsia="es-MX"/>
              </w:rPr>
              <w:t>389</w:t>
            </w:r>
          </w:p>
        </w:tc>
      </w:tr>
      <w:tr w:rsidR="00AB58B8" w14:paraId="6E6B8AEE" w14:textId="77777777" w:rsidTr="00AB58B8">
        <w:trPr>
          <w:trHeight w:val="113"/>
          <w:tblCellSpacing w:w="20" w:type="dxa"/>
          <w:jc w:val="center"/>
        </w:trPr>
        <w:tc>
          <w:tcPr>
            <w:tcW w:w="2767" w:type="dxa"/>
            <w:tcBorders>
              <w:top w:val="inset" w:sz="6" w:space="0" w:color="auto"/>
              <w:left w:val="inset" w:sz="6" w:space="0" w:color="auto"/>
              <w:bottom w:val="inset" w:sz="6" w:space="0" w:color="auto"/>
              <w:right w:val="inset" w:sz="6" w:space="0" w:color="auto"/>
            </w:tcBorders>
            <w:hideMark/>
          </w:tcPr>
          <w:p w14:paraId="6E6B8AEB" w14:textId="77777777" w:rsidR="00AB58B8" w:rsidRDefault="00AB58B8">
            <w:pPr>
              <w:autoSpaceDE w:val="0"/>
              <w:autoSpaceDN w:val="0"/>
              <w:adjustRightInd w:val="0"/>
              <w:jc w:val="both"/>
              <w:rPr>
                <w:rFonts w:cs="Arial"/>
                <w:b/>
                <w:bCs/>
                <w:color w:val="252525"/>
                <w:sz w:val="20"/>
                <w:szCs w:val="20"/>
                <w:lang w:eastAsia="es-MX"/>
              </w:rPr>
            </w:pPr>
            <w:r>
              <w:rPr>
                <w:rFonts w:cs="Arial"/>
                <w:b/>
                <w:bCs/>
                <w:color w:val="252525"/>
                <w:sz w:val="20"/>
                <w:szCs w:val="20"/>
                <w:lang w:eastAsia="es-MX"/>
              </w:rPr>
              <w:t>Nacional</w:t>
            </w:r>
          </w:p>
        </w:tc>
        <w:tc>
          <w:tcPr>
            <w:tcW w:w="2888" w:type="dxa"/>
            <w:tcBorders>
              <w:top w:val="inset" w:sz="6" w:space="0" w:color="auto"/>
              <w:left w:val="inset" w:sz="6" w:space="0" w:color="auto"/>
              <w:bottom w:val="inset" w:sz="6" w:space="0" w:color="auto"/>
              <w:right w:val="inset" w:sz="6" w:space="0" w:color="auto"/>
            </w:tcBorders>
            <w:hideMark/>
          </w:tcPr>
          <w:p w14:paraId="6E6B8AEC" w14:textId="77777777" w:rsidR="00AB58B8" w:rsidRDefault="00AB58B8">
            <w:pPr>
              <w:autoSpaceDE w:val="0"/>
              <w:autoSpaceDN w:val="0"/>
              <w:adjustRightInd w:val="0"/>
              <w:jc w:val="center"/>
              <w:rPr>
                <w:rFonts w:cs="Arial"/>
                <w:bCs/>
                <w:color w:val="252525"/>
                <w:sz w:val="20"/>
                <w:szCs w:val="20"/>
                <w:lang w:eastAsia="es-MX"/>
              </w:rPr>
            </w:pPr>
            <w:r>
              <w:rPr>
                <w:rFonts w:cs="Arial"/>
                <w:bCs/>
                <w:color w:val="252525"/>
                <w:sz w:val="20"/>
                <w:szCs w:val="20"/>
                <w:lang w:eastAsia="es-MX"/>
              </w:rPr>
              <w:t>198.281</w:t>
            </w:r>
          </w:p>
        </w:tc>
        <w:tc>
          <w:tcPr>
            <w:tcW w:w="2416" w:type="dxa"/>
            <w:tcBorders>
              <w:top w:val="inset" w:sz="6" w:space="0" w:color="auto"/>
              <w:left w:val="inset" w:sz="6" w:space="0" w:color="auto"/>
              <w:bottom w:val="inset" w:sz="6" w:space="0" w:color="auto"/>
              <w:right w:val="inset" w:sz="6" w:space="0" w:color="auto"/>
            </w:tcBorders>
            <w:hideMark/>
          </w:tcPr>
          <w:p w14:paraId="6E6B8AED" w14:textId="77777777" w:rsidR="00AB58B8" w:rsidRDefault="00AB58B8">
            <w:pPr>
              <w:autoSpaceDE w:val="0"/>
              <w:autoSpaceDN w:val="0"/>
              <w:adjustRightInd w:val="0"/>
              <w:jc w:val="center"/>
              <w:rPr>
                <w:rFonts w:cs="Arial"/>
                <w:bCs/>
                <w:color w:val="252525"/>
                <w:sz w:val="20"/>
                <w:szCs w:val="20"/>
                <w:lang w:eastAsia="es-MX"/>
              </w:rPr>
            </w:pPr>
            <w:r>
              <w:rPr>
                <w:rFonts w:cs="Arial"/>
                <w:bCs/>
                <w:color w:val="252525"/>
                <w:sz w:val="20"/>
                <w:szCs w:val="20"/>
                <w:lang w:eastAsia="es-MX"/>
              </w:rPr>
              <w:t>33.048</w:t>
            </w:r>
          </w:p>
        </w:tc>
      </w:tr>
      <w:tr w:rsidR="00AB58B8" w14:paraId="6E6B8AF2" w14:textId="77777777" w:rsidTr="00AB58B8">
        <w:trPr>
          <w:trHeight w:val="113"/>
          <w:tblCellSpacing w:w="20" w:type="dxa"/>
          <w:jc w:val="center"/>
        </w:trPr>
        <w:tc>
          <w:tcPr>
            <w:tcW w:w="2767" w:type="dxa"/>
            <w:tcBorders>
              <w:top w:val="inset" w:sz="6" w:space="0" w:color="auto"/>
              <w:left w:val="inset" w:sz="6" w:space="0" w:color="auto"/>
              <w:bottom w:val="inset" w:sz="6" w:space="0" w:color="auto"/>
              <w:right w:val="inset" w:sz="6" w:space="0" w:color="auto"/>
            </w:tcBorders>
            <w:vAlign w:val="bottom"/>
            <w:hideMark/>
          </w:tcPr>
          <w:p w14:paraId="6E6B8AEF" w14:textId="77777777" w:rsidR="00AB58B8" w:rsidRDefault="00AB58B8">
            <w:pPr>
              <w:autoSpaceDE w:val="0"/>
              <w:autoSpaceDN w:val="0"/>
              <w:adjustRightInd w:val="0"/>
              <w:rPr>
                <w:rFonts w:cs="Arial"/>
                <w:b/>
                <w:bCs/>
                <w:color w:val="252525"/>
                <w:sz w:val="20"/>
                <w:szCs w:val="20"/>
                <w:lang w:eastAsia="es-MX"/>
              </w:rPr>
            </w:pPr>
            <w:r>
              <w:rPr>
                <w:rFonts w:ascii="Calibri" w:eastAsia="Times New Roman" w:hAnsi="Calibri" w:cs="Times New Roman"/>
                <w:b/>
                <w:color w:val="000000"/>
                <w:sz w:val="20"/>
                <w:szCs w:val="20"/>
                <w:lang w:eastAsia="es-MX"/>
              </w:rPr>
              <w:t>Exterior</w:t>
            </w:r>
          </w:p>
        </w:tc>
        <w:tc>
          <w:tcPr>
            <w:tcW w:w="2888" w:type="dxa"/>
            <w:tcBorders>
              <w:top w:val="inset" w:sz="6" w:space="0" w:color="auto"/>
              <w:left w:val="inset" w:sz="6" w:space="0" w:color="auto"/>
              <w:bottom w:val="inset" w:sz="6" w:space="0" w:color="auto"/>
              <w:right w:val="inset" w:sz="6" w:space="0" w:color="auto"/>
            </w:tcBorders>
            <w:vAlign w:val="bottom"/>
            <w:hideMark/>
          </w:tcPr>
          <w:p w14:paraId="6E6B8AF0" w14:textId="77777777" w:rsidR="00AB58B8" w:rsidRDefault="00AB58B8">
            <w:pPr>
              <w:autoSpaceDE w:val="0"/>
              <w:autoSpaceDN w:val="0"/>
              <w:adjustRightInd w:val="0"/>
              <w:jc w:val="center"/>
              <w:rPr>
                <w:rFonts w:cs="Arial"/>
                <w:bCs/>
                <w:color w:val="252525"/>
                <w:sz w:val="20"/>
                <w:szCs w:val="20"/>
                <w:lang w:eastAsia="es-MX"/>
              </w:rPr>
            </w:pPr>
            <w:r>
              <w:rPr>
                <w:rFonts w:ascii="Calibri" w:eastAsia="Times New Roman" w:hAnsi="Calibri" w:cs="Times New Roman"/>
                <w:color w:val="000000"/>
                <w:sz w:val="20"/>
                <w:szCs w:val="20"/>
                <w:lang w:eastAsia="es-MX"/>
              </w:rPr>
              <w:t>1.508</w:t>
            </w:r>
          </w:p>
        </w:tc>
        <w:tc>
          <w:tcPr>
            <w:tcW w:w="2416" w:type="dxa"/>
            <w:tcBorders>
              <w:top w:val="inset" w:sz="6" w:space="0" w:color="auto"/>
              <w:left w:val="inset" w:sz="6" w:space="0" w:color="auto"/>
              <w:bottom w:val="inset" w:sz="6" w:space="0" w:color="auto"/>
              <w:right w:val="inset" w:sz="6" w:space="0" w:color="auto"/>
            </w:tcBorders>
            <w:vAlign w:val="bottom"/>
            <w:hideMark/>
          </w:tcPr>
          <w:p w14:paraId="6E6B8AF1" w14:textId="77777777" w:rsidR="00AB58B8" w:rsidRDefault="00AB58B8">
            <w:pPr>
              <w:autoSpaceDE w:val="0"/>
              <w:autoSpaceDN w:val="0"/>
              <w:adjustRightInd w:val="0"/>
              <w:jc w:val="center"/>
              <w:rPr>
                <w:rFonts w:cs="Arial"/>
                <w:bCs/>
                <w:color w:val="252525"/>
                <w:sz w:val="20"/>
                <w:szCs w:val="20"/>
                <w:lang w:eastAsia="es-MX"/>
              </w:rPr>
            </w:pPr>
            <w:r>
              <w:rPr>
                <w:rFonts w:ascii="Calibri" w:eastAsia="Times New Roman" w:hAnsi="Calibri" w:cs="Times New Roman"/>
                <w:color w:val="000000"/>
                <w:sz w:val="20"/>
                <w:szCs w:val="20"/>
                <w:lang w:eastAsia="es-MX"/>
              </w:rPr>
              <w:t>9.042</w:t>
            </w:r>
          </w:p>
        </w:tc>
      </w:tr>
      <w:tr w:rsidR="00AB58B8" w14:paraId="6E6B8AF6" w14:textId="77777777" w:rsidTr="00AB58B8">
        <w:trPr>
          <w:trHeight w:val="113"/>
          <w:tblCellSpacing w:w="20" w:type="dxa"/>
          <w:jc w:val="center"/>
        </w:trPr>
        <w:tc>
          <w:tcPr>
            <w:tcW w:w="2767" w:type="dxa"/>
            <w:tcBorders>
              <w:top w:val="inset" w:sz="6" w:space="0" w:color="auto"/>
              <w:left w:val="inset" w:sz="6" w:space="0" w:color="auto"/>
              <w:bottom w:val="inset" w:sz="6" w:space="0" w:color="auto"/>
              <w:right w:val="inset" w:sz="6" w:space="0" w:color="auto"/>
            </w:tcBorders>
            <w:vAlign w:val="bottom"/>
            <w:hideMark/>
          </w:tcPr>
          <w:p w14:paraId="6E6B8AF3" w14:textId="77777777" w:rsidR="00AB58B8" w:rsidRDefault="00AB58B8">
            <w:pPr>
              <w:autoSpaceDE w:val="0"/>
              <w:autoSpaceDN w:val="0"/>
              <w:adjustRightInd w:val="0"/>
              <w:rPr>
                <w:rFonts w:cs="Arial"/>
                <w:b/>
                <w:bCs/>
                <w:color w:val="252525"/>
                <w:sz w:val="20"/>
                <w:szCs w:val="20"/>
                <w:lang w:eastAsia="es-MX"/>
              </w:rPr>
            </w:pPr>
            <w:r>
              <w:rPr>
                <w:rFonts w:ascii="Calibri" w:eastAsia="Times New Roman" w:hAnsi="Calibri" w:cs="Times New Roman"/>
                <w:color w:val="000000"/>
                <w:sz w:val="20"/>
                <w:szCs w:val="20"/>
                <w:lang w:eastAsia="es-MX"/>
              </w:rPr>
              <w:t>TOTALES</w:t>
            </w:r>
          </w:p>
        </w:tc>
        <w:tc>
          <w:tcPr>
            <w:tcW w:w="2888" w:type="dxa"/>
            <w:tcBorders>
              <w:top w:val="inset" w:sz="6" w:space="0" w:color="auto"/>
              <w:left w:val="inset" w:sz="6" w:space="0" w:color="auto"/>
              <w:bottom w:val="inset" w:sz="6" w:space="0" w:color="auto"/>
              <w:right w:val="inset" w:sz="6" w:space="0" w:color="auto"/>
            </w:tcBorders>
            <w:vAlign w:val="bottom"/>
            <w:hideMark/>
          </w:tcPr>
          <w:p w14:paraId="6E6B8AF4" w14:textId="77777777" w:rsidR="00AB58B8" w:rsidRDefault="00AB58B8">
            <w:pPr>
              <w:autoSpaceDE w:val="0"/>
              <w:autoSpaceDN w:val="0"/>
              <w:adjustRightInd w:val="0"/>
              <w:jc w:val="center"/>
              <w:rPr>
                <w:rFonts w:cs="Arial"/>
                <w:bCs/>
                <w:color w:val="252525"/>
                <w:sz w:val="20"/>
                <w:szCs w:val="20"/>
                <w:lang w:eastAsia="es-MX"/>
              </w:rPr>
            </w:pPr>
            <w:r>
              <w:rPr>
                <w:rFonts w:ascii="Calibri" w:eastAsia="Times New Roman" w:hAnsi="Calibri" w:cs="Times New Roman"/>
                <w:color w:val="000000"/>
                <w:sz w:val="20"/>
                <w:szCs w:val="20"/>
                <w:lang w:eastAsia="es-MX"/>
              </w:rPr>
              <w:t>34.556</w:t>
            </w:r>
          </w:p>
        </w:tc>
        <w:tc>
          <w:tcPr>
            <w:tcW w:w="2416" w:type="dxa"/>
            <w:tcBorders>
              <w:top w:val="inset" w:sz="6" w:space="0" w:color="auto"/>
              <w:left w:val="inset" w:sz="6" w:space="0" w:color="auto"/>
              <w:bottom w:val="inset" w:sz="6" w:space="0" w:color="auto"/>
              <w:right w:val="inset" w:sz="6" w:space="0" w:color="auto"/>
            </w:tcBorders>
            <w:vAlign w:val="bottom"/>
            <w:hideMark/>
          </w:tcPr>
          <w:p w14:paraId="6E6B8AF5" w14:textId="77777777" w:rsidR="00AB58B8" w:rsidRDefault="00AB58B8">
            <w:pPr>
              <w:autoSpaceDE w:val="0"/>
              <w:autoSpaceDN w:val="0"/>
              <w:adjustRightInd w:val="0"/>
              <w:jc w:val="center"/>
              <w:rPr>
                <w:rFonts w:cs="Arial"/>
                <w:bCs/>
                <w:color w:val="252525"/>
                <w:sz w:val="20"/>
                <w:szCs w:val="20"/>
                <w:lang w:eastAsia="es-MX"/>
              </w:rPr>
            </w:pPr>
            <w:r>
              <w:rPr>
                <w:rFonts w:ascii="Calibri" w:eastAsia="Times New Roman" w:hAnsi="Calibri" w:cs="Times New Roman"/>
                <w:color w:val="000000"/>
                <w:sz w:val="20"/>
                <w:szCs w:val="20"/>
                <w:lang w:eastAsia="es-MX"/>
              </w:rPr>
              <w:t>207.323</w:t>
            </w:r>
          </w:p>
        </w:tc>
      </w:tr>
    </w:tbl>
    <w:p w14:paraId="6E6B8AF7" w14:textId="77777777" w:rsidR="00AB58B8" w:rsidRDefault="00AB58B8" w:rsidP="00AB58B8">
      <w:pPr>
        <w:jc w:val="both"/>
        <w:rPr>
          <w:sz w:val="22"/>
          <w:szCs w:val="22"/>
        </w:rPr>
      </w:pPr>
      <w:r>
        <w:rPr>
          <w:sz w:val="22"/>
          <w:szCs w:val="22"/>
        </w:rPr>
        <w:t xml:space="preserve">       Fuente: elaboración porpia sobre la base de datos entregados por el tribunal electoral</w:t>
      </w:r>
    </w:p>
    <w:p w14:paraId="6E6B8AF8" w14:textId="77777777" w:rsidR="00AB58B8" w:rsidRDefault="00AB58B8" w:rsidP="00AB58B8">
      <w:pPr>
        <w:jc w:val="both"/>
        <w:rPr>
          <w:sz w:val="22"/>
          <w:szCs w:val="22"/>
        </w:rPr>
      </w:pPr>
    </w:p>
    <w:p w14:paraId="6E6B8AF9" w14:textId="77777777" w:rsidR="00AB58B8" w:rsidRDefault="00AB58B8" w:rsidP="00AB58B8">
      <w:pPr>
        <w:jc w:val="both"/>
        <w:rPr>
          <w:sz w:val="22"/>
          <w:szCs w:val="22"/>
        </w:rPr>
      </w:pPr>
      <w:r>
        <w:rPr>
          <w:sz w:val="22"/>
          <w:szCs w:val="22"/>
        </w:rPr>
        <w:t>De acuerdo con las disposiciones legales</w:t>
      </w:r>
      <w:r>
        <w:rPr>
          <w:rStyle w:val="FootnoteReference"/>
          <w:sz w:val="22"/>
          <w:szCs w:val="22"/>
        </w:rPr>
        <w:footnoteReference w:id="9"/>
      </w:r>
      <w:r>
        <w:rPr>
          <w:sz w:val="22"/>
          <w:szCs w:val="22"/>
        </w:rPr>
        <w:t>,  durante los siguientes siete días calendario a la publicación de las listas de jurados de las mesas de sufragio presentaron su excusa por escrito a la Secretaría de Cámara de cada TED.</w:t>
      </w:r>
    </w:p>
    <w:p w14:paraId="6E6B8AFA" w14:textId="77777777" w:rsidR="00AB58B8" w:rsidRDefault="00AB58B8" w:rsidP="00AB58B8">
      <w:pPr>
        <w:jc w:val="both"/>
        <w:rPr>
          <w:sz w:val="22"/>
          <w:szCs w:val="22"/>
        </w:rPr>
      </w:pPr>
    </w:p>
    <w:p w14:paraId="6E6B8AFB" w14:textId="77777777" w:rsidR="00AB58B8" w:rsidRDefault="00AB58B8" w:rsidP="00AB58B8">
      <w:pPr>
        <w:jc w:val="both"/>
        <w:rPr>
          <w:b/>
          <w:bCs/>
          <w:i/>
          <w:iCs/>
          <w:sz w:val="22"/>
          <w:szCs w:val="22"/>
        </w:rPr>
      </w:pPr>
      <w:r>
        <w:rPr>
          <w:b/>
          <w:bCs/>
          <w:i/>
          <w:iCs/>
          <w:sz w:val="22"/>
          <w:szCs w:val="22"/>
        </w:rPr>
        <w:t>Notarios y Notarias Electorales</w:t>
      </w:r>
    </w:p>
    <w:p w14:paraId="6E6B8AFC" w14:textId="77777777" w:rsidR="00AB58B8" w:rsidRDefault="00AB58B8" w:rsidP="00AB58B8">
      <w:pPr>
        <w:jc w:val="both"/>
        <w:rPr>
          <w:sz w:val="22"/>
          <w:szCs w:val="22"/>
        </w:rPr>
      </w:pPr>
    </w:p>
    <w:p w14:paraId="6E6B8AFD" w14:textId="77777777" w:rsidR="00AB58B8" w:rsidRDefault="00AB58B8" w:rsidP="00AB58B8">
      <w:pPr>
        <w:jc w:val="both"/>
        <w:rPr>
          <w:sz w:val="22"/>
          <w:szCs w:val="22"/>
        </w:rPr>
      </w:pPr>
      <w:r>
        <w:rPr>
          <w:sz w:val="22"/>
          <w:szCs w:val="22"/>
        </w:rPr>
        <w:t xml:space="preserve">Son las autoridades electorales designadas por el Tribunal Electoral Departamental para cumplir las funciones de apoyo logístico y operativo, y para dar fe de los actos electorales. Entre sus atribuciones se encuentran las siguientes: 1. Apoyar logísticamente a las autoridades electorales 2. Dar fe de los actos </w:t>
      </w:r>
      <w:r>
        <w:rPr>
          <w:sz w:val="22"/>
          <w:szCs w:val="22"/>
        </w:rPr>
        <w:lastRenderedPageBreak/>
        <w:t>electorales. 3. Denunciar ante las autoridades competentes las violaciones a la ley, deficiencias o irregularidades observadas. 4. Asistir a la organización de los Jurados de Mesas de Sufragio, y apoyar en la capacitación e información electoral. 5. Entregar personal y oportunamente a la Presidenta o el Presidente de cada Mesa de Sufragio el material electoral recibido del Tribunal Electoral Departamental. 6. Recoger de los Jurados Electorales los sobres de seguridad y el material electoral, y entregarlos al Tribunal Electoral Departamental. 7. Atender el día de la votación las reclamaciones de las electoras y los electores que invoquen su indebida inhabilitación de la lista índice.</w:t>
      </w:r>
    </w:p>
    <w:p w14:paraId="6E6B8AFE" w14:textId="77777777" w:rsidR="00AB58B8" w:rsidRDefault="00AB58B8" w:rsidP="00AB58B8">
      <w:pPr>
        <w:jc w:val="both"/>
        <w:rPr>
          <w:sz w:val="22"/>
          <w:szCs w:val="22"/>
        </w:rPr>
      </w:pPr>
    </w:p>
    <w:p w14:paraId="6E6B8AFF" w14:textId="77777777" w:rsidR="00AB58B8" w:rsidRDefault="00AB58B8" w:rsidP="00AB58B8">
      <w:pPr>
        <w:jc w:val="both"/>
        <w:rPr>
          <w:sz w:val="22"/>
          <w:szCs w:val="22"/>
        </w:rPr>
      </w:pPr>
      <w:r>
        <w:rPr>
          <w:sz w:val="22"/>
          <w:szCs w:val="22"/>
        </w:rPr>
        <w:t>Los notarios y notarias cumplen un rol fundamental en el esquema de organización electoral de Bolivia. Son ellos quienes atienden la dudas o reclamaciones de lo ciudadanos y quienes asisten a los jurados de electorales que, por déficits de capacitación, pudieran no conocer a cabalidad las funciones y procedimientos que deben llevar adelante. Dada la importancia de esta figura, la normativa electoral establece como requisito para desempeñarse como notario el haber aprobado los cursos de capacitación o tener como experiencia un proceso electoral como Notario.</w:t>
      </w:r>
    </w:p>
    <w:p w14:paraId="6E6B8B00" w14:textId="77777777" w:rsidR="00AB58B8" w:rsidRDefault="00AB58B8" w:rsidP="00AB58B8">
      <w:pPr>
        <w:jc w:val="both"/>
        <w:rPr>
          <w:sz w:val="22"/>
          <w:szCs w:val="22"/>
        </w:rPr>
      </w:pPr>
    </w:p>
    <w:p w14:paraId="6E6B8B01" w14:textId="77777777" w:rsidR="00AB58B8" w:rsidRDefault="00AB58B8" w:rsidP="00AB58B8">
      <w:pPr>
        <w:jc w:val="both"/>
        <w:rPr>
          <w:sz w:val="22"/>
          <w:szCs w:val="22"/>
        </w:rPr>
      </w:pPr>
      <w:r>
        <w:rPr>
          <w:sz w:val="22"/>
          <w:szCs w:val="22"/>
        </w:rPr>
        <w:t>Para este proceso electoral se designaron 8.136 notarios, distribuidos del siguiente modo:</w:t>
      </w:r>
    </w:p>
    <w:p w14:paraId="6E6B8B02" w14:textId="77777777" w:rsidR="00AB58B8" w:rsidRDefault="00AB58B8" w:rsidP="00AB58B8">
      <w:pPr>
        <w:jc w:val="both"/>
        <w:rPr>
          <w:sz w:val="22"/>
          <w:szCs w:val="22"/>
        </w:rPr>
      </w:pPr>
    </w:p>
    <w:p w14:paraId="6E6B8B03" w14:textId="77777777" w:rsidR="00AB58B8" w:rsidRDefault="00AB58B8" w:rsidP="00AB58B8">
      <w:pPr>
        <w:jc w:val="center"/>
        <w:rPr>
          <w:b/>
          <w:bCs/>
          <w:sz w:val="22"/>
          <w:szCs w:val="22"/>
        </w:rPr>
      </w:pPr>
      <w:r>
        <w:rPr>
          <w:b/>
          <w:bCs/>
          <w:sz w:val="22"/>
          <w:szCs w:val="22"/>
        </w:rPr>
        <w:t>Notarios Electorales por Departamento</w:t>
      </w:r>
    </w:p>
    <w:p w14:paraId="6E6B8B04" w14:textId="77777777" w:rsidR="00AB58B8" w:rsidRDefault="00AB58B8" w:rsidP="00AB58B8">
      <w:pPr>
        <w:jc w:val="both"/>
        <w:rPr>
          <w:sz w:val="22"/>
          <w:szCs w:val="22"/>
        </w:rPr>
      </w:pPr>
    </w:p>
    <w:tbl>
      <w:tblPr>
        <w:tblStyle w:val="TableGrid"/>
        <w:tblW w:w="5534" w:type="dxa"/>
        <w:jc w:val="center"/>
        <w:tblInd w:w="0" w:type="dxa"/>
        <w:tblLook w:val="04A0" w:firstRow="1" w:lastRow="0" w:firstColumn="1" w:lastColumn="0" w:noHBand="0" w:noVBand="1"/>
      </w:tblPr>
      <w:tblGrid>
        <w:gridCol w:w="3256"/>
        <w:gridCol w:w="2278"/>
      </w:tblGrid>
      <w:tr w:rsidR="00AB58B8" w14:paraId="6E6B8B07" w14:textId="77777777" w:rsidTr="00AB58B8">
        <w:trPr>
          <w:jc w:val="center"/>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6B8B05" w14:textId="77777777" w:rsidR="00AB58B8" w:rsidRDefault="00AB58B8">
            <w:pPr>
              <w:jc w:val="center"/>
              <w:rPr>
                <w:b/>
                <w:bCs/>
                <w:sz w:val="22"/>
                <w:szCs w:val="22"/>
              </w:rPr>
            </w:pPr>
            <w:r>
              <w:rPr>
                <w:b/>
                <w:bCs/>
              </w:rPr>
              <w:t>Departamento</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6B8B06" w14:textId="77777777" w:rsidR="00AB58B8" w:rsidRDefault="00AB58B8">
            <w:pPr>
              <w:jc w:val="center"/>
              <w:rPr>
                <w:b/>
                <w:bCs/>
              </w:rPr>
            </w:pPr>
            <w:r>
              <w:rPr>
                <w:b/>
                <w:bCs/>
              </w:rPr>
              <w:t>Notarios Electorales</w:t>
            </w:r>
          </w:p>
        </w:tc>
      </w:tr>
      <w:tr w:rsidR="00AB58B8" w14:paraId="6E6B8B0A" w14:textId="77777777" w:rsidTr="00AB58B8">
        <w:trPr>
          <w:jc w:val="center"/>
        </w:trPr>
        <w:tc>
          <w:tcPr>
            <w:tcW w:w="3256" w:type="dxa"/>
            <w:tcBorders>
              <w:top w:val="single" w:sz="4" w:space="0" w:color="auto"/>
              <w:left w:val="single" w:sz="4" w:space="0" w:color="auto"/>
              <w:bottom w:val="single" w:sz="4" w:space="0" w:color="auto"/>
              <w:right w:val="single" w:sz="4" w:space="0" w:color="auto"/>
            </w:tcBorders>
            <w:hideMark/>
          </w:tcPr>
          <w:p w14:paraId="6E6B8B08" w14:textId="77777777" w:rsidR="00AB58B8" w:rsidRDefault="00AB58B8">
            <w:pPr>
              <w:jc w:val="both"/>
            </w:pPr>
            <w:r>
              <w:t>Chuquisaca</w:t>
            </w:r>
          </w:p>
        </w:tc>
        <w:tc>
          <w:tcPr>
            <w:tcW w:w="2278" w:type="dxa"/>
            <w:tcBorders>
              <w:top w:val="single" w:sz="4" w:space="0" w:color="auto"/>
              <w:left w:val="single" w:sz="4" w:space="0" w:color="auto"/>
              <w:bottom w:val="single" w:sz="4" w:space="0" w:color="auto"/>
              <w:right w:val="single" w:sz="4" w:space="0" w:color="auto"/>
            </w:tcBorders>
            <w:hideMark/>
          </w:tcPr>
          <w:p w14:paraId="6E6B8B09" w14:textId="77777777" w:rsidR="00AB58B8" w:rsidRDefault="00AB58B8">
            <w:pPr>
              <w:jc w:val="center"/>
            </w:pPr>
            <w:r>
              <w:t>544</w:t>
            </w:r>
          </w:p>
        </w:tc>
      </w:tr>
      <w:tr w:rsidR="00AB58B8" w14:paraId="6E6B8B0D" w14:textId="77777777" w:rsidTr="00AB58B8">
        <w:trPr>
          <w:jc w:val="center"/>
        </w:trPr>
        <w:tc>
          <w:tcPr>
            <w:tcW w:w="3256" w:type="dxa"/>
            <w:tcBorders>
              <w:top w:val="single" w:sz="4" w:space="0" w:color="auto"/>
              <w:left w:val="single" w:sz="4" w:space="0" w:color="auto"/>
              <w:bottom w:val="single" w:sz="4" w:space="0" w:color="auto"/>
              <w:right w:val="single" w:sz="4" w:space="0" w:color="auto"/>
            </w:tcBorders>
            <w:hideMark/>
          </w:tcPr>
          <w:p w14:paraId="6E6B8B0B" w14:textId="77777777" w:rsidR="00AB58B8" w:rsidRDefault="00AB58B8">
            <w:pPr>
              <w:jc w:val="both"/>
            </w:pPr>
            <w:r>
              <w:t>La Paz</w:t>
            </w:r>
          </w:p>
        </w:tc>
        <w:tc>
          <w:tcPr>
            <w:tcW w:w="2278" w:type="dxa"/>
            <w:tcBorders>
              <w:top w:val="single" w:sz="4" w:space="0" w:color="auto"/>
              <w:left w:val="single" w:sz="4" w:space="0" w:color="auto"/>
              <w:bottom w:val="single" w:sz="4" w:space="0" w:color="auto"/>
              <w:right w:val="single" w:sz="4" w:space="0" w:color="auto"/>
            </w:tcBorders>
            <w:hideMark/>
          </w:tcPr>
          <w:p w14:paraId="6E6B8B0C" w14:textId="77777777" w:rsidR="00AB58B8" w:rsidRDefault="00AB58B8">
            <w:pPr>
              <w:jc w:val="center"/>
            </w:pPr>
            <w:r>
              <w:t>2,126</w:t>
            </w:r>
          </w:p>
        </w:tc>
      </w:tr>
      <w:tr w:rsidR="00AB58B8" w14:paraId="6E6B8B10" w14:textId="77777777" w:rsidTr="00AB58B8">
        <w:trPr>
          <w:jc w:val="center"/>
        </w:trPr>
        <w:tc>
          <w:tcPr>
            <w:tcW w:w="3256" w:type="dxa"/>
            <w:tcBorders>
              <w:top w:val="single" w:sz="4" w:space="0" w:color="auto"/>
              <w:left w:val="single" w:sz="4" w:space="0" w:color="auto"/>
              <w:bottom w:val="single" w:sz="4" w:space="0" w:color="auto"/>
              <w:right w:val="single" w:sz="4" w:space="0" w:color="auto"/>
            </w:tcBorders>
            <w:hideMark/>
          </w:tcPr>
          <w:p w14:paraId="6E6B8B0E" w14:textId="77777777" w:rsidR="00AB58B8" w:rsidRDefault="00AB58B8">
            <w:pPr>
              <w:jc w:val="both"/>
            </w:pPr>
            <w:r>
              <w:t>Cochabamba</w:t>
            </w:r>
          </w:p>
        </w:tc>
        <w:tc>
          <w:tcPr>
            <w:tcW w:w="2278" w:type="dxa"/>
            <w:tcBorders>
              <w:top w:val="single" w:sz="4" w:space="0" w:color="auto"/>
              <w:left w:val="single" w:sz="4" w:space="0" w:color="auto"/>
              <w:bottom w:val="single" w:sz="4" w:space="0" w:color="auto"/>
              <w:right w:val="single" w:sz="4" w:space="0" w:color="auto"/>
            </w:tcBorders>
            <w:hideMark/>
          </w:tcPr>
          <w:p w14:paraId="6E6B8B0F" w14:textId="77777777" w:rsidR="00AB58B8" w:rsidRDefault="00AB58B8">
            <w:pPr>
              <w:jc w:val="center"/>
            </w:pPr>
            <w:r>
              <w:t>1,187</w:t>
            </w:r>
          </w:p>
        </w:tc>
      </w:tr>
      <w:tr w:rsidR="00AB58B8" w14:paraId="6E6B8B13" w14:textId="77777777" w:rsidTr="00AB58B8">
        <w:trPr>
          <w:jc w:val="center"/>
        </w:trPr>
        <w:tc>
          <w:tcPr>
            <w:tcW w:w="3256" w:type="dxa"/>
            <w:tcBorders>
              <w:top w:val="single" w:sz="4" w:space="0" w:color="auto"/>
              <w:left w:val="single" w:sz="4" w:space="0" w:color="auto"/>
              <w:bottom w:val="single" w:sz="4" w:space="0" w:color="auto"/>
              <w:right w:val="single" w:sz="4" w:space="0" w:color="auto"/>
            </w:tcBorders>
            <w:hideMark/>
          </w:tcPr>
          <w:p w14:paraId="6E6B8B11" w14:textId="77777777" w:rsidR="00AB58B8" w:rsidRDefault="00AB58B8">
            <w:pPr>
              <w:jc w:val="both"/>
            </w:pPr>
            <w:r>
              <w:t>Oruro</w:t>
            </w:r>
          </w:p>
        </w:tc>
        <w:tc>
          <w:tcPr>
            <w:tcW w:w="2278" w:type="dxa"/>
            <w:tcBorders>
              <w:top w:val="single" w:sz="4" w:space="0" w:color="auto"/>
              <w:left w:val="single" w:sz="4" w:space="0" w:color="auto"/>
              <w:bottom w:val="single" w:sz="4" w:space="0" w:color="auto"/>
              <w:right w:val="single" w:sz="4" w:space="0" w:color="auto"/>
            </w:tcBorders>
            <w:hideMark/>
          </w:tcPr>
          <w:p w14:paraId="6E6B8B12" w14:textId="77777777" w:rsidR="00AB58B8" w:rsidRDefault="00AB58B8">
            <w:pPr>
              <w:jc w:val="center"/>
            </w:pPr>
            <w:r>
              <w:t>500</w:t>
            </w:r>
          </w:p>
        </w:tc>
      </w:tr>
      <w:tr w:rsidR="00AB58B8" w14:paraId="6E6B8B16" w14:textId="77777777" w:rsidTr="00AB58B8">
        <w:trPr>
          <w:jc w:val="center"/>
        </w:trPr>
        <w:tc>
          <w:tcPr>
            <w:tcW w:w="3256" w:type="dxa"/>
            <w:tcBorders>
              <w:top w:val="single" w:sz="4" w:space="0" w:color="auto"/>
              <w:left w:val="single" w:sz="4" w:space="0" w:color="auto"/>
              <w:bottom w:val="single" w:sz="4" w:space="0" w:color="auto"/>
              <w:right w:val="single" w:sz="4" w:space="0" w:color="auto"/>
            </w:tcBorders>
            <w:hideMark/>
          </w:tcPr>
          <w:p w14:paraId="6E6B8B14" w14:textId="77777777" w:rsidR="00AB58B8" w:rsidRDefault="00AB58B8">
            <w:pPr>
              <w:jc w:val="both"/>
            </w:pPr>
            <w:r>
              <w:t>Potosí</w:t>
            </w:r>
          </w:p>
        </w:tc>
        <w:tc>
          <w:tcPr>
            <w:tcW w:w="2278" w:type="dxa"/>
            <w:tcBorders>
              <w:top w:val="single" w:sz="4" w:space="0" w:color="auto"/>
              <w:left w:val="single" w:sz="4" w:space="0" w:color="auto"/>
              <w:bottom w:val="single" w:sz="4" w:space="0" w:color="auto"/>
              <w:right w:val="single" w:sz="4" w:space="0" w:color="auto"/>
            </w:tcBorders>
            <w:hideMark/>
          </w:tcPr>
          <w:p w14:paraId="6E6B8B15" w14:textId="77777777" w:rsidR="00AB58B8" w:rsidRDefault="00AB58B8">
            <w:pPr>
              <w:jc w:val="center"/>
            </w:pPr>
            <w:r>
              <w:t>777</w:t>
            </w:r>
          </w:p>
        </w:tc>
      </w:tr>
      <w:tr w:rsidR="00AB58B8" w14:paraId="6E6B8B19" w14:textId="77777777" w:rsidTr="00AB58B8">
        <w:trPr>
          <w:jc w:val="center"/>
        </w:trPr>
        <w:tc>
          <w:tcPr>
            <w:tcW w:w="3256" w:type="dxa"/>
            <w:tcBorders>
              <w:top w:val="single" w:sz="4" w:space="0" w:color="auto"/>
              <w:left w:val="single" w:sz="4" w:space="0" w:color="auto"/>
              <w:bottom w:val="single" w:sz="4" w:space="0" w:color="auto"/>
              <w:right w:val="single" w:sz="4" w:space="0" w:color="auto"/>
            </w:tcBorders>
            <w:hideMark/>
          </w:tcPr>
          <w:p w14:paraId="6E6B8B17" w14:textId="77777777" w:rsidR="00AB58B8" w:rsidRDefault="00AB58B8">
            <w:pPr>
              <w:jc w:val="both"/>
            </w:pPr>
            <w:r>
              <w:t>Tarija</w:t>
            </w:r>
          </w:p>
        </w:tc>
        <w:tc>
          <w:tcPr>
            <w:tcW w:w="2278" w:type="dxa"/>
            <w:tcBorders>
              <w:top w:val="single" w:sz="4" w:space="0" w:color="auto"/>
              <w:left w:val="single" w:sz="4" w:space="0" w:color="auto"/>
              <w:bottom w:val="single" w:sz="4" w:space="0" w:color="auto"/>
              <w:right w:val="single" w:sz="4" w:space="0" w:color="auto"/>
            </w:tcBorders>
            <w:hideMark/>
          </w:tcPr>
          <w:p w14:paraId="6E6B8B18" w14:textId="77777777" w:rsidR="00AB58B8" w:rsidRDefault="00AB58B8">
            <w:pPr>
              <w:jc w:val="center"/>
            </w:pPr>
            <w:r>
              <w:t>519</w:t>
            </w:r>
          </w:p>
        </w:tc>
      </w:tr>
      <w:tr w:rsidR="00AB58B8" w14:paraId="6E6B8B1C" w14:textId="77777777" w:rsidTr="00AB58B8">
        <w:trPr>
          <w:jc w:val="center"/>
        </w:trPr>
        <w:tc>
          <w:tcPr>
            <w:tcW w:w="3256" w:type="dxa"/>
            <w:tcBorders>
              <w:top w:val="single" w:sz="4" w:space="0" w:color="auto"/>
              <w:left w:val="single" w:sz="4" w:space="0" w:color="auto"/>
              <w:bottom w:val="single" w:sz="4" w:space="0" w:color="auto"/>
              <w:right w:val="single" w:sz="4" w:space="0" w:color="auto"/>
            </w:tcBorders>
            <w:hideMark/>
          </w:tcPr>
          <w:p w14:paraId="6E6B8B1A" w14:textId="77777777" w:rsidR="00AB58B8" w:rsidRDefault="00AB58B8">
            <w:pPr>
              <w:jc w:val="both"/>
            </w:pPr>
            <w:r>
              <w:t>Santa Cruz</w:t>
            </w:r>
          </w:p>
        </w:tc>
        <w:tc>
          <w:tcPr>
            <w:tcW w:w="2278" w:type="dxa"/>
            <w:tcBorders>
              <w:top w:val="single" w:sz="4" w:space="0" w:color="auto"/>
              <w:left w:val="single" w:sz="4" w:space="0" w:color="auto"/>
              <w:bottom w:val="single" w:sz="4" w:space="0" w:color="auto"/>
              <w:right w:val="single" w:sz="4" w:space="0" w:color="auto"/>
            </w:tcBorders>
            <w:hideMark/>
          </w:tcPr>
          <w:p w14:paraId="6E6B8B1B" w14:textId="77777777" w:rsidR="00AB58B8" w:rsidRDefault="00AB58B8">
            <w:pPr>
              <w:jc w:val="center"/>
            </w:pPr>
            <w:r>
              <w:t>1,688</w:t>
            </w:r>
          </w:p>
        </w:tc>
      </w:tr>
      <w:tr w:rsidR="00AB58B8" w14:paraId="6E6B8B1F" w14:textId="77777777" w:rsidTr="00AB58B8">
        <w:trPr>
          <w:jc w:val="center"/>
        </w:trPr>
        <w:tc>
          <w:tcPr>
            <w:tcW w:w="3256" w:type="dxa"/>
            <w:tcBorders>
              <w:top w:val="single" w:sz="4" w:space="0" w:color="auto"/>
              <w:left w:val="single" w:sz="4" w:space="0" w:color="auto"/>
              <w:bottom w:val="single" w:sz="4" w:space="0" w:color="auto"/>
              <w:right w:val="single" w:sz="4" w:space="0" w:color="auto"/>
            </w:tcBorders>
            <w:hideMark/>
          </w:tcPr>
          <w:p w14:paraId="6E6B8B1D" w14:textId="77777777" w:rsidR="00AB58B8" w:rsidRDefault="00AB58B8">
            <w:pPr>
              <w:jc w:val="both"/>
            </w:pPr>
            <w:r>
              <w:t>Beni</w:t>
            </w:r>
          </w:p>
        </w:tc>
        <w:tc>
          <w:tcPr>
            <w:tcW w:w="2278" w:type="dxa"/>
            <w:tcBorders>
              <w:top w:val="single" w:sz="4" w:space="0" w:color="auto"/>
              <w:left w:val="single" w:sz="4" w:space="0" w:color="auto"/>
              <w:bottom w:val="single" w:sz="4" w:space="0" w:color="auto"/>
              <w:right w:val="single" w:sz="4" w:space="0" w:color="auto"/>
            </w:tcBorders>
            <w:hideMark/>
          </w:tcPr>
          <w:p w14:paraId="6E6B8B1E" w14:textId="77777777" w:rsidR="00AB58B8" w:rsidRDefault="00AB58B8">
            <w:pPr>
              <w:jc w:val="center"/>
            </w:pPr>
            <w:r>
              <w:t>343</w:t>
            </w:r>
          </w:p>
        </w:tc>
      </w:tr>
      <w:tr w:rsidR="00AB58B8" w14:paraId="6E6B8B22" w14:textId="77777777" w:rsidTr="00AB58B8">
        <w:trPr>
          <w:jc w:val="center"/>
        </w:trPr>
        <w:tc>
          <w:tcPr>
            <w:tcW w:w="3256" w:type="dxa"/>
            <w:tcBorders>
              <w:top w:val="single" w:sz="4" w:space="0" w:color="auto"/>
              <w:left w:val="single" w:sz="4" w:space="0" w:color="auto"/>
              <w:bottom w:val="single" w:sz="4" w:space="0" w:color="auto"/>
              <w:right w:val="single" w:sz="4" w:space="0" w:color="auto"/>
            </w:tcBorders>
            <w:hideMark/>
          </w:tcPr>
          <w:p w14:paraId="6E6B8B20" w14:textId="77777777" w:rsidR="00AB58B8" w:rsidRDefault="00AB58B8">
            <w:pPr>
              <w:jc w:val="both"/>
            </w:pPr>
            <w:r>
              <w:t>Pando</w:t>
            </w:r>
          </w:p>
        </w:tc>
        <w:tc>
          <w:tcPr>
            <w:tcW w:w="2278" w:type="dxa"/>
            <w:tcBorders>
              <w:top w:val="single" w:sz="4" w:space="0" w:color="auto"/>
              <w:left w:val="single" w:sz="4" w:space="0" w:color="auto"/>
              <w:bottom w:val="single" w:sz="4" w:space="0" w:color="auto"/>
              <w:right w:val="single" w:sz="4" w:space="0" w:color="auto"/>
            </w:tcBorders>
            <w:hideMark/>
          </w:tcPr>
          <w:p w14:paraId="6E6B8B21" w14:textId="77777777" w:rsidR="00AB58B8" w:rsidRDefault="00AB58B8">
            <w:pPr>
              <w:jc w:val="center"/>
            </w:pPr>
            <w:r>
              <w:t>173</w:t>
            </w:r>
          </w:p>
        </w:tc>
      </w:tr>
      <w:tr w:rsidR="00AB58B8" w14:paraId="6E6B8B25" w14:textId="77777777" w:rsidTr="00AB58B8">
        <w:trPr>
          <w:jc w:val="center"/>
        </w:trPr>
        <w:tc>
          <w:tcPr>
            <w:tcW w:w="3256" w:type="dxa"/>
            <w:tcBorders>
              <w:top w:val="single" w:sz="4" w:space="0" w:color="auto"/>
              <w:left w:val="single" w:sz="4" w:space="0" w:color="auto"/>
              <w:bottom w:val="single" w:sz="4" w:space="0" w:color="auto"/>
              <w:right w:val="single" w:sz="4" w:space="0" w:color="auto"/>
            </w:tcBorders>
            <w:hideMark/>
          </w:tcPr>
          <w:p w14:paraId="6E6B8B23" w14:textId="77777777" w:rsidR="00AB58B8" w:rsidRDefault="00AB58B8">
            <w:pPr>
              <w:jc w:val="both"/>
            </w:pPr>
            <w:r>
              <w:t>Exterior</w:t>
            </w:r>
          </w:p>
        </w:tc>
        <w:tc>
          <w:tcPr>
            <w:tcW w:w="2278" w:type="dxa"/>
            <w:tcBorders>
              <w:top w:val="single" w:sz="4" w:space="0" w:color="auto"/>
              <w:left w:val="single" w:sz="4" w:space="0" w:color="auto"/>
              <w:bottom w:val="single" w:sz="4" w:space="0" w:color="auto"/>
              <w:right w:val="single" w:sz="4" w:space="0" w:color="auto"/>
            </w:tcBorders>
            <w:hideMark/>
          </w:tcPr>
          <w:p w14:paraId="6E6B8B24" w14:textId="77777777" w:rsidR="00AB58B8" w:rsidRDefault="00AB58B8">
            <w:pPr>
              <w:jc w:val="center"/>
            </w:pPr>
            <w:r>
              <w:t>283</w:t>
            </w:r>
          </w:p>
        </w:tc>
      </w:tr>
      <w:tr w:rsidR="00AB58B8" w14:paraId="6E6B8B28" w14:textId="77777777" w:rsidTr="00AB58B8">
        <w:trPr>
          <w:jc w:val="center"/>
        </w:trPr>
        <w:tc>
          <w:tcPr>
            <w:tcW w:w="3256" w:type="dxa"/>
            <w:tcBorders>
              <w:top w:val="single" w:sz="4" w:space="0" w:color="auto"/>
              <w:left w:val="single" w:sz="4" w:space="0" w:color="auto"/>
              <w:bottom w:val="single" w:sz="4" w:space="0" w:color="auto"/>
              <w:right w:val="single" w:sz="4" w:space="0" w:color="auto"/>
            </w:tcBorders>
            <w:hideMark/>
          </w:tcPr>
          <w:p w14:paraId="6E6B8B26" w14:textId="77777777" w:rsidR="00AB58B8" w:rsidRDefault="00AB58B8">
            <w:pPr>
              <w:jc w:val="both"/>
            </w:pPr>
            <w:r>
              <w:t>Total</w:t>
            </w:r>
          </w:p>
        </w:tc>
        <w:tc>
          <w:tcPr>
            <w:tcW w:w="2278" w:type="dxa"/>
            <w:tcBorders>
              <w:top w:val="single" w:sz="4" w:space="0" w:color="auto"/>
              <w:left w:val="single" w:sz="4" w:space="0" w:color="auto"/>
              <w:bottom w:val="single" w:sz="4" w:space="0" w:color="auto"/>
              <w:right w:val="single" w:sz="4" w:space="0" w:color="auto"/>
            </w:tcBorders>
            <w:hideMark/>
          </w:tcPr>
          <w:p w14:paraId="6E6B8B27" w14:textId="77777777" w:rsidR="00AB58B8" w:rsidRDefault="00AB58B8">
            <w:pPr>
              <w:jc w:val="center"/>
            </w:pPr>
            <w:r>
              <w:t>8.136</w:t>
            </w:r>
          </w:p>
        </w:tc>
      </w:tr>
    </w:tbl>
    <w:p w14:paraId="6E6B8B29" w14:textId="77777777" w:rsidR="00AB58B8" w:rsidRDefault="00AB58B8" w:rsidP="00AB58B8">
      <w:pPr>
        <w:jc w:val="both"/>
        <w:rPr>
          <w:sz w:val="22"/>
          <w:szCs w:val="22"/>
        </w:rPr>
      </w:pPr>
    </w:p>
    <w:p w14:paraId="6E6B8B2A" w14:textId="77777777" w:rsidR="00AB58B8" w:rsidRDefault="00AB58B8" w:rsidP="00AB58B8">
      <w:pPr>
        <w:jc w:val="both"/>
        <w:rPr>
          <w:b/>
          <w:bCs/>
          <w:sz w:val="22"/>
          <w:szCs w:val="22"/>
        </w:rPr>
      </w:pPr>
    </w:p>
    <w:p w14:paraId="6E6B8B2B" w14:textId="77777777" w:rsidR="00AB58B8" w:rsidRDefault="00AB58B8" w:rsidP="00AB58B8">
      <w:pPr>
        <w:pStyle w:val="ListParagraph"/>
        <w:numPr>
          <w:ilvl w:val="0"/>
          <w:numId w:val="4"/>
        </w:numPr>
        <w:rPr>
          <w:b/>
          <w:bCs/>
          <w:sz w:val="22"/>
          <w:szCs w:val="22"/>
        </w:rPr>
      </w:pPr>
      <w:r>
        <w:rPr>
          <w:b/>
          <w:bCs/>
          <w:sz w:val="22"/>
          <w:szCs w:val="22"/>
        </w:rPr>
        <w:t>Aspectos observados durante el proceso electoral</w:t>
      </w:r>
    </w:p>
    <w:p w14:paraId="6E6B8B2C" w14:textId="77777777" w:rsidR="00AB58B8" w:rsidRDefault="00AB58B8" w:rsidP="00AB58B8">
      <w:pPr>
        <w:jc w:val="both"/>
        <w:rPr>
          <w:sz w:val="22"/>
          <w:szCs w:val="22"/>
        </w:rPr>
      </w:pPr>
    </w:p>
    <w:p w14:paraId="6E6B8B2D" w14:textId="77777777" w:rsidR="00AB58B8" w:rsidRDefault="00AB58B8" w:rsidP="00AB58B8">
      <w:pPr>
        <w:jc w:val="both"/>
        <w:rPr>
          <w:bCs/>
          <w:i/>
          <w:sz w:val="22"/>
          <w:szCs w:val="22"/>
          <w:u w:val="single"/>
        </w:rPr>
      </w:pPr>
      <w:r>
        <w:rPr>
          <w:bCs/>
          <w:i/>
          <w:sz w:val="22"/>
          <w:szCs w:val="22"/>
          <w:u w:val="single"/>
        </w:rPr>
        <w:t>Institucionalidad electoral</w:t>
      </w:r>
    </w:p>
    <w:p w14:paraId="6E6B8B2E" w14:textId="77777777" w:rsidR="00AB58B8" w:rsidRDefault="00AB58B8" w:rsidP="00AB58B8">
      <w:pPr>
        <w:jc w:val="both"/>
        <w:rPr>
          <w:bCs/>
          <w:i/>
          <w:sz w:val="22"/>
          <w:szCs w:val="22"/>
          <w:u w:val="single"/>
        </w:rPr>
      </w:pPr>
    </w:p>
    <w:p w14:paraId="6E6B8B2F" w14:textId="77777777" w:rsidR="00AB58B8" w:rsidRDefault="00AB58B8" w:rsidP="00AB58B8">
      <w:pPr>
        <w:spacing w:after="160" w:line="276" w:lineRule="auto"/>
        <w:jc w:val="both"/>
        <w:rPr>
          <w:rFonts w:ascii="Calibri" w:hAnsi="Calibri" w:cs="Calibri"/>
          <w:color w:val="000000"/>
          <w:sz w:val="22"/>
          <w:szCs w:val="22"/>
        </w:rPr>
      </w:pPr>
      <w:r>
        <w:rPr>
          <w:sz w:val="22"/>
          <w:szCs w:val="22"/>
        </w:rPr>
        <w:t xml:space="preserve">La Misión observó que, en el año anterior a la elección, tuvieron lugar cambios significativos en la composición del Órgano Electoral, así como en su estructura interna.  El 1 de octubre de 2018, luego de convocadas las primarias para la elección de los binomios presidenciales, </w:t>
      </w:r>
      <w:r>
        <w:rPr>
          <w:rFonts w:ascii="Calibri" w:hAnsi="Calibri" w:cs="Calibri"/>
          <w:color w:val="000000"/>
          <w:sz w:val="22"/>
          <w:szCs w:val="22"/>
        </w:rPr>
        <w:t>José Luis Exeni, vicepresidente del TSE, renunció a su cargo aduciendo motivos de salud. Posteriormente</w:t>
      </w:r>
      <w:r>
        <w:rPr>
          <w:rFonts w:ascii="Calibri" w:hAnsi="Calibri" w:cs="Calibri"/>
          <w:color w:val="000000"/>
          <w:sz w:val="22"/>
          <w:szCs w:val="22"/>
          <w:bdr w:val="none" w:sz="0" w:space="0" w:color="auto" w:frame="1"/>
          <w:lang w:val="es-AR"/>
        </w:rPr>
        <w:t xml:space="preserve">, el 22 de octubre, se produjo la renuncia de Katia Uriona, presidenta del tribunal. </w:t>
      </w:r>
      <w:r>
        <w:rPr>
          <w:rFonts w:ascii="Calibri" w:hAnsi="Calibri" w:cs="Calibri"/>
          <w:color w:val="000000"/>
          <w:sz w:val="22"/>
          <w:szCs w:val="22"/>
        </w:rPr>
        <w:t xml:space="preserve">Mediante una carta dirigida a la Asamblea </w:t>
      </w:r>
      <w:r>
        <w:rPr>
          <w:rFonts w:ascii="Calibri" w:hAnsi="Calibri" w:cs="Calibri"/>
          <w:color w:val="000000"/>
          <w:sz w:val="22"/>
          <w:szCs w:val="22"/>
        </w:rPr>
        <w:lastRenderedPageBreak/>
        <w:t>Legislativa Plurinacional (ALP), Uriona explicó que su alejamiento se debió a la situación de estancamiento en la toma de decisiones referidas a temas fundamentales</w:t>
      </w:r>
      <w:r>
        <w:rPr>
          <w:rStyle w:val="FootnoteReference"/>
          <w:rFonts w:ascii="Calibri" w:hAnsi="Calibri" w:cs="Calibri"/>
          <w:color w:val="000000"/>
          <w:sz w:val="22"/>
          <w:szCs w:val="22"/>
        </w:rPr>
        <w:footnoteReference w:id="10"/>
      </w:r>
      <w:r>
        <w:rPr>
          <w:rFonts w:ascii="Calibri" w:hAnsi="Calibri" w:cs="Calibri"/>
          <w:color w:val="000000"/>
          <w:sz w:val="22"/>
          <w:szCs w:val="22"/>
        </w:rPr>
        <w:t xml:space="preserve">. </w:t>
      </w:r>
    </w:p>
    <w:p w14:paraId="6E6B8B30" w14:textId="77777777" w:rsidR="00AB58B8" w:rsidRDefault="00AB58B8" w:rsidP="00AB58B8">
      <w:pPr>
        <w:spacing w:after="160" w:line="276" w:lineRule="auto"/>
        <w:jc w:val="both"/>
        <w:rPr>
          <w:rFonts w:ascii="Calibri" w:hAnsi="Calibri" w:cs="Calibri"/>
          <w:color w:val="000000"/>
          <w:sz w:val="22"/>
          <w:szCs w:val="22"/>
        </w:rPr>
      </w:pPr>
      <w:r>
        <w:rPr>
          <w:rFonts w:ascii="Calibri" w:hAnsi="Calibri" w:cs="Calibri"/>
          <w:color w:val="000000"/>
          <w:sz w:val="22"/>
          <w:szCs w:val="22"/>
        </w:rPr>
        <w:t>Dos días después de la celebración de las primarias, el 30 de enero de 2019, el TSE sufrió una nueva dimisión. La vocal Dunia Sandoval presentó su renuncia, manifestando su disentimiento con algunas de las decisiones que había tomado el pleno del tribunal. Cabe destacar que, a la fecha de la elección, la vocal Sándoval no había sido reemplazada.</w:t>
      </w:r>
    </w:p>
    <w:p w14:paraId="6E6B8B31" w14:textId="77777777" w:rsidR="00AB58B8" w:rsidRDefault="00AB58B8" w:rsidP="00AB58B8">
      <w:pPr>
        <w:spacing w:after="160" w:line="276" w:lineRule="auto"/>
        <w:jc w:val="both"/>
        <w:rPr>
          <w:rFonts w:ascii="Calibri" w:hAnsi="Calibri"/>
          <w:sz w:val="22"/>
          <w:szCs w:val="22"/>
          <w:lang w:val="es-ES"/>
        </w:rPr>
      </w:pPr>
      <w:r>
        <w:rPr>
          <w:rFonts w:ascii="Calibri" w:hAnsi="Calibri"/>
          <w:sz w:val="22"/>
          <w:szCs w:val="22"/>
          <w:lang w:val="es-ES"/>
        </w:rPr>
        <w:t xml:space="preserve">Junto con las modificaciones en la integración del pleno del Tribunal tuvieron lugar cambios relevantes entre el personal del OEP. La Misión constató que, a comienzos del año electoral, se registraron una serie de despidos y renuncias entre quienes ocupaban puestos de dirección del órgano electoral. En la mayoría de los casos, las vacantes fueron cubiertas con personal que ya pertenecía a la institución. </w:t>
      </w:r>
    </w:p>
    <w:p w14:paraId="6E6B8B32" w14:textId="77777777" w:rsidR="00AB58B8" w:rsidRDefault="00AB58B8" w:rsidP="00AB58B8">
      <w:pPr>
        <w:spacing w:after="160" w:line="276" w:lineRule="auto"/>
        <w:jc w:val="both"/>
        <w:rPr>
          <w:rFonts w:ascii="Calibri" w:hAnsi="Calibri"/>
          <w:sz w:val="22"/>
          <w:szCs w:val="22"/>
          <w:lang w:val="es-ES"/>
        </w:rPr>
      </w:pPr>
      <w:r>
        <w:rPr>
          <w:rFonts w:ascii="Calibri" w:hAnsi="Calibri"/>
          <w:sz w:val="22"/>
          <w:szCs w:val="22"/>
          <w:lang w:val="es-ES"/>
        </w:rPr>
        <w:t>D</w:t>
      </w:r>
      <w:r>
        <w:rPr>
          <w:sz w:val="22"/>
          <w:szCs w:val="22"/>
        </w:rPr>
        <w:t>e acuerdo con la información de la Dirección Nacional de Administración del TSE, al 15 de octubre de 2019, el TSE tenía 220 personas activas y 33 puestos acéfalos. Entre los cargos no cubiertos se encontraban dos de las 9 direcciones del OEP.</w:t>
      </w:r>
    </w:p>
    <w:p w14:paraId="6E6B8B33" w14:textId="77777777" w:rsidR="00AB58B8" w:rsidRDefault="00AB58B8" w:rsidP="00AB58B8">
      <w:pPr>
        <w:jc w:val="center"/>
        <w:rPr>
          <w:b/>
          <w:bCs/>
          <w:sz w:val="22"/>
          <w:szCs w:val="22"/>
        </w:rPr>
      </w:pPr>
      <w:r>
        <w:rPr>
          <w:b/>
          <w:bCs/>
          <w:sz w:val="22"/>
          <w:szCs w:val="22"/>
        </w:rPr>
        <w:t>Tribunal Supremo Electoral</w:t>
      </w:r>
    </w:p>
    <w:p w14:paraId="6E6B8B34" w14:textId="77777777" w:rsidR="00AB58B8" w:rsidRDefault="00AB58B8" w:rsidP="00AB58B8">
      <w:pPr>
        <w:jc w:val="center"/>
        <w:rPr>
          <w:b/>
          <w:bCs/>
          <w:sz w:val="22"/>
          <w:szCs w:val="22"/>
        </w:rPr>
      </w:pPr>
      <w:r>
        <w:rPr>
          <w:b/>
          <w:bCs/>
          <w:sz w:val="22"/>
          <w:szCs w:val="22"/>
        </w:rPr>
        <w:t>Ocupación Al 15 De Octubre De 2019</w:t>
      </w:r>
    </w:p>
    <w:p w14:paraId="6E6B8B35" w14:textId="77777777" w:rsidR="00AB58B8" w:rsidRDefault="00AB58B8" w:rsidP="00AB58B8">
      <w:pPr>
        <w:jc w:val="center"/>
        <w:rPr>
          <w:b/>
          <w:bCs/>
          <w:sz w:val="22"/>
          <w:szCs w:val="22"/>
        </w:rPr>
      </w:pPr>
    </w:p>
    <w:tbl>
      <w:tblPr>
        <w:tblStyle w:val="TableGrid"/>
        <w:tblW w:w="8500" w:type="dxa"/>
        <w:jc w:val="center"/>
        <w:tblInd w:w="0" w:type="dxa"/>
        <w:tblLook w:val="04A0" w:firstRow="1" w:lastRow="0" w:firstColumn="1" w:lastColumn="0" w:noHBand="0" w:noVBand="1"/>
      </w:tblPr>
      <w:tblGrid>
        <w:gridCol w:w="4531"/>
        <w:gridCol w:w="1275"/>
        <w:gridCol w:w="1276"/>
        <w:gridCol w:w="1418"/>
      </w:tblGrid>
      <w:tr w:rsidR="00AB58B8" w14:paraId="6E6B8B3A"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6B8B36" w14:textId="77777777" w:rsidR="00AB58B8" w:rsidRDefault="00AB58B8">
            <w:pPr>
              <w:jc w:val="center"/>
              <w:rPr>
                <w:b/>
                <w:bCs/>
                <w:sz w:val="20"/>
                <w:szCs w:val="20"/>
              </w:rPr>
            </w:pPr>
            <w:r>
              <w:rPr>
                <w:b/>
                <w:bCs/>
                <w:sz w:val="20"/>
                <w:szCs w:val="20"/>
              </w:rPr>
              <w:t>Estructura</w:t>
            </w:r>
          </w:p>
        </w:tc>
        <w:tc>
          <w:tcPr>
            <w:tcW w:w="1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6B8B37" w14:textId="77777777" w:rsidR="00AB58B8" w:rsidRDefault="00AB58B8">
            <w:pPr>
              <w:jc w:val="center"/>
              <w:rPr>
                <w:b/>
                <w:bCs/>
                <w:sz w:val="20"/>
                <w:szCs w:val="20"/>
              </w:rPr>
            </w:pPr>
            <w:r>
              <w:rPr>
                <w:b/>
                <w:bCs/>
                <w:sz w:val="20"/>
                <w:szCs w:val="20"/>
              </w:rPr>
              <w:t>Activo</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6B8B38" w14:textId="77777777" w:rsidR="00AB58B8" w:rsidRDefault="00AB58B8">
            <w:pPr>
              <w:jc w:val="center"/>
              <w:rPr>
                <w:b/>
                <w:bCs/>
                <w:sz w:val="20"/>
                <w:szCs w:val="20"/>
              </w:rPr>
            </w:pPr>
            <w:r>
              <w:rPr>
                <w:b/>
                <w:bCs/>
                <w:sz w:val="20"/>
                <w:szCs w:val="20"/>
              </w:rPr>
              <w:t>Acéfala</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6B8B39" w14:textId="77777777" w:rsidR="00AB58B8" w:rsidRDefault="00AB58B8">
            <w:pPr>
              <w:jc w:val="center"/>
              <w:rPr>
                <w:b/>
                <w:bCs/>
                <w:sz w:val="20"/>
                <w:szCs w:val="20"/>
              </w:rPr>
            </w:pPr>
            <w:r>
              <w:rPr>
                <w:b/>
                <w:bCs/>
                <w:sz w:val="20"/>
                <w:szCs w:val="20"/>
              </w:rPr>
              <w:t>Total</w:t>
            </w:r>
          </w:p>
        </w:tc>
      </w:tr>
      <w:tr w:rsidR="00AB58B8" w14:paraId="6E6B8B3F"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hideMark/>
          </w:tcPr>
          <w:p w14:paraId="6E6B8B3B" w14:textId="77777777" w:rsidR="00AB58B8" w:rsidRDefault="00AB58B8">
            <w:pPr>
              <w:jc w:val="both"/>
              <w:rPr>
                <w:b/>
                <w:bCs/>
                <w:sz w:val="20"/>
                <w:szCs w:val="20"/>
              </w:rPr>
            </w:pPr>
            <w:r>
              <w:rPr>
                <w:b/>
                <w:bCs/>
                <w:sz w:val="20"/>
                <w:szCs w:val="20"/>
              </w:rPr>
              <w:t>TSE</w:t>
            </w:r>
          </w:p>
        </w:tc>
        <w:tc>
          <w:tcPr>
            <w:tcW w:w="1275" w:type="dxa"/>
            <w:tcBorders>
              <w:top w:val="single" w:sz="4" w:space="0" w:color="auto"/>
              <w:left w:val="single" w:sz="4" w:space="0" w:color="auto"/>
              <w:bottom w:val="single" w:sz="4" w:space="0" w:color="auto"/>
              <w:right w:val="single" w:sz="4" w:space="0" w:color="auto"/>
            </w:tcBorders>
            <w:hideMark/>
          </w:tcPr>
          <w:p w14:paraId="6E6B8B3C" w14:textId="77777777" w:rsidR="00AB58B8" w:rsidRDefault="00AB58B8">
            <w:pPr>
              <w:jc w:val="center"/>
              <w:rPr>
                <w:b/>
                <w:bCs/>
                <w:sz w:val="20"/>
                <w:szCs w:val="20"/>
              </w:rPr>
            </w:pPr>
            <w:r>
              <w:rPr>
                <w:b/>
                <w:bCs/>
                <w:sz w:val="20"/>
                <w:szCs w:val="20"/>
              </w:rPr>
              <w:t>220</w:t>
            </w:r>
          </w:p>
        </w:tc>
        <w:tc>
          <w:tcPr>
            <w:tcW w:w="1276" w:type="dxa"/>
            <w:tcBorders>
              <w:top w:val="single" w:sz="4" w:space="0" w:color="auto"/>
              <w:left w:val="single" w:sz="4" w:space="0" w:color="auto"/>
              <w:bottom w:val="single" w:sz="4" w:space="0" w:color="auto"/>
              <w:right w:val="single" w:sz="4" w:space="0" w:color="auto"/>
            </w:tcBorders>
            <w:hideMark/>
          </w:tcPr>
          <w:p w14:paraId="6E6B8B3D" w14:textId="77777777" w:rsidR="00AB58B8" w:rsidRDefault="00AB58B8">
            <w:pPr>
              <w:jc w:val="center"/>
              <w:rPr>
                <w:b/>
                <w:bCs/>
                <w:sz w:val="20"/>
                <w:szCs w:val="20"/>
              </w:rPr>
            </w:pPr>
            <w:r>
              <w:rPr>
                <w:b/>
                <w:bCs/>
                <w:sz w:val="20"/>
                <w:szCs w:val="20"/>
              </w:rPr>
              <w:t>33</w:t>
            </w:r>
          </w:p>
        </w:tc>
        <w:tc>
          <w:tcPr>
            <w:tcW w:w="1418" w:type="dxa"/>
            <w:tcBorders>
              <w:top w:val="single" w:sz="4" w:space="0" w:color="auto"/>
              <w:left w:val="single" w:sz="4" w:space="0" w:color="auto"/>
              <w:bottom w:val="single" w:sz="4" w:space="0" w:color="auto"/>
              <w:right w:val="single" w:sz="4" w:space="0" w:color="auto"/>
            </w:tcBorders>
            <w:hideMark/>
          </w:tcPr>
          <w:p w14:paraId="6E6B8B3E" w14:textId="77777777" w:rsidR="00AB58B8" w:rsidRDefault="00AB58B8">
            <w:pPr>
              <w:jc w:val="center"/>
              <w:rPr>
                <w:b/>
                <w:bCs/>
                <w:sz w:val="20"/>
                <w:szCs w:val="20"/>
              </w:rPr>
            </w:pPr>
            <w:r>
              <w:rPr>
                <w:b/>
                <w:bCs/>
                <w:sz w:val="20"/>
                <w:szCs w:val="20"/>
              </w:rPr>
              <w:t>253</w:t>
            </w:r>
          </w:p>
        </w:tc>
      </w:tr>
      <w:tr w:rsidR="00AB58B8" w14:paraId="6E6B8B44"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hideMark/>
          </w:tcPr>
          <w:p w14:paraId="6E6B8B40" w14:textId="77777777" w:rsidR="00AB58B8" w:rsidRDefault="00AB58B8">
            <w:pPr>
              <w:jc w:val="both"/>
              <w:rPr>
                <w:sz w:val="20"/>
                <w:szCs w:val="20"/>
              </w:rPr>
            </w:pPr>
            <w:r>
              <w:rPr>
                <w:sz w:val="20"/>
                <w:szCs w:val="20"/>
              </w:rPr>
              <w:t>SALA PLENA VOCALES</w:t>
            </w:r>
          </w:p>
        </w:tc>
        <w:tc>
          <w:tcPr>
            <w:tcW w:w="1275" w:type="dxa"/>
            <w:tcBorders>
              <w:top w:val="single" w:sz="4" w:space="0" w:color="auto"/>
              <w:left w:val="single" w:sz="4" w:space="0" w:color="auto"/>
              <w:bottom w:val="single" w:sz="4" w:space="0" w:color="auto"/>
              <w:right w:val="single" w:sz="4" w:space="0" w:color="auto"/>
            </w:tcBorders>
            <w:hideMark/>
          </w:tcPr>
          <w:p w14:paraId="6E6B8B41" w14:textId="77777777" w:rsidR="00AB58B8" w:rsidRDefault="00AB58B8">
            <w:pPr>
              <w:jc w:val="center"/>
              <w:rPr>
                <w:sz w:val="20"/>
                <w:szCs w:val="20"/>
              </w:rPr>
            </w:pPr>
            <w:r>
              <w:rPr>
                <w:sz w:val="20"/>
                <w:szCs w:val="20"/>
              </w:rPr>
              <w:t>6</w:t>
            </w:r>
          </w:p>
        </w:tc>
        <w:tc>
          <w:tcPr>
            <w:tcW w:w="1276" w:type="dxa"/>
            <w:tcBorders>
              <w:top w:val="single" w:sz="4" w:space="0" w:color="auto"/>
              <w:left w:val="single" w:sz="4" w:space="0" w:color="auto"/>
              <w:bottom w:val="single" w:sz="4" w:space="0" w:color="auto"/>
              <w:right w:val="single" w:sz="4" w:space="0" w:color="auto"/>
            </w:tcBorders>
            <w:hideMark/>
          </w:tcPr>
          <w:p w14:paraId="6E6B8B42" w14:textId="77777777" w:rsidR="00AB58B8" w:rsidRDefault="00AB58B8">
            <w:pPr>
              <w:jc w:val="center"/>
              <w:rPr>
                <w:sz w:val="20"/>
                <w:szCs w:val="20"/>
              </w:rPr>
            </w:pPr>
            <w:r>
              <w:rPr>
                <w:sz w:val="20"/>
                <w:szCs w:val="20"/>
              </w:rPr>
              <w:t>1</w:t>
            </w:r>
          </w:p>
        </w:tc>
        <w:tc>
          <w:tcPr>
            <w:tcW w:w="1418" w:type="dxa"/>
            <w:tcBorders>
              <w:top w:val="single" w:sz="4" w:space="0" w:color="auto"/>
              <w:left w:val="single" w:sz="4" w:space="0" w:color="auto"/>
              <w:bottom w:val="single" w:sz="4" w:space="0" w:color="auto"/>
              <w:right w:val="single" w:sz="4" w:space="0" w:color="auto"/>
            </w:tcBorders>
            <w:hideMark/>
          </w:tcPr>
          <w:p w14:paraId="6E6B8B43" w14:textId="77777777" w:rsidR="00AB58B8" w:rsidRDefault="00AB58B8">
            <w:pPr>
              <w:jc w:val="center"/>
              <w:rPr>
                <w:sz w:val="20"/>
                <w:szCs w:val="20"/>
              </w:rPr>
            </w:pPr>
            <w:r>
              <w:rPr>
                <w:sz w:val="20"/>
                <w:szCs w:val="20"/>
              </w:rPr>
              <w:t>7</w:t>
            </w:r>
          </w:p>
        </w:tc>
      </w:tr>
      <w:tr w:rsidR="00AB58B8" w14:paraId="6E6B8B49"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hideMark/>
          </w:tcPr>
          <w:p w14:paraId="6E6B8B45" w14:textId="77777777" w:rsidR="00AB58B8" w:rsidRDefault="00AB58B8">
            <w:pPr>
              <w:jc w:val="both"/>
              <w:rPr>
                <w:sz w:val="20"/>
                <w:szCs w:val="20"/>
              </w:rPr>
            </w:pPr>
            <w:r>
              <w:rPr>
                <w:sz w:val="20"/>
                <w:szCs w:val="20"/>
              </w:rPr>
              <w:t>SALA PLENA (APOYO)</w:t>
            </w:r>
          </w:p>
        </w:tc>
        <w:tc>
          <w:tcPr>
            <w:tcW w:w="1275" w:type="dxa"/>
            <w:tcBorders>
              <w:top w:val="single" w:sz="4" w:space="0" w:color="auto"/>
              <w:left w:val="single" w:sz="4" w:space="0" w:color="auto"/>
              <w:bottom w:val="single" w:sz="4" w:space="0" w:color="auto"/>
              <w:right w:val="single" w:sz="4" w:space="0" w:color="auto"/>
            </w:tcBorders>
            <w:hideMark/>
          </w:tcPr>
          <w:p w14:paraId="6E6B8B46" w14:textId="77777777" w:rsidR="00AB58B8" w:rsidRDefault="00AB58B8">
            <w:pPr>
              <w:jc w:val="center"/>
              <w:rPr>
                <w:sz w:val="20"/>
                <w:szCs w:val="20"/>
              </w:rPr>
            </w:pPr>
            <w:r>
              <w:rPr>
                <w:sz w:val="20"/>
                <w:szCs w:val="20"/>
              </w:rPr>
              <w:t>24</w:t>
            </w:r>
          </w:p>
        </w:tc>
        <w:tc>
          <w:tcPr>
            <w:tcW w:w="1276" w:type="dxa"/>
            <w:tcBorders>
              <w:top w:val="single" w:sz="4" w:space="0" w:color="auto"/>
              <w:left w:val="single" w:sz="4" w:space="0" w:color="auto"/>
              <w:bottom w:val="single" w:sz="4" w:space="0" w:color="auto"/>
              <w:right w:val="single" w:sz="4" w:space="0" w:color="auto"/>
            </w:tcBorders>
            <w:hideMark/>
          </w:tcPr>
          <w:p w14:paraId="6E6B8B47" w14:textId="77777777" w:rsidR="00AB58B8" w:rsidRDefault="00AB58B8">
            <w:pPr>
              <w:jc w:val="center"/>
              <w:rPr>
                <w:sz w:val="20"/>
                <w:szCs w:val="20"/>
              </w:rPr>
            </w:pPr>
            <w:r>
              <w:rPr>
                <w:sz w:val="20"/>
                <w:szCs w:val="20"/>
              </w:rPr>
              <w:t>2</w:t>
            </w:r>
          </w:p>
        </w:tc>
        <w:tc>
          <w:tcPr>
            <w:tcW w:w="1418" w:type="dxa"/>
            <w:tcBorders>
              <w:top w:val="single" w:sz="4" w:space="0" w:color="auto"/>
              <w:left w:val="single" w:sz="4" w:space="0" w:color="auto"/>
              <w:bottom w:val="single" w:sz="4" w:space="0" w:color="auto"/>
              <w:right w:val="single" w:sz="4" w:space="0" w:color="auto"/>
            </w:tcBorders>
            <w:hideMark/>
          </w:tcPr>
          <w:p w14:paraId="6E6B8B48" w14:textId="77777777" w:rsidR="00AB58B8" w:rsidRDefault="00AB58B8">
            <w:pPr>
              <w:jc w:val="center"/>
              <w:rPr>
                <w:sz w:val="20"/>
                <w:szCs w:val="20"/>
              </w:rPr>
            </w:pPr>
            <w:r>
              <w:rPr>
                <w:sz w:val="20"/>
                <w:szCs w:val="20"/>
              </w:rPr>
              <w:t>26</w:t>
            </w:r>
          </w:p>
        </w:tc>
      </w:tr>
      <w:tr w:rsidR="00AB58B8" w14:paraId="6E6B8B4E"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hideMark/>
          </w:tcPr>
          <w:p w14:paraId="6E6B8B4A" w14:textId="77777777" w:rsidR="00AB58B8" w:rsidRDefault="00AB58B8">
            <w:pPr>
              <w:jc w:val="both"/>
              <w:rPr>
                <w:sz w:val="20"/>
                <w:szCs w:val="20"/>
              </w:rPr>
            </w:pPr>
            <w:r>
              <w:rPr>
                <w:sz w:val="20"/>
                <w:szCs w:val="20"/>
              </w:rPr>
              <w:t>SECRETARÍA DE CÁMARA</w:t>
            </w:r>
          </w:p>
        </w:tc>
        <w:tc>
          <w:tcPr>
            <w:tcW w:w="1275" w:type="dxa"/>
            <w:tcBorders>
              <w:top w:val="single" w:sz="4" w:space="0" w:color="auto"/>
              <w:left w:val="single" w:sz="4" w:space="0" w:color="auto"/>
              <w:bottom w:val="single" w:sz="4" w:space="0" w:color="auto"/>
              <w:right w:val="single" w:sz="4" w:space="0" w:color="auto"/>
            </w:tcBorders>
            <w:hideMark/>
          </w:tcPr>
          <w:p w14:paraId="6E6B8B4B" w14:textId="77777777" w:rsidR="00AB58B8" w:rsidRDefault="00AB58B8">
            <w:pPr>
              <w:jc w:val="center"/>
              <w:rPr>
                <w:sz w:val="20"/>
                <w:szCs w:val="20"/>
              </w:rPr>
            </w:pPr>
            <w:r>
              <w:rPr>
                <w:sz w:val="20"/>
                <w:szCs w:val="20"/>
              </w:rPr>
              <w:t>11</w:t>
            </w:r>
          </w:p>
        </w:tc>
        <w:tc>
          <w:tcPr>
            <w:tcW w:w="1276" w:type="dxa"/>
            <w:tcBorders>
              <w:top w:val="single" w:sz="4" w:space="0" w:color="auto"/>
              <w:left w:val="single" w:sz="4" w:space="0" w:color="auto"/>
              <w:bottom w:val="single" w:sz="4" w:space="0" w:color="auto"/>
              <w:right w:val="single" w:sz="4" w:space="0" w:color="auto"/>
            </w:tcBorders>
            <w:hideMark/>
          </w:tcPr>
          <w:p w14:paraId="6E6B8B4C" w14:textId="77777777" w:rsidR="00AB58B8" w:rsidRDefault="00AB58B8">
            <w:pPr>
              <w:jc w:val="center"/>
              <w:rPr>
                <w:sz w:val="20"/>
                <w:szCs w:val="20"/>
              </w:rPr>
            </w:pPr>
            <w:r>
              <w:rPr>
                <w:sz w:val="20"/>
                <w:szCs w:val="20"/>
              </w:rPr>
              <w:t>3</w:t>
            </w:r>
          </w:p>
        </w:tc>
        <w:tc>
          <w:tcPr>
            <w:tcW w:w="1418" w:type="dxa"/>
            <w:tcBorders>
              <w:top w:val="single" w:sz="4" w:space="0" w:color="auto"/>
              <w:left w:val="single" w:sz="4" w:space="0" w:color="auto"/>
              <w:bottom w:val="single" w:sz="4" w:space="0" w:color="auto"/>
              <w:right w:val="single" w:sz="4" w:space="0" w:color="auto"/>
            </w:tcBorders>
            <w:hideMark/>
          </w:tcPr>
          <w:p w14:paraId="6E6B8B4D" w14:textId="77777777" w:rsidR="00AB58B8" w:rsidRDefault="00AB58B8">
            <w:pPr>
              <w:jc w:val="center"/>
              <w:rPr>
                <w:sz w:val="20"/>
                <w:szCs w:val="20"/>
              </w:rPr>
            </w:pPr>
            <w:r>
              <w:rPr>
                <w:sz w:val="20"/>
                <w:szCs w:val="20"/>
              </w:rPr>
              <w:t>14</w:t>
            </w:r>
          </w:p>
        </w:tc>
      </w:tr>
      <w:tr w:rsidR="00AB58B8" w14:paraId="6E6B8B53"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hideMark/>
          </w:tcPr>
          <w:p w14:paraId="6E6B8B4F" w14:textId="77777777" w:rsidR="00AB58B8" w:rsidRDefault="00AB58B8">
            <w:pPr>
              <w:jc w:val="both"/>
              <w:rPr>
                <w:sz w:val="20"/>
                <w:szCs w:val="20"/>
              </w:rPr>
            </w:pPr>
            <w:r>
              <w:rPr>
                <w:sz w:val="20"/>
                <w:szCs w:val="20"/>
              </w:rPr>
              <w:t>PROTOCOLO Y RELACIONES INTERNACIONALES</w:t>
            </w:r>
          </w:p>
        </w:tc>
        <w:tc>
          <w:tcPr>
            <w:tcW w:w="1275" w:type="dxa"/>
            <w:tcBorders>
              <w:top w:val="single" w:sz="4" w:space="0" w:color="auto"/>
              <w:left w:val="single" w:sz="4" w:space="0" w:color="auto"/>
              <w:bottom w:val="single" w:sz="4" w:space="0" w:color="auto"/>
              <w:right w:val="single" w:sz="4" w:space="0" w:color="auto"/>
            </w:tcBorders>
            <w:hideMark/>
          </w:tcPr>
          <w:p w14:paraId="6E6B8B50" w14:textId="77777777" w:rsidR="00AB58B8" w:rsidRDefault="00AB58B8">
            <w:pPr>
              <w:jc w:val="center"/>
              <w:rPr>
                <w:sz w:val="20"/>
                <w:szCs w:val="20"/>
              </w:rPr>
            </w:pPr>
            <w:r>
              <w:rPr>
                <w:sz w:val="20"/>
                <w:szCs w:val="20"/>
              </w:rPr>
              <w:t>2</w:t>
            </w:r>
          </w:p>
        </w:tc>
        <w:tc>
          <w:tcPr>
            <w:tcW w:w="1276" w:type="dxa"/>
            <w:tcBorders>
              <w:top w:val="single" w:sz="4" w:space="0" w:color="auto"/>
              <w:left w:val="single" w:sz="4" w:space="0" w:color="auto"/>
              <w:bottom w:val="single" w:sz="4" w:space="0" w:color="auto"/>
              <w:right w:val="single" w:sz="4" w:space="0" w:color="auto"/>
            </w:tcBorders>
          </w:tcPr>
          <w:p w14:paraId="6E6B8B51" w14:textId="77777777" w:rsidR="00AB58B8" w:rsidRDefault="00AB58B8">
            <w:pPr>
              <w:jc w:val="center"/>
              <w:rPr>
                <w:sz w:val="20"/>
                <w:szCs w:val="20"/>
              </w:rPr>
            </w:pPr>
          </w:p>
        </w:tc>
        <w:tc>
          <w:tcPr>
            <w:tcW w:w="1418" w:type="dxa"/>
            <w:tcBorders>
              <w:top w:val="single" w:sz="4" w:space="0" w:color="auto"/>
              <w:left w:val="single" w:sz="4" w:space="0" w:color="auto"/>
              <w:bottom w:val="single" w:sz="4" w:space="0" w:color="auto"/>
              <w:right w:val="single" w:sz="4" w:space="0" w:color="auto"/>
            </w:tcBorders>
            <w:hideMark/>
          </w:tcPr>
          <w:p w14:paraId="6E6B8B52" w14:textId="77777777" w:rsidR="00AB58B8" w:rsidRDefault="00AB58B8">
            <w:pPr>
              <w:jc w:val="center"/>
              <w:rPr>
                <w:sz w:val="20"/>
                <w:szCs w:val="20"/>
              </w:rPr>
            </w:pPr>
            <w:r>
              <w:rPr>
                <w:sz w:val="20"/>
                <w:szCs w:val="20"/>
              </w:rPr>
              <w:t>2</w:t>
            </w:r>
          </w:p>
        </w:tc>
      </w:tr>
      <w:tr w:rsidR="00AB58B8" w14:paraId="6E6B8B58"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hideMark/>
          </w:tcPr>
          <w:p w14:paraId="6E6B8B54" w14:textId="77777777" w:rsidR="00AB58B8" w:rsidRDefault="00AB58B8">
            <w:pPr>
              <w:jc w:val="both"/>
              <w:rPr>
                <w:sz w:val="20"/>
                <w:szCs w:val="20"/>
              </w:rPr>
            </w:pPr>
            <w:r>
              <w:rPr>
                <w:sz w:val="20"/>
                <w:szCs w:val="20"/>
              </w:rPr>
              <w:t>UNIDAD DE ARCHIVO GENERAL</w:t>
            </w:r>
          </w:p>
        </w:tc>
        <w:tc>
          <w:tcPr>
            <w:tcW w:w="1275" w:type="dxa"/>
            <w:tcBorders>
              <w:top w:val="single" w:sz="4" w:space="0" w:color="auto"/>
              <w:left w:val="single" w:sz="4" w:space="0" w:color="auto"/>
              <w:bottom w:val="single" w:sz="4" w:space="0" w:color="auto"/>
              <w:right w:val="single" w:sz="4" w:space="0" w:color="auto"/>
            </w:tcBorders>
            <w:hideMark/>
          </w:tcPr>
          <w:p w14:paraId="6E6B8B55" w14:textId="77777777" w:rsidR="00AB58B8" w:rsidRDefault="00AB58B8">
            <w:pPr>
              <w:jc w:val="center"/>
              <w:rPr>
                <w:sz w:val="20"/>
                <w:szCs w:val="20"/>
              </w:rPr>
            </w:pPr>
            <w:r>
              <w:rPr>
                <w:sz w:val="20"/>
                <w:szCs w:val="20"/>
              </w:rPr>
              <w:t>2</w:t>
            </w:r>
          </w:p>
        </w:tc>
        <w:tc>
          <w:tcPr>
            <w:tcW w:w="1276" w:type="dxa"/>
            <w:tcBorders>
              <w:top w:val="single" w:sz="4" w:space="0" w:color="auto"/>
              <w:left w:val="single" w:sz="4" w:space="0" w:color="auto"/>
              <w:bottom w:val="single" w:sz="4" w:space="0" w:color="auto"/>
              <w:right w:val="single" w:sz="4" w:space="0" w:color="auto"/>
            </w:tcBorders>
          </w:tcPr>
          <w:p w14:paraId="6E6B8B56" w14:textId="77777777" w:rsidR="00AB58B8" w:rsidRDefault="00AB58B8">
            <w:pPr>
              <w:jc w:val="center"/>
              <w:rPr>
                <w:sz w:val="20"/>
                <w:szCs w:val="20"/>
              </w:rPr>
            </w:pPr>
          </w:p>
        </w:tc>
        <w:tc>
          <w:tcPr>
            <w:tcW w:w="1418" w:type="dxa"/>
            <w:tcBorders>
              <w:top w:val="single" w:sz="4" w:space="0" w:color="auto"/>
              <w:left w:val="single" w:sz="4" w:space="0" w:color="auto"/>
              <w:bottom w:val="single" w:sz="4" w:space="0" w:color="auto"/>
              <w:right w:val="single" w:sz="4" w:space="0" w:color="auto"/>
            </w:tcBorders>
            <w:hideMark/>
          </w:tcPr>
          <w:p w14:paraId="6E6B8B57" w14:textId="77777777" w:rsidR="00AB58B8" w:rsidRDefault="00AB58B8">
            <w:pPr>
              <w:jc w:val="center"/>
              <w:rPr>
                <w:sz w:val="20"/>
                <w:szCs w:val="20"/>
              </w:rPr>
            </w:pPr>
            <w:r>
              <w:rPr>
                <w:sz w:val="20"/>
                <w:szCs w:val="20"/>
              </w:rPr>
              <w:t>2</w:t>
            </w:r>
          </w:p>
        </w:tc>
      </w:tr>
      <w:tr w:rsidR="00AB58B8" w14:paraId="6E6B8B5D"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hideMark/>
          </w:tcPr>
          <w:p w14:paraId="6E6B8B59" w14:textId="77777777" w:rsidR="00AB58B8" w:rsidRDefault="00AB58B8">
            <w:pPr>
              <w:jc w:val="both"/>
              <w:rPr>
                <w:sz w:val="20"/>
                <w:szCs w:val="20"/>
              </w:rPr>
            </w:pPr>
            <w:r>
              <w:rPr>
                <w:sz w:val="20"/>
                <w:szCs w:val="20"/>
              </w:rPr>
              <w:t>UNIDAD DE AUDITORÍA INTERNA</w:t>
            </w:r>
          </w:p>
        </w:tc>
        <w:tc>
          <w:tcPr>
            <w:tcW w:w="1275" w:type="dxa"/>
            <w:tcBorders>
              <w:top w:val="single" w:sz="4" w:space="0" w:color="auto"/>
              <w:left w:val="single" w:sz="4" w:space="0" w:color="auto"/>
              <w:bottom w:val="single" w:sz="4" w:space="0" w:color="auto"/>
              <w:right w:val="single" w:sz="4" w:space="0" w:color="auto"/>
            </w:tcBorders>
            <w:hideMark/>
          </w:tcPr>
          <w:p w14:paraId="6E6B8B5A" w14:textId="77777777" w:rsidR="00AB58B8" w:rsidRDefault="00AB58B8">
            <w:pPr>
              <w:jc w:val="center"/>
              <w:rPr>
                <w:sz w:val="20"/>
                <w:szCs w:val="20"/>
              </w:rPr>
            </w:pPr>
            <w:r>
              <w:rPr>
                <w:sz w:val="20"/>
                <w:szCs w:val="20"/>
              </w:rPr>
              <w:t>5</w:t>
            </w:r>
          </w:p>
        </w:tc>
        <w:tc>
          <w:tcPr>
            <w:tcW w:w="1276" w:type="dxa"/>
            <w:tcBorders>
              <w:top w:val="single" w:sz="4" w:space="0" w:color="auto"/>
              <w:left w:val="single" w:sz="4" w:space="0" w:color="auto"/>
              <w:bottom w:val="single" w:sz="4" w:space="0" w:color="auto"/>
              <w:right w:val="single" w:sz="4" w:space="0" w:color="auto"/>
            </w:tcBorders>
            <w:hideMark/>
          </w:tcPr>
          <w:p w14:paraId="6E6B8B5B" w14:textId="77777777" w:rsidR="00AB58B8" w:rsidRDefault="00AB58B8">
            <w:pPr>
              <w:jc w:val="center"/>
              <w:rPr>
                <w:sz w:val="20"/>
                <w:szCs w:val="20"/>
              </w:rPr>
            </w:pPr>
            <w:r>
              <w:rPr>
                <w:sz w:val="20"/>
                <w:szCs w:val="20"/>
              </w:rPr>
              <w:t>4</w:t>
            </w:r>
          </w:p>
        </w:tc>
        <w:tc>
          <w:tcPr>
            <w:tcW w:w="1418" w:type="dxa"/>
            <w:tcBorders>
              <w:top w:val="single" w:sz="4" w:space="0" w:color="auto"/>
              <w:left w:val="single" w:sz="4" w:space="0" w:color="auto"/>
              <w:bottom w:val="single" w:sz="4" w:space="0" w:color="auto"/>
              <w:right w:val="single" w:sz="4" w:space="0" w:color="auto"/>
            </w:tcBorders>
            <w:hideMark/>
          </w:tcPr>
          <w:p w14:paraId="6E6B8B5C" w14:textId="77777777" w:rsidR="00AB58B8" w:rsidRDefault="00AB58B8">
            <w:pPr>
              <w:jc w:val="center"/>
              <w:rPr>
                <w:sz w:val="20"/>
                <w:szCs w:val="20"/>
              </w:rPr>
            </w:pPr>
            <w:r>
              <w:rPr>
                <w:sz w:val="20"/>
                <w:szCs w:val="20"/>
              </w:rPr>
              <w:t>9</w:t>
            </w:r>
          </w:p>
        </w:tc>
      </w:tr>
      <w:tr w:rsidR="00AB58B8" w14:paraId="6E6B8B62"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hideMark/>
          </w:tcPr>
          <w:p w14:paraId="6E6B8B5E" w14:textId="77777777" w:rsidR="00AB58B8" w:rsidRDefault="00AB58B8">
            <w:pPr>
              <w:jc w:val="both"/>
              <w:rPr>
                <w:sz w:val="20"/>
                <w:szCs w:val="20"/>
              </w:rPr>
            </w:pPr>
            <w:r>
              <w:rPr>
                <w:sz w:val="20"/>
                <w:szCs w:val="20"/>
              </w:rPr>
              <w:t>UNIDAD DE GEOGRAFÍA Y LOSGÍSTICA ELECTORAL</w:t>
            </w:r>
          </w:p>
        </w:tc>
        <w:tc>
          <w:tcPr>
            <w:tcW w:w="1275" w:type="dxa"/>
            <w:tcBorders>
              <w:top w:val="single" w:sz="4" w:space="0" w:color="auto"/>
              <w:left w:val="single" w:sz="4" w:space="0" w:color="auto"/>
              <w:bottom w:val="single" w:sz="4" w:space="0" w:color="auto"/>
              <w:right w:val="single" w:sz="4" w:space="0" w:color="auto"/>
            </w:tcBorders>
            <w:hideMark/>
          </w:tcPr>
          <w:p w14:paraId="6E6B8B5F" w14:textId="77777777" w:rsidR="00AB58B8" w:rsidRDefault="00AB58B8">
            <w:pPr>
              <w:jc w:val="center"/>
              <w:rPr>
                <w:sz w:val="20"/>
                <w:szCs w:val="20"/>
              </w:rPr>
            </w:pPr>
            <w:r>
              <w:rPr>
                <w:sz w:val="20"/>
                <w:szCs w:val="20"/>
              </w:rPr>
              <w:t>4</w:t>
            </w:r>
          </w:p>
        </w:tc>
        <w:tc>
          <w:tcPr>
            <w:tcW w:w="1276" w:type="dxa"/>
            <w:tcBorders>
              <w:top w:val="single" w:sz="4" w:space="0" w:color="auto"/>
              <w:left w:val="single" w:sz="4" w:space="0" w:color="auto"/>
              <w:bottom w:val="single" w:sz="4" w:space="0" w:color="auto"/>
              <w:right w:val="single" w:sz="4" w:space="0" w:color="auto"/>
            </w:tcBorders>
          </w:tcPr>
          <w:p w14:paraId="6E6B8B60" w14:textId="77777777" w:rsidR="00AB58B8" w:rsidRDefault="00AB58B8">
            <w:pPr>
              <w:jc w:val="center"/>
              <w:rPr>
                <w:sz w:val="20"/>
                <w:szCs w:val="20"/>
              </w:rPr>
            </w:pPr>
          </w:p>
        </w:tc>
        <w:tc>
          <w:tcPr>
            <w:tcW w:w="1418" w:type="dxa"/>
            <w:tcBorders>
              <w:top w:val="single" w:sz="4" w:space="0" w:color="auto"/>
              <w:left w:val="single" w:sz="4" w:space="0" w:color="auto"/>
              <w:bottom w:val="single" w:sz="4" w:space="0" w:color="auto"/>
              <w:right w:val="single" w:sz="4" w:space="0" w:color="auto"/>
            </w:tcBorders>
            <w:hideMark/>
          </w:tcPr>
          <w:p w14:paraId="6E6B8B61" w14:textId="77777777" w:rsidR="00AB58B8" w:rsidRDefault="00AB58B8">
            <w:pPr>
              <w:jc w:val="center"/>
              <w:rPr>
                <w:sz w:val="20"/>
                <w:szCs w:val="20"/>
              </w:rPr>
            </w:pPr>
            <w:r>
              <w:rPr>
                <w:sz w:val="20"/>
                <w:szCs w:val="20"/>
              </w:rPr>
              <w:t>4</w:t>
            </w:r>
          </w:p>
        </w:tc>
      </w:tr>
      <w:tr w:rsidR="00AB58B8" w14:paraId="6E6B8B67"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hideMark/>
          </w:tcPr>
          <w:p w14:paraId="6E6B8B63" w14:textId="77777777" w:rsidR="00AB58B8" w:rsidRDefault="00AB58B8">
            <w:pPr>
              <w:jc w:val="both"/>
              <w:rPr>
                <w:sz w:val="20"/>
                <w:szCs w:val="20"/>
              </w:rPr>
            </w:pPr>
            <w:r>
              <w:rPr>
                <w:sz w:val="20"/>
                <w:szCs w:val="20"/>
              </w:rPr>
              <w:t xml:space="preserve">UNIDAD TÉCNICA DE FISCLIZACIÓN </w:t>
            </w:r>
          </w:p>
        </w:tc>
        <w:tc>
          <w:tcPr>
            <w:tcW w:w="1275" w:type="dxa"/>
            <w:tcBorders>
              <w:top w:val="single" w:sz="4" w:space="0" w:color="auto"/>
              <w:left w:val="single" w:sz="4" w:space="0" w:color="auto"/>
              <w:bottom w:val="single" w:sz="4" w:space="0" w:color="auto"/>
              <w:right w:val="single" w:sz="4" w:space="0" w:color="auto"/>
            </w:tcBorders>
            <w:hideMark/>
          </w:tcPr>
          <w:p w14:paraId="6E6B8B64" w14:textId="77777777" w:rsidR="00AB58B8" w:rsidRDefault="00AB58B8">
            <w:pPr>
              <w:jc w:val="center"/>
              <w:rPr>
                <w:sz w:val="20"/>
                <w:szCs w:val="20"/>
              </w:rPr>
            </w:pPr>
            <w:r>
              <w:rPr>
                <w:sz w:val="20"/>
                <w:szCs w:val="20"/>
              </w:rPr>
              <w:t>6</w:t>
            </w:r>
          </w:p>
        </w:tc>
        <w:tc>
          <w:tcPr>
            <w:tcW w:w="1276" w:type="dxa"/>
            <w:tcBorders>
              <w:top w:val="single" w:sz="4" w:space="0" w:color="auto"/>
              <w:left w:val="single" w:sz="4" w:space="0" w:color="auto"/>
              <w:bottom w:val="single" w:sz="4" w:space="0" w:color="auto"/>
              <w:right w:val="single" w:sz="4" w:space="0" w:color="auto"/>
            </w:tcBorders>
          </w:tcPr>
          <w:p w14:paraId="6E6B8B65" w14:textId="77777777" w:rsidR="00AB58B8" w:rsidRDefault="00AB58B8">
            <w:pPr>
              <w:jc w:val="center"/>
              <w:rPr>
                <w:sz w:val="20"/>
                <w:szCs w:val="20"/>
              </w:rPr>
            </w:pPr>
          </w:p>
        </w:tc>
        <w:tc>
          <w:tcPr>
            <w:tcW w:w="1418" w:type="dxa"/>
            <w:tcBorders>
              <w:top w:val="single" w:sz="4" w:space="0" w:color="auto"/>
              <w:left w:val="single" w:sz="4" w:space="0" w:color="auto"/>
              <w:bottom w:val="single" w:sz="4" w:space="0" w:color="auto"/>
              <w:right w:val="single" w:sz="4" w:space="0" w:color="auto"/>
            </w:tcBorders>
            <w:hideMark/>
          </w:tcPr>
          <w:p w14:paraId="6E6B8B66" w14:textId="77777777" w:rsidR="00AB58B8" w:rsidRDefault="00AB58B8">
            <w:pPr>
              <w:jc w:val="center"/>
              <w:rPr>
                <w:sz w:val="20"/>
                <w:szCs w:val="20"/>
              </w:rPr>
            </w:pPr>
            <w:r>
              <w:rPr>
                <w:sz w:val="20"/>
                <w:szCs w:val="20"/>
              </w:rPr>
              <w:t>6</w:t>
            </w:r>
          </w:p>
        </w:tc>
      </w:tr>
      <w:tr w:rsidR="00AB58B8" w14:paraId="6E6B8B6C"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hideMark/>
          </w:tcPr>
          <w:p w14:paraId="6E6B8B68" w14:textId="77777777" w:rsidR="00AB58B8" w:rsidRDefault="00AB58B8">
            <w:pPr>
              <w:jc w:val="both"/>
              <w:rPr>
                <w:sz w:val="20"/>
                <w:szCs w:val="20"/>
              </w:rPr>
            </w:pPr>
            <w:r>
              <w:rPr>
                <w:sz w:val="20"/>
                <w:szCs w:val="20"/>
              </w:rPr>
              <w:t>DIRECCIÓN NACIONAL DE ADMINISTRACIÓN</w:t>
            </w:r>
          </w:p>
        </w:tc>
        <w:tc>
          <w:tcPr>
            <w:tcW w:w="1275" w:type="dxa"/>
            <w:tcBorders>
              <w:top w:val="single" w:sz="4" w:space="0" w:color="auto"/>
              <w:left w:val="single" w:sz="4" w:space="0" w:color="auto"/>
              <w:bottom w:val="single" w:sz="4" w:space="0" w:color="auto"/>
              <w:right w:val="single" w:sz="4" w:space="0" w:color="auto"/>
            </w:tcBorders>
            <w:hideMark/>
          </w:tcPr>
          <w:p w14:paraId="6E6B8B69" w14:textId="77777777" w:rsidR="00AB58B8" w:rsidRDefault="00AB58B8">
            <w:pPr>
              <w:jc w:val="center"/>
              <w:rPr>
                <w:sz w:val="20"/>
                <w:szCs w:val="20"/>
              </w:rPr>
            </w:pPr>
            <w:r>
              <w:rPr>
                <w:sz w:val="20"/>
                <w:szCs w:val="20"/>
              </w:rPr>
              <w:t>34</w:t>
            </w:r>
          </w:p>
        </w:tc>
        <w:tc>
          <w:tcPr>
            <w:tcW w:w="1276" w:type="dxa"/>
            <w:tcBorders>
              <w:top w:val="single" w:sz="4" w:space="0" w:color="auto"/>
              <w:left w:val="single" w:sz="4" w:space="0" w:color="auto"/>
              <w:bottom w:val="single" w:sz="4" w:space="0" w:color="auto"/>
              <w:right w:val="single" w:sz="4" w:space="0" w:color="auto"/>
            </w:tcBorders>
            <w:hideMark/>
          </w:tcPr>
          <w:p w14:paraId="6E6B8B6A" w14:textId="77777777" w:rsidR="00AB58B8" w:rsidRDefault="00AB58B8">
            <w:pPr>
              <w:jc w:val="center"/>
              <w:rPr>
                <w:sz w:val="20"/>
                <w:szCs w:val="20"/>
              </w:rPr>
            </w:pPr>
            <w:r>
              <w:rPr>
                <w:sz w:val="20"/>
                <w:szCs w:val="20"/>
              </w:rPr>
              <w:t>6</w:t>
            </w:r>
          </w:p>
        </w:tc>
        <w:tc>
          <w:tcPr>
            <w:tcW w:w="1418" w:type="dxa"/>
            <w:tcBorders>
              <w:top w:val="single" w:sz="4" w:space="0" w:color="auto"/>
              <w:left w:val="single" w:sz="4" w:space="0" w:color="auto"/>
              <w:bottom w:val="single" w:sz="4" w:space="0" w:color="auto"/>
              <w:right w:val="single" w:sz="4" w:space="0" w:color="auto"/>
            </w:tcBorders>
            <w:hideMark/>
          </w:tcPr>
          <w:p w14:paraId="6E6B8B6B" w14:textId="77777777" w:rsidR="00AB58B8" w:rsidRDefault="00AB58B8">
            <w:pPr>
              <w:jc w:val="center"/>
              <w:rPr>
                <w:sz w:val="20"/>
                <w:szCs w:val="20"/>
              </w:rPr>
            </w:pPr>
            <w:r>
              <w:rPr>
                <w:sz w:val="20"/>
                <w:szCs w:val="20"/>
              </w:rPr>
              <w:t>40</w:t>
            </w:r>
          </w:p>
        </w:tc>
      </w:tr>
      <w:tr w:rsidR="00AB58B8" w14:paraId="6E6B8B71"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hideMark/>
          </w:tcPr>
          <w:p w14:paraId="6E6B8B6D" w14:textId="77777777" w:rsidR="00AB58B8" w:rsidRDefault="00AB58B8">
            <w:pPr>
              <w:jc w:val="both"/>
              <w:rPr>
                <w:sz w:val="20"/>
                <w:szCs w:val="20"/>
              </w:rPr>
            </w:pPr>
            <w:r>
              <w:rPr>
                <w:sz w:val="20"/>
                <w:szCs w:val="20"/>
              </w:rPr>
              <w:t>DIRECCIÓN NACIONAL DE DESARROLLO ESTRATÉGICO</w:t>
            </w:r>
          </w:p>
        </w:tc>
        <w:tc>
          <w:tcPr>
            <w:tcW w:w="1275" w:type="dxa"/>
            <w:tcBorders>
              <w:top w:val="single" w:sz="4" w:space="0" w:color="auto"/>
              <w:left w:val="single" w:sz="4" w:space="0" w:color="auto"/>
              <w:bottom w:val="single" w:sz="4" w:space="0" w:color="auto"/>
              <w:right w:val="single" w:sz="4" w:space="0" w:color="auto"/>
            </w:tcBorders>
            <w:hideMark/>
          </w:tcPr>
          <w:p w14:paraId="6E6B8B6E" w14:textId="77777777" w:rsidR="00AB58B8" w:rsidRDefault="00AB58B8">
            <w:pPr>
              <w:jc w:val="center"/>
              <w:rPr>
                <w:sz w:val="20"/>
                <w:szCs w:val="20"/>
              </w:rPr>
            </w:pPr>
            <w:r>
              <w:rPr>
                <w:sz w:val="20"/>
                <w:szCs w:val="20"/>
              </w:rPr>
              <w:t>7</w:t>
            </w:r>
          </w:p>
        </w:tc>
        <w:tc>
          <w:tcPr>
            <w:tcW w:w="1276" w:type="dxa"/>
            <w:tcBorders>
              <w:top w:val="single" w:sz="4" w:space="0" w:color="auto"/>
              <w:left w:val="single" w:sz="4" w:space="0" w:color="auto"/>
              <w:bottom w:val="single" w:sz="4" w:space="0" w:color="auto"/>
              <w:right w:val="single" w:sz="4" w:space="0" w:color="auto"/>
            </w:tcBorders>
            <w:hideMark/>
          </w:tcPr>
          <w:p w14:paraId="6E6B8B6F" w14:textId="77777777" w:rsidR="00AB58B8" w:rsidRDefault="00AB58B8">
            <w:pPr>
              <w:jc w:val="center"/>
              <w:rPr>
                <w:sz w:val="20"/>
                <w:szCs w:val="20"/>
              </w:rPr>
            </w:pPr>
            <w:r>
              <w:rPr>
                <w:sz w:val="20"/>
                <w:szCs w:val="20"/>
              </w:rPr>
              <w:t>1</w:t>
            </w:r>
          </w:p>
        </w:tc>
        <w:tc>
          <w:tcPr>
            <w:tcW w:w="1418" w:type="dxa"/>
            <w:tcBorders>
              <w:top w:val="single" w:sz="4" w:space="0" w:color="auto"/>
              <w:left w:val="single" w:sz="4" w:space="0" w:color="auto"/>
              <w:bottom w:val="single" w:sz="4" w:space="0" w:color="auto"/>
              <w:right w:val="single" w:sz="4" w:space="0" w:color="auto"/>
            </w:tcBorders>
            <w:hideMark/>
          </w:tcPr>
          <w:p w14:paraId="6E6B8B70" w14:textId="77777777" w:rsidR="00AB58B8" w:rsidRDefault="00AB58B8">
            <w:pPr>
              <w:jc w:val="center"/>
              <w:rPr>
                <w:sz w:val="20"/>
                <w:szCs w:val="20"/>
              </w:rPr>
            </w:pPr>
            <w:r>
              <w:rPr>
                <w:sz w:val="20"/>
                <w:szCs w:val="20"/>
              </w:rPr>
              <w:t>8</w:t>
            </w:r>
          </w:p>
        </w:tc>
      </w:tr>
      <w:tr w:rsidR="00AB58B8" w14:paraId="6E6B8B76"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hideMark/>
          </w:tcPr>
          <w:p w14:paraId="6E6B8B72" w14:textId="77777777" w:rsidR="00AB58B8" w:rsidRDefault="00AB58B8">
            <w:pPr>
              <w:jc w:val="both"/>
              <w:rPr>
                <w:sz w:val="20"/>
                <w:szCs w:val="20"/>
              </w:rPr>
            </w:pPr>
            <w:r>
              <w:rPr>
                <w:sz w:val="20"/>
                <w:szCs w:val="20"/>
              </w:rPr>
              <w:t>DIRECCIÓN NACIONAL ECONÓMICO FINANCIERO</w:t>
            </w:r>
          </w:p>
        </w:tc>
        <w:tc>
          <w:tcPr>
            <w:tcW w:w="1275" w:type="dxa"/>
            <w:tcBorders>
              <w:top w:val="single" w:sz="4" w:space="0" w:color="auto"/>
              <w:left w:val="single" w:sz="4" w:space="0" w:color="auto"/>
              <w:bottom w:val="single" w:sz="4" w:space="0" w:color="auto"/>
              <w:right w:val="single" w:sz="4" w:space="0" w:color="auto"/>
            </w:tcBorders>
            <w:hideMark/>
          </w:tcPr>
          <w:p w14:paraId="6E6B8B73" w14:textId="77777777" w:rsidR="00AB58B8" w:rsidRDefault="00AB58B8">
            <w:pPr>
              <w:jc w:val="center"/>
              <w:rPr>
                <w:sz w:val="20"/>
                <w:szCs w:val="20"/>
              </w:rPr>
            </w:pPr>
            <w:r>
              <w:rPr>
                <w:sz w:val="20"/>
                <w:szCs w:val="20"/>
              </w:rPr>
              <w:t>24</w:t>
            </w:r>
          </w:p>
        </w:tc>
        <w:tc>
          <w:tcPr>
            <w:tcW w:w="1276" w:type="dxa"/>
            <w:tcBorders>
              <w:top w:val="single" w:sz="4" w:space="0" w:color="auto"/>
              <w:left w:val="single" w:sz="4" w:space="0" w:color="auto"/>
              <w:bottom w:val="single" w:sz="4" w:space="0" w:color="auto"/>
              <w:right w:val="single" w:sz="4" w:space="0" w:color="auto"/>
            </w:tcBorders>
            <w:hideMark/>
          </w:tcPr>
          <w:p w14:paraId="6E6B8B74" w14:textId="77777777" w:rsidR="00AB58B8" w:rsidRDefault="00AB58B8">
            <w:pPr>
              <w:jc w:val="center"/>
              <w:rPr>
                <w:sz w:val="20"/>
                <w:szCs w:val="20"/>
              </w:rPr>
            </w:pPr>
            <w:r>
              <w:rPr>
                <w:sz w:val="20"/>
                <w:szCs w:val="20"/>
              </w:rPr>
              <w:t>4</w:t>
            </w:r>
          </w:p>
        </w:tc>
        <w:tc>
          <w:tcPr>
            <w:tcW w:w="1418" w:type="dxa"/>
            <w:tcBorders>
              <w:top w:val="single" w:sz="4" w:space="0" w:color="auto"/>
              <w:left w:val="single" w:sz="4" w:space="0" w:color="auto"/>
              <w:bottom w:val="single" w:sz="4" w:space="0" w:color="auto"/>
              <w:right w:val="single" w:sz="4" w:space="0" w:color="auto"/>
            </w:tcBorders>
            <w:hideMark/>
          </w:tcPr>
          <w:p w14:paraId="6E6B8B75" w14:textId="77777777" w:rsidR="00AB58B8" w:rsidRDefault="00AB58B8">
            <w:pPr>
              <w:jc w:val="center"/>
              <w:rPr>
                <w:sz w:val="20"/>
                <w:szCs w:val="20"/>
              </w:rPr>
            </w:pPr>
            <w:r>
              <w:rPr>
                <w:sz w:val="20"/>
                <w:szCs w:val="20"/>
              </w:rPr>
              <w:t>28</w:t>
            </w:r>
          </w:p>
        </w:tc>
      </w:tr>
      <w:tr w:rsidR="00AB58B8" w14:paraId="6E6B8B7B"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hideMark/>
          </w:tcPr>
          <w:p w14:paraId="6E6B8B77" w14:textId="77777777" w:rsidR="00AB58B8" w:rsidRDefault="00AB58B8">
            <w:pPr>
              <w:jc w:val="both"/>
              <w:rPr>
                <w:sz w:val="20"/>
                <w:szCs w:val="20"/>
              </w:rPr>
            </w:pPr>
            <w:r>
              <w:rPr>
                <w:sz w:val="20"/>
                <w:szCs w:val="20"/>
              </w:rPr>
              <w:t>DIRECCIÓN NACIONAL JURÍDICA</w:t>
            </w:r>
          </w:p>
        </w:tc>
        <w:tc>
          <w:tcPr>
            <w:tcW w:w="1275" w:type="dxa"/>
            <w:tcBorders>
              <w:top w:val="single" w:sz="4" w:space="0" w:color="auto"/>
              <w:left w:val="single" w:sz="4" w:space="0" w:color="auto"/>
              <w:bottom w:val="single" w:sz="4" w:space="0" w:color="auto"/>
              <w:right w:val="single" w:sz="4" w:space="0" w:color="auto"/>
            </w:tcBorders>
            <w:hideMark/>
          </w:tcPr>
          <w:p w14:paraId="6E6B8B78" w14:textId="77777777" w:rsidR="00AB58B8" w:rsidRDefault="00AB58B8">
            <w:pPr>
              <w:jc w:val="center"/>
              <w:rPr>
                <w:sz w:val="20"/>
                <w:szCs w:val="20"/>
              </w:rPr>
            </w:pPr>
            <w:r>
              <w:rPr>
                <w:sz w:val="20"/>
                <w:szCs w:val="20"/>
              </w:rPr>
              <w:t>8</w:t>
            </w:r>
          </w:p>
        </w:tc>
        <w:tc>
          <w:tcPr>
            <w:tcW w:w="1276" w:type="dxa"/>
            <w:tcBorders>
              <w:top w:val="single" w:sz="4" w:space="0" w:color="auto"/>
              <w:left w:val="single" w:sz="4" w:space="0" w:color="auto"/>
              <w:bottom w:val="single" w:sz="4" w:space="0" w:color="auto"/>
              <w:right w:val="single" w:sz="4" w:space="0" w:color="auto"/>
            </w:tcBorders>
            <w:hideMark/>
          </w:tcPr>
          <w:p w14:paraId="6E6B8B79" w14:textId="77777777" w:rsidR="00AB58B8" w:rsidRDefault="00AB58B8">
            <w:pPr>
              <w:jc w:val="center"/>
              <w:rPr>
                <w:sz w:val="20"/>
                <w:szCs w:val="20"/>
              </w:rPr>
            </w:pPr>
            <w:r>
              <w:rPr>
                <w:sz w:val="20"/>
                <w:szCs w:val="20"/>
              </w:rPr>
              <w:t>1</w:t>
            </w:r>
          </w:p>
        </w:tc>
        <w:tc>
          <w:tcPr>
            <w:tcW w:w="1418" w:type="dxa"/>
            <w:tcBorders>
              <w:top w:val="single" w:sz="4" w:space="0" w:color="auto"/>
              <w:left w:val="single" w:sz="4" w:space="0" w:color="auto"/>
              <w:bottom w:val="single" w:sz="4" w:space="0" w:color="auto"/>
              <w:right w:val="single" w:sz="4" w:space="0" w:color="auto"/>
            </w:tcBorders>
            <w:hideMark/>
          </w:tcPr>
          <w:p w14:paraId="6E6B8B7A" w14:textId="77777777" w:rsidR="00AB58B8" w:rsidRDefault="00AB58B8">
            <w:pPr>
              <w:jc w:val="center"/>
              <w:rPr>
                <w:sz w:val="20"/>
                <w:szCs w:val="20"/>
              </w:rPr>
            </w:pPr>
            <w:r>
              <w:rPr>
                <w:sz w:val="20"/>
                <w:szCs w:val="20"/>
              </w:rPr>
              <w:t>9</w:t>
            </w:r>
          </w:p>
        </w:tc>
      </w:tr>
      <w:tr w:rsidR="00AB58B8" w14:paraId="6E6B8B80"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hideMark/>
          </w:tcPr>
          <w:p w14:paraId="6E6B8B7C" w14:textId="77777777" w:rsidR="00AB58B8" w:rsidRDefault="00AB58B8">
            <w:pPr>
              <w:jc w:val="both"/>
              <w:rPr>
                <w:sz w:val="20"/>
                <w:szCs w:val="20"/>
              </w:rPr>
            </w:pPr>
            <w:r>
              <w:rPr>
                <w:sz w:val="20"/>
                <w:szCs w:val="20"/>
              </w:rPr>
              <w:t>DIRECCIÓN NACIONAL DE PROCESOS ELECTORALES</w:t>
            </w:r>
          </w:p>
        </w:tc>
        <w:tc>
          <w:tcPr>
            <w:tcW w:w="1275" w:type="dxa"/>
            <w:tcBorders>
              <w:top w:val="single" w:sz="4" w:space="0" w:color="auto"/>
              <w:left w:val="single" w:sz="4" w:space="0" w:color="auto"/>
              <w:bottom w:val="single" w:sz="4" w:space="0" w:color="auto"/>
              <w:right w:val="single" w:sz="4" w:space="0" w:color="auto"/>
            </w:tcBorders>
            <w:hideMark/>
          </w:tcPr>
          <w:p w14:paraId="6E6B8B7D" w14:textId="77777777" w:rsidR="00AB58B8" w:rsidRDefault="00AB58B8">
            <w:pPr>
              <w:jc w:val="center"/>
              <w:rPr>
                <w:sz w:val="20"/>
                <w:szCs w:val="20"/>
              </w:rPr>
            </w:pPr>
            <w:r>
              <w:rPr>
                <w:sz w:val="20"/>
                <w:szCs w:val="20"/>
              </w:rPr>
              <w:t>4</w:t>
            </w:r>
          </w:p>
        </w:tc>
        <w:tc>
          <w:tcPr>
            <w:tcW w:w="1276" w:type="dxa"/>
            <w:tcBorders>
              <w:top w:val="single" w:sz="4" w:space="0" w:color="auto"/>
              <w:left w:val="single" w:sz="4" w:space="0" w:color="auto"/>
              <w:bottom w:val="single" w:sz="4" w:space="0" w:color="auto"/>
              <w:right w:val="single" w:sz="4" w:space="0" w:color="auto"/>
            </w:tcBorders>
            <w:hideMark/>
          </w:tcPr>
          <w:p w14:paraId="6E6B8B7E" w14:textId="77777777" w:rsidR="00AB58B8" w:rsidRDefault="00AB58B8">
            <w:pPr>
              <w:jc w:val="center"/>
              <w:rPr>
                <w:sz w:val="20"/>
                <w:szCs w:val="20"/>
              </w:rPr>
            </w:pPr>
            <w:r>
              <w:rPr>
                <w:sz w:val="20"/>
                <w:szCs w:val="20"/>
              </w:rPr>
              <w:t>3</w:t>
            </w:r>
          </w:p>
        </w:tc>
        <w:tc>
          <w:tcPr>
            <w:tcW w:w="1418" w:type="dxa"/>
            <w:tcBorders>
              <w:top w:val="single" w:sz="4" w:space="0" w:color="auto"/>
              <w:left w:val="single" w:sz="4" w:space="0" w:color="auto"/>
              <w:bottom w:val="single" w:sz="4" w:space="0" w:color="auto"/>
              <w:right w:val="single" w:sz="4" w:space="0" w:color="auto"/>
            </w:tcBorders>
            <w:hideMark/>
          </w:tcPr>
          <w:p w14:paraId="6E6B8B7F" w14:textId="77777777" w:rsidR="00AB58B8" w:rsidRDefault="00AB58B8">
            <w:pPr>
              <w:jc w:val="center"/>
              <w:rPr>
                <w:sz w:val="20"/>
                <w:szCs w:val="20"/>
              </w:rPr>
            </w:pPr>
            <w:r>
              <w:rPr>
                <w:sz w:val="20"/>
                <w:szCs w:val="20"/>
              </w:rPr>
              <w:t>7</w:t>
            </w:r>
          </w:p>
        </w:tc>
      </w:tr>
      <w:tr w:rsidR="00AB58B8" w14:paraId="6E6B8B85"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hideMark/>
          </w:tcPr>
          <w:p w14:paraId="6E6B8B81" w14:textId="77777777" w:rsidR="00AB58B8" w:rsidRDefault="00AB58B8">
            <w:pPr>
              <w:jc w:val="both"/>
              <w:rPr>
                <w:sz w:val="20"/>
                <w:szCs w:val="20"/>
              </w:rPr>
            </w:pPr>
            <w:r>
              <w:rPr>
                <w:sz w:val="20"/>
                <w:szCs w:val="20"/>
              </w:rPr>
              <w:t>DIRECCIÓN NACIONAL DE TECNOLOGÍAS DE LA INFORMACIÓN Y COMUNICACIÓN</w:t>
            </w:r>
          </w:p>
        </w:tc>
        <w:tc>
          <w:tcPr>
            <w:tcW w:w="1275" w:type="dxa"/>
            <w:tcBorders>
              <w:top w:val="single" w:sz="4" w:space="0" w:color="auto"/>
              <w:left w:val="single" w:sz="4" w:space="0" w:color="auto"/>
              <w:bottom w:val="single" w:sz="4" w:space="0" w:color="auto"/>
              <w:right w:val="single" w:sz="4" w:space="0" w:color="auto"/>
            </w:tcBorders>
            <w:hideMark/>
          </w:tcPr>
          <w:p w14:paraId="6E6B8B82" w14:textId="77777777" w:rsidR="00AB58B8" w:rsidRDefault="00AB58B8">
            <w:pPr>
              <w:jc w:val="center"/>
              <w:rPr>
                <w:sz w:val="20"/>
                <w:szCs w:val="20"/>
              </w:rPr>
            </w:pPr>
            <w:r>
              <w:rPr>
                <w:sz w:val="20"/>
                <w:szCs w:val="20"/>
              </w:rPr>
              <w:t>11</w:t>
            </w:r>
          </w:p>
        </w:tc>
        <w:tc>
          <w:tcPr>
            <w:tcW w:w="1276" w:type="dxa"/>
            <w:tcBorders>
              <w:top w:val="single" w:sz="4" w:space="0" w:color="auto"/>
              <w:left w:val="single" w:sz="4" w:space="0" w:color="auto"/>
              <w:bottom w:val="single" w:sz="4" w:space="0" w:color="auto"/>
              <w:right w:val="single" w:sz="4" w:space="0" w:color="auto"/>
            </w:tcBorders>
            <w:hideMark/>
          </w:tcPr>
          <w:p w14:paraId="6E6B8B83" w14:textId="77777777" w:rsidR="00AB58B8" w:rsidRDefault="00AB58B8">
            <w:pPr>
              <w:jc w:val="center"/>
              <w:rPr>
                <w:sz w:val="20"/>
                <w:szCs w:val="20"/>
              </w:rPr>
            </w:pPr>
            <w:r>
              <w:rPr>
                <w:sz w:val="20"/>
                <w:szCs w:val="20"/>
              </w:rPr>
              <w:t>2</w:t>
            </w:r>
          </w:p>
        </w:tc>
        <w:tc>
          <w:tcPr>
            <w:tcW w:w="1418" w:type="dxa"/>
            <w:tcBorders>
              <w:top w:val="single" w:sz="4" w:space="0" w:color="auto"/>
              <w:left w:val="single" w:sz="4" w:space="0" w:color="auto"/>
              <w:bottom w:val="single" w:sz="4" w:space="0" w:color="auto"/>
              <w:right w:val="single" w:sz="4" w:space="0" w:color="auto"/>
            </w:tcBorders>
            <w:hideMark/>
          </w:tcPr>
          <w:p w14:paraId="6E6B8B84" w14:textId="77777777" w:rsidR="00AB58B8" w:rsidRDefault="00AB58B8">
            <w:pPr>
              <w:jc w:val="center"/>
              <w:rPr>
                <w:sz w:val="20"/>
                <w:szCs w:val="20"/>
              </w:rPr>
            </w:pPr>
            <w:r>
              <w:rPr>
                <w:sz w:val="20"/>
                <w:szCs w:val="20"/>
              </w:rPr>
              <w:t>13</w:t>
            </w:r>
          </w:p>
        </w:tc>
      </w:tr>
      <w:tr w:rsidR="00AB58B8" w14:paraId="6E6B8B8A"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hideMark/>
          </w:tcPr>
          <w:p w14:paraId="6E6B8B86" w14:textId="77777777" w:rsidR="00AB58B8" w:rsidRDefault="00AB58B8">
            <w:pPr>
              <w:jc w:val="both"/>
              <w:rPr>
                <w:sz w:val="20"/>
                <w:szCs w:val="20"/>
              </w:rPr>
            </w:pPr>
            <w:r>
              <w:rPr>
                <w:sz w:val="20"/>
                <w:szCs w:val="20"/>
              </w:rPr>
              <w:t>DIRECCIÓN NACIONAL SERECI</w:t>
            </w:r>
          </w:p>
        </w:tc>
        <w:tc>
          <w:tcPr>
            <w:tcW w:w="1275" w:type="dxa"/>
            <w:tcBorders>
              <w:top w:val="single" w:sz="4" w:space="0" w:color="auto"/>
              <w:left w:val="single" w:sz="4" w:space="0" w:color="auto"/>
              <w:bottom w:val="single" w:sz="4" w:space="0" w:color="auto"/>
              <w:right w:val="single" w:sz="4" w:space="0" w:color="auto"/>
            </w:tcBorders>
            <w:hideMark/>
          </w:tcPr>
          <w:p w14:paraId="6E6B8B87" w14:textId="77777777" w:rsidR="00AB58B8" w:rsidRDefault="00AB58B8">
            <w:pPr>
              <w:jc w:val="center"/>
              <w:rPr>
                <w:sz w:val="20"/>
                <w:szCs w:val="20"/>
              </w:rPr>
            </w:pPr>
            <w:r>
              <w:rPr>
                <w:sz w:val="20"/>
                <w:szCs w:val="20"/>
              </w:rPr>
              <w:t>40</w:t>
            </w:r>
          </w:p>
        </w:tc>
        <w:tc>
          <w:tcPr>
            <w:tcW w:w="1276" w:type="dxa"/>
            <w:tcBorders>
              <w:top w:val="single" w:sz="4" w:space="0" w:color="auto"/>
              <w:left w:val="single" w:sz="4" w:space="0" w:color="auto"/>
              <w:bottom w:val="single" w:sz="4" w:space="0" w:color="auto"/>
              <w:right w:val="single" w:sz="4" w:space="0" w:color="auto"/>
            </w:tcBorders>
            <w:hideMark/>
          </w:tcPr>
          <w:p w14:paraId="6E6B8B88" w14:textId="77777777" w:rsidR="00AB58B8" w:rsidRDefault="00AB58B8">
            <w:pPr>
              <w:jc w:val="center"/>
              <w:rPr>
                <w:sz w:val="20"/>
                <w:szCs w:val="20"/>
              </w:rPr>
            </w:pPr>
            <w:r>
              <w:rPr>
                <w:sz w:val="20"/>
                <w:szCs w:val="20"/>
              </w:rPr>
              <w:t>4</w:t>
            </w:r>
          </w:p>
        </w:tc>
        <w:tc>
          <w:tcPr>
            <w:tcW w:w="1418" w:type="dxa"/>
            <w:tcBorders>
              <w:top w:val="single" w:sz="4" w:space="0" w:color="auto"/>
              <w:left w:val="single" w:sz="4" w:space="0" w:color="auto"/>
              <w:bottom w:val="single" w:sz="4" w:space="0" w:color="auto"/>
              <w:right w:val="single" w:sz="4" w:space="0" w:color="auto"/>
            </w:tcBorders>
            <w:hideMark/>
          </w:tcPr>
          <w:p w14:paraId="6E6B8B89" w14:textId="77777777" w:rsidR="00AB58B8" w:rsidRDefault="00AB58B8">
            <w:pPr>
              <w:jc w:val="center"/>
              <w:rPr>
                <w:sz w:val="20"/>
                <w:szCs w:val="20"/>
              </w:rPr>
            </w:pPr>
            <w:r>
              <w:rPr>
                <w:sz w:val="20"/>
                <w:szCs w:val="20"/>
              </w:rPr>
              <w:t>44</w:t>
            </w:r>
          </w:p>
        </w:tc>
      </w:tr>
      <w:tr w:rsidR="00AB58B8" w14:paraId="6E6B8B8F" w14:textId="77777777" w:rsidTr="00AB58B8">
        <w:trPr>
          <w:jc w:val="center"/>
        </w:trPr>
        <w:tc>
          <w:tcPr>
            <w:tcW w:w="4531" w:type="dxa"/>
            <w:tcBorders>
              <w:top w:val="single" w:sz="4" w:space="0" w:color="auto"/>
              <w:left w:val="single" w:sz="4" w:space="0" w:color="auto"/>
              <w:bottom w:val="single" w:sz="4" w:space="0" w:color="auto"/>
              <w:right w:val="single" w:sz="4" w:space="0" w:color="auto"/>
            </w:tcBorders>
            <w:hideMark/>
          </w:tcPr>
          <w:p w14:paraId="6E6B8B8B" w14:textId="77777777" w:rsidR="00AB58B8" w:rsidRDefault="00AB58B8">
            <w:pPr>
              <w:jc w:val="both"/>
              <w:rPr>
                <w:sz w:val="20"/>
                <w:szCs w:val="20"/>
              </w:rPr>
            </w:pPr>
            <w:r>
              <w:rPr>
                <w:sz w:val="20"/>
                <w:szCs w:val="20"/>
              </w:rPr>
              <w:t>DIRECCIÓN NACIONAL SIFDE</w:t>
            </w:r>
          </w:p>
        </w:tc>
        <w:tc>
          <w:tcPr>
            <w:tcW w:w="1275" w:type="dxa"/>
            <w:tcBorders>
              <w:top w:val="single" w:sz="4" w:space="0" w:color="auto"/>
              <w:left w:val="single" w:sz="4" w:space="0" w:color="auto"/>
              <w:bottom w:val="single" w:sz="4" w:space="0" w:color="auto"/>
              <w:right w:val="single" w:sz="4" w:space="0" w:color="auto"/>
            </w:tcBorders>
            <w:hideMark/>
          </w:tcPr>
          <w:p w14:paraId="6E6B8B8C" w14:textId="77777777" w:rsidR="00AB58B8" w:rsidRDefault="00AB58B8">
            <w:pPr>
              <w:jc w:val="center"/>
              <w:rPr>
                <w:sz w:val="20"/>
                <w:szCs w:val="20"/>
              </w:rPr>
            </w:pPr>
            <w:r>
              <w:rPr>
                <w:sz w:val="20"/>
                <w:szCs w:val="20"/>
              </w:rPr>
              <w:t>32</w:t>
            </w:r>
          </w:p>
        </w:tc>
        <w:tc>
          <w:tcPr>
            <w:tcW w:w="1276" w:type="dxa"/>
            <w:tcBorders>
              <w:top w:val="single" w:sz="4" w:space="0" w:color="auto"/>
              <w:left w:val="single" w:sz="4" w:space="0" w:color="auto"/>
              <w:bottom w:val="single" w:sz="4" w:space="0" w:color="auto"/>
              <w:right w:val="single" w:sz="4" w:space="0" w:color="auto"/>
            </w:tcBorders>
            <w:hideMark/>
          </w:tcPr>
          <w:p w14:paraId="6E6B8B8D" w14:textId="77777777" w:rsidR="00AB58B8" w:rsidRDefault="00AB58B8">
            <w:pPr>
              <w:jc w:val="center"/>
              <w:rPr>
                <w:sz w:val="20"/>
                <w:szCs w:val="20"/>
              </w:rPr>
            </w:pPr>
            <w:r>
              <w:rPr>
                <w:sz w:val="20"/>
                <w:szCs w:val="20"/>
              </w:rPr>
              <w:t>2</w:t>
            </w:r>
          </w:p>
        </w:tc>
        <w:tc>
          <w:tcPr>
            <w:tcW w:w="1418" w:type="dxa"/>
            <w:tcBorders>
              <w:top w:val="single" w:sz="4" w:space="0" w:color="auto"/>
              <w:left w:val="single" w:sz="4" w:space="0" w:color="auto"/>
              <w:bottom w:val="single" w:sz="4" w:space="0" w:color="auto"/>
              <w:right w:val="single" w:sz="4" w:space="0" w:color="auto"/>
            </w:tcBorders>
            <w:hideMark/>
          </w:tcPr>
          <w:p w14:paraId="6E6B8B8E" w14:textId="77777777" w:rsidR="00AB58B8" w:rsidRDefault="00AB58B8">
            <w:pPr>
              <w:jc w:val="center"/>
              <w:rPr>
                <w:sz w:val="20"/>
                <w:szCs w:val="20"/>
              </w:rPr>
            </w:pPr>
            <w:r>
              <w:rPr>
                <w:sz w:val="20"/>
                <w:szCs w:val="20"/>
              </w:rPr>
              <w:t>34</w:t>
            </w:r>
          </w:p>
        </w:tc>
      </w:tr>
    </w:tbl>
    <w:p w14:paraId="6E6B8B90" w14:textId="77777777" w:rsidR="00AB58B8" w:rsidRDefault="00AB58B8" w:rsidP="00AB58B8">
      <w:pPr>
        <w:jc w:val="both"/>
        <w:rPr>
          <w:sz w:val="18"/>
          <w:szCs w:val="18"/>
        </w:rPr>
      </w:pPr>
      <w:r>
        <w:rPr>
          <w:sz w:val="18"/>
          <w:szCs w:val="18"/>
        </w:rPr>
        <w:t>Fuente: Elaboración propia a partir de la Información proporcionada por la Dirección Nacional de Administración del OEP</w:t>
      </w:r>
    </w:p>
    <w:p w14:paraId="6E6B8B91" w14:textId="77777777" w:rsidR="00AB58B8" w:rsidRDefault="00AB58B8" w:rsidP="00AB58B8">
      <w:pPr>
        <w:spacing w:after="160" w:line="276" w:lineRule="auto"/>
        <w:jc w:val="both"/>
        <w:rPr>
          <w:rFonts w:ascii="Calibri" w:hAnsi="Calibri"/>
          <w:sz w:val="22"/>
          <w:szCs w:val="22"/>
          <w:lang w:val="es-ES"/>
        </w:rPr>
      </w:pPr>
      <w:r>
        <w:rPr>
          <w:sz w:val="22"/>
          <w:szCs w:val="22"/>
        </w:rPr>
        <w:br/>
        <w:t xml:space="preserve">El cambio de personal, tanto de dirección como operativo, ha generado desconfianza entre los actores de la contienda electoral y de la sociedad civil. </w:t>
      </w:r>
      <w:r>
        <w:rPr>
          <w:rFonts w:ascii="Calibri" w:hAnsi="Calibri"/>
          <w:sz w:val="22"/>
          <w:szCs w:val="22"/>
          <w:lang w:val="es-ES"/>
        </w:rPr>
        <w:t xml:space="preserve">La Misión advierte que el conocimiento y la experiencia </w:t>
      </w:r>
      <w:r>
        <w:rPr>
          <w:rFonts w:ascii="Calibri" w:hAnsi="Calibri"/>
          <w:sz w:val="22"/>
          <w:szCs w:val="22"/>
          <w:lang w:val="es-ES"/>
        </w:rPr>
        <w:lastRenderedPageBreak/>
        <w:t>de los funcionarios que conducen áreas sensibles del proceso electoral son un activo importante de toda institución electoral.</w:t>
      </w:r>
    </w:p>
    <w:p w14:paraId="6E6B8B92" w14:textId="77777777" w:rsidR="00AB58B8" w:rsidRDefault="00AB58B8" w:rsidP="00AB58B8">
      <w:pPr>
        <w:spacing w:after="160" w:line="276" w:lineRule="auto"/>
        <w:jc w:val="both"/>
        <w:rPr>
          <w:bCs/>
          <w:i/>
          <w:sz w:val="22"/>
          <w:szCs w:val="22"/>
          <w:u w:val="single"/>
        </w:rPr>
      </w:pPr>
      <w:r>
        <w:rPr>
          <w:sz w:val="22"/>
          <w:szCs w:val="22"/>
        </w:rPr>
        <w:t>Por otra parte, al igual que en las elecciones generales de 2014</w:t>
      </w:r>
      <w:r>
        <w:rPr>
          <w:rStyle w:val="FootnoteReference"/>
          <w:sz w:val="22"/>
          <w:szCs w:val="22"/>
        </w:rPr>
        <w:footnoteReference w:id="11"/>
      </w:r>
      <w:r>
        <w:rPr>
          <w:sz w:val="22"/>
          <w:szCs w:val="22"/>
        </w:rPr>
        <w:t>, la Misión observó que el TSE cuenta con una importante sobrecarga de funciones en relación con los recursos materiales y humanos de los que dispone. Los especialistas de la Misión constataron severas</w:t>
      </w:r>
      <w:r>
        <w:rPr>
          <w:rFonts w:ascii="Calibri" w:hAnsi="Calibri"/>
          <w:sz w:val="22"/>
          <w:szCs w:val="22"/>
          <w:lang w:val="es-ES"/>
        </w:rPr>
        <w:t xml:space="preserve"> limitaciones presupuestarias y de personal en todas las áreas del tribunal. </w:t>
      </w:r>
      <w:r>
        <w:rPr>
          <w:sz w:val="22"/>
          <w:szCs w:val="22"/>
        </w:rPr>
        <w:t>Por último, en relación con el ejercicio de transparencia y rendición de cuentas, la Misión observó que la información estadística y documental sobre la labor de cada área del OEP es limitada.</w:t>
      </w:r>
    </w:p>
    <w:p w14:paraId="6E6B8B93" w14:textId="77777777" w:rsidR="00AB58B8" w:rsidRDefault="00AB58B8" w:rsidP="00AB58B8">
      <w:pPr>
        <w:jc w:val="both"/>
        <w:rPr>
          <w:bCs/>
          <w:i/>
          <w:sz w:val="22"/>
          <w:szCs w:val="22"/>
          <w:u w:val="single"/>
        </w:rPr>
      </w:pPr>
    </w:p>
    <w:p w14:paraId="6E6B8B94" w14:textId="77777777" w:rsidR="00AB58B8" w:rsidRDefault="00AB58B8" w:rsidP="00AB58B8">
      <w:pPr>
        <w:jc w:val="both"/>
        <w:rPr>
          <w:bCs/>
          <w:i/>
          <w:sz w:val="22"/>
          <w:szCs w:val="22"/>
          <w:u w:val="single"/>
        </w:rPr>
      </w:pPr>
      <w:r>
        <w:rPr>
          <w:bCs/>
          <w:i/>
          <w:sz w:val="22"/>
          <w:szCs w:val="22"/>
          <w:u w:val="single"/>
        </w:rPr>
        <w:t>Calendario Electoral: plazos para el registro y aprobación de candidaturas.</w:t>
      </w:r>
    </w:p>
    <w:p w14:paraId="6E6B8B95" w14:textId="77777777" w:rsidR="00AB58B8" w:rsidRDefault="00AB58B8" w:rsidP="00AB58B8">
      <w:pPr>
        <w:jc w:val="both"/>
        <w:rPr>
          <w:bCs/>
          <w:i/>
          <w:sz w:val="22"/>
          <w:szCs w:val="22"/>
          <w:u w:val="single"/>
        </w:rPr>
      </w:pPr>
    </w:p>
    <w:p w14:paraId="6E6B8B96" w14:textId="77777777" w:rsidR="00AB58B8" w:rsidRDefault="00AB58B8" w:rsidP="00AB58B8">
      <w:pPr>
        <w:jc w:val="both"/>
        <w:rPr>
          <w:b/>
          <w:bCs/>
          <w:sz w:val="22"/>
          <w:szCs w:val="22"/>
        </w:rPr>
      </w:pPr>
      <w:r>
        <w:rPr>
          <w:sz w:val="22"/>
          <w:szCs w:val="22"/>
        </w:rPr>
        <w:t>En cumplimiento a las disposiciones legales, el TSE aprobó el calendario electoral el 28 de mayo y lo publicó el 02 de junio, cumpliendo con la obligación darlo a conocer en los diez días siguientes de emitida la convocatoria a elecciones generales.</w:t>
      </w:r>
      <w:r>
        <w:rPr>
          <w:rStyle w:val="FootnoteReference"/>
          <w:sz w:val="22"/>
          <w:szCs w:val="22"/>
        </w:rPr>
        <w:footnoteReference w:id="12"/>
      </w:r>
      <w:r>
        <w:rPr>
          <w:sz w:val="22"/>
          <w:szCs w:val="22"/>
        </w:rPr>
        <w:t xml:space="preserve"> El calendario permitió definir los plazos de ejecución en materia de fiscalización a organizaciones políticas, registro de votantes, registro y habilitación de candidatos, propaganda electoral, propaganda de fortalecimiento público, elección de jueces, notarios y jurados electorales, impresión y distribución de papeletas y material electoral, así como los procesos durante la jornada de votación y procesos para el conteo final de votos.</w:t>
      </w:r>
    </w:p>
    <w:p w14:paraId="6E6B8B97" w14:textId="77777777" w:rsidR="00AB58B8" w:rsidRDefault="00AB58B8" w:rsidP="00AB58B8">
      <w:pPr>
        <w:jc w:val="both"/>
        <w:rPr>
          <w:sz w:val="22"/>
          <w:szCs w:val="22"/>
        </w:rPr>
      </w:pPr>
    </w:p>
    <w:p w14:paraId="6E6B8B98" w14:textId="77777777" w:rsidR="00AB58B8" w:rsidRDefault="00AB58B8" w:rsidP="00AB58B8">
      <w:pPr>
        <w:jc w:val="both"/>
        <w:rPr>
          <w:sz w:val="22"/>
          <w:szCs w:val="22"/>
        </w:rPr>
      </w:pPr>
      <w:r>
        <w:rPr>
          <w:sz w:val="22"/>
          <w:szCs w:val="22"/>
        </w:rPr>
        <w:t xml:space="preserve">En relación con la inscripción y aprobación de candidaturas a la asamblea legislativa, se establecieron los siguientes plazos: </w:t>
      </w:r>
    </w:p>
    <w:p w14:paraId="6E6B8B99" w14:textId="77777777" w:rsidR="00AB58B8" w:rsidRDefault="00AB58B8" w:rsidP="00AB58B8">
      <w:pPr>
        <w:jc w:val="center"/>
        <w:rPr>
          <w:b/>
          <w:bCs/>
          <w:sz w:val="22"/>
          <w:szCs w:val="22"/>
        </w:rPr>
      </w:pPr>
    </w:p>
    <w:p w14:paraId="6E6B8B9A" w14:textId="77777777" w:rsidR="00AB58B8" w:rsidRDefault="00AB58B8" w:rsidP="00AB58B8">
      <w:pPr>
        <w:jc w:val="center"/>
        <w:rPr>
          <w:b/>
          <w:bCs/>
          <w:sz w:val="22"/>
          <w:szCs w:val="22"/>
        </w:rPr>
      </w:pPr>
      <w:r>
        <w:rPr>
          <w:b/>
          <w:bCs/>
          <w:sz w:val="22"/>
          <w:szCs w:val="22"/>
        </w:rPr>
        <w:t>Plazos para la Inscripción de Senadurías y Diputaciones</w:t>
      </w:r>
    </w:p>
    <w:p w14:paraId="6E6B8B9B" w14:textId="77777777" w:rsidR="00AB58B8" w:rsidRDefault="00AB58B8" w:rsidP="00AB58B8">
      <w:pPr>
        <w:jc w:val="center"/>
        <w:rPr>
          <w:b/>
          <w:bCs/>
          <w:sz w:val="22"/>
          <w:szCs w:val="22"/>
        </w:rPr>
      </w:pPr>
      <w:r>
        <w:rPr>
          <w:b/>
          <w:bCs/>
          <w:sz w:val="22"/>
          <w:szCs w:val="22"/>
        </w:rPr>
        <w:t>Renuncias y Sustituciones</w:t>
      </w:r>
    </w:p>
    <w:p w14:paraId="6E6B8B9C" w14:textId="77777777" w:rsidR="00AB58B8" w:rsidRDefault="00AB58B8" w:rsidP="00AB58B8">
      <w:pPr>
        <w:jc w:val="both"/>
        <w:rPr>
          <w:sz w:val="22"/>
          <w:szCs w:val="22"/>
        </w:rPr>
      </w:pPr>
    </w:p>
    <w:tbl>
      <w:tblPr>
        <w:tblStyle w:val="TableGrid"/>
        <w:tblW w:w="7655" w:type="dxa"/>
        <w:jc w:val="center"/>
        <w:tblInd w:w="0" w:type="dxa"/>
        <w:tblLook w:val="04A0" w:firstRow="1" w:lastRow="0" w:firstColumn="1" w:lastColumn="0" w:noHBand="0" w:noVBand="1"/>
      </w:tblPr>
      <w:tblGrid>
        <w:gridCol w:w="3377"/>
        <w:gridCol w:w="1572"/>
        <w:gridCol w:w="1623"/>
        <w:gridCol w:w="1083"/>
      </w:tblGrid>
      <w:tr w:rsidR="00AB58B8" w14:paraId="6E6B8BA1" w14:textId="77777777" w:rsidTr="00AB58B8">
        <w:trPr>
          <w:jc w:val="center"/>
        </w:trPr>
        <w:tc>
          <w:tcPr>
            <w:tcW w:w="3377" w:type="dxa"/>
            <w:tcBorders>
              <w:top w:val="single" w:sz="4" w:space="0" w:color="auto"/>
              <w:left w:val="single" w:sz="4" w:space="0" w:color="auto"/>
              <w:bottom w:val="single" w:sz="4" w:space="0" w:color="auto"/>
              <w:right w:val="single" w:sz="4" w:space="0" w:color="auto"/>
            </w:tcBorders>
            <w:hideMark/>
          </w:tcPr>
          <w:p w14:paraId="6E6B8B9D" w14:textId="77777777" w:rsidR="00AB58B8" w:rsidRDefault="00AB58B8">
            <w:pPr>
              <w:jc w:val="center"/>
              <w:rPr>
                <w:b/>
                <w:bCs/>
                <w:sz w:val="20"/>
                <w:szCs w:val="20"/>
              </w:rPr>
            </w:pPr>
            <w:r>
              <w:rPr>
                <w:b/>
                <w:bCs/>
                <w:sz w:val="20"/>
                <w:szCs w:val="20"/>
              </w:rPr>
              <w:t>Procedimiento</w:t>
            </w:r>
          </w:p>
        </w:tc>
        <w:tc>
          <w:tcPr>
            <w:tcW w:w="1572" w:type="dxa"/>
            <w:tcBorders>
              <w:top w:val="single" w:sz="4" w:space="0" w:color="auto"/>
              <w:left w:val="single" w:sz="4" w:space="0" w:color="auto"/>
              <w:bottom w:val="single" w:sz="4" w:space="0" w:color="auto"/>
              <w:right w:val="single" w:sz="4" w:space="0" w:color="auto"/>
            </w:tcBorders>
            <w:hideMark/>
          </w:tcPr>
          <w:p w14:paraId="6E6B8B9E" w14:textId="77777777" w:rsidR="00AB58B8" w:rsidRDefault="00AB58B8">
            <w:pPr>
              <w:jc w:val="center"/>
              <w:rPr>
                <w:b/>
                <w:bCs/>
                <w:sz w:val="20"/>
                <w:szCs w:val="20"/>
              </w:rPr>
            </w:pPr>
            <w:r>
              <w:rPr>
                <w:b/>
                <w:bCs/>
                <w:sz w:val="20"/>
                <w:szCs w:val="20"/>
              </w:rPr>
              <w:t>Desde</w:t>
            </w:r>
          </w:p>
        </w:tc>
        <w:tc>
          <w:tcPr>
            <w:tcW w:w="1623" w:type="dxa"/>
            <w:tcBorders>
              <w:top w:val="single" w:sz="4" w:space="0" w:color="auto"/>
              <w:left w:val="single" w:sz="4" w:space="0" w:color="auto"/>
              <w:bottom w:val="single" w:sz="4" w:space="0" w:color="auto"/>
              <w:right w:val="single" w:sz="4" w:space="0" w:color="auto"/>
            </w:tcBorders>
            <w:hideMark/>
          </w:tcPr>
          <w:p w14:paraId="6E6B8B9F" w14:textId="77777777" w:rsidR="00AB58B8" w:rsidRDefault="00AB58B8">
            <w:pPr>
              <w:jc w:val="center"/>
              <w:rPr>
                <w:b/>
                <w:bCs/>
                <w:sz w:val="20"/>
                <w:szCs w:val="20"/>
              </w:rPr>
            </w:pPr>
            <w:r>
              <w:rPr>
                <w:b/>
                <w:bCs/>
                <w:sz w:val="20"/>
                <w:szCs w:val="20"/>
              </w:rPr>
              <w:t>Hasta</w:t>
            </w:r>
          </w:p>
        </w:tc>
        <w:tc>
          <w:tcPr>
            <w:tcW w:w="1083" w:type="dxa"/>
            <w:tcBorders>
              <w:top w:val="single" w:sz="4" w:space="0" w:color="auto"/>
              <w:left w:val="single" w:sz="4" w:space="0" w:color="auto"/>
              <w:bottom w:val="single" w:sz="4" w:space="0" w:color="auto"/>
              <w:right w:val="single" w:sz="4" w:space="0" w:color="auto"/>
            </w:tcBorders>
            <w:hideMark/>
          </w:tcPr>
          <w:p w14:paraId="6E6B8BA0" w14:textId="77777777" w:rsidR="00AB58B8" w:rsidRDefault="00AB58B8">
            <w:pPr>
              <w:jc w:val="center"/>
              <w:rPr>
                <w:b/>
                <w:bCs/>
                <w:sz w:val="20"/>
                <w:szCs w:val="20"/>
              </w:rPr>
            </w:pPr>
            <w:r>
              <w:rPr>
                <w:b/>
                <w:bCs/>
                <w:sz w:val="20"/>
                <w:szCs w:val="20"/>
              </w:rPr>
              <w:t>Días De Ejecución</w:t>
            </w:r>
          </w:p>
        </w:tc>
      </w:tr>
      <w:tr w:rsidR="00AB58B8" w14:paraId="6E6B8BA5" w14:textId="77777777" w:rsidTr="00AB58B8">
        <w:trPr>
          <w:jc w:val="center"/>
        </w:trPr>
        <w:tc>
          <w:tcPr>
            <w:tcW w:w="3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6B8BA2" w14:textId="77777777" w:rsidR="00AB58B8" w:rsidRDefault="00AB58B8">
            <w:pPr>
              <w:jc w:val="both"/>
              <w:rPr>
                <w:sz w:val="20"/>
                <w:szCs w:val="20"/>
              </w:rPr>
            </w:pPr>
            <w:r>
              <w:rPr>
                <w:sz w:val="20"/>
                <w:szCs w:val="20"/>
              </w:rPr>
              <w:t>Inscripción de candidaturas (senadurías y diputaciones)</w:t>
            </w:r>
          </w:p>
        </w:tc>
        <w:tc>
          <w:tcPr>
            <w:tcW w:w="31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6B8BA3" w14:textId="77777777" w:rsidR="00AB58B8" w:rsidRDefault="00AB58B8">
            <w:pPr>
              <w:jc w:val="center"/>
              <w:rPr>
                <w:sz w:val="20"/>
                <w:szCs w:val="20"/>
              </w:rPr>
            </w:pPr>
            <w:r>
              <w:rPr>
                <w:sz w:val="20"/>
                <w:szCs w:val="20"/>
              </w:rPr>
              <w:t>19 julio</w:t>
            </w:r>
          </w:p>
        </w:tc>
        <w:tc>
          <w:tcPr>
            <w:tcW w:w="10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6B8BA4" w14:textId="77777777" w:rsidR="00AB58B8" w:rsidRDefault="00AB58B8">
            <w:pPr>
              <w:jc w:val="center"/>
              <w:rPr>
                <w:sz w:val="20"/>
                <w:szCs w:val="20"/>
              </w:rPr>
            </w:pPr>
            <w:r>
              <w:rPr>
                <w:sz w:val="20"/>
                <w:szCs w:val="20"/>
              </w:rPr>
              <w:t>1</w:t>
            </w:r>
          </w:p>
        </w:tc>
      </w:tr>
      <w:tr w:rsidR="00AB58B8" w14:paraId="6E6B8BAA" w14:textId="77777777" w:rsidTr="00AB58B8">
        <w:trPr>
          <w:jc w:val="center"/>
        </w:trPr>
        <w:tc>
          <w:tcPr>
            <w:tcW w:w="3377" w:type="dxa"/>
            <w:tcBorders>
              <w:top w:val="single" w:sz="4" w:space="0" w:color="auto"/>
              <w:left w:val="single" w:sz="4" w:space="0" w:color="auto"/>
              <w:bottom w:val="single" w:sz="4" w:space="0" w:color="auto"/>
              <w:right w:val="single" w:sz="4" w:space="0" w:color="auto"/>
            </w:tcBorders>
            <w:hideMark/>
          </w:tcPr>
          <w:p w14:paraId="6E6B8BA6" w14:textId="77777777" w:rsidR="00AB58B8" w:rsidRDefault="00AB58B8">
            <w:pPr>
              <w:jc w:val="both"/>
              <w:rPr>
                <w:sz w:val="20"/>
                <w:szCs w:val="20"/>
              </w:rPr>
            </w:pPr>
            <w:r>
              <w:rPr>
                <w:sz w:val="20"/>
                <w:szCs w:val="20"/>
              </w:rPr>
              <w:t>Verificación de requisitos y causales de inelegibilidad de las candidaturas a senadurías y Diputaciones</w:t>
            </w:r>
          </w:p>
        </w:tc>
        <w:tc>
          <w:tcPr>
            <w:tcW w:w="1572" w:type="dxa"/>
            <w:tcBorders>
              <w:top w:val="single" w:sz="4" w:space="0" w:color="auto"/>
              <w:left w:val="single" w:sz="4" w:space="0" w:color="auto"/>
              <w:bottom w:val="single" w:sz="4" w:space="0" w:color="auto"/>
              <w:right w:val="single" w:sz="4" w:space="0" w:color="auto"/>
            </w:tcBorders>
            <w:hideMark/>
          </w:tcPr>
          <w:p w14:paraId="6E6B8BA7" w14:textId="77777777" w:rsidR="00AB58B8" w:rsidRDefault="00AB58B8">
            <w:pPr>
              <w:jc w:val="center"/>
              <w:rPr>
                <w:sz w:val="20"/>
                <w:szCs w:val="20"/>
              </w:rPr>
            </w:pPr>
            <w:r>
              <w:rPr>
                <w:sz w:val="20"/>
                <w:szCs w:val="20"/>
              </w:rPr>
              <w:t>20 julio</w:t>
            </w:r>
          </w:p>
        </w:tc>
        <w:tc>
          <w:tcPr>
            <w:tcW w:w="1623" w:type="dxa"/>
            <w:tcBorders>
              <w:top w:val="single" w:sz="4" w:space="0" w:color="auto"/>
              <w:left w:val="single" w:sz="4" w:space="0" w:color="auto"/>
              <w:bottom w:val="single" w:sz="4" w:space="0" w:color="auto"/>
              <w:right w:val="single" w:sz="4" w:space="0" w:color="auto"/>
            </w:tcBorders>
            <w:hideMark/>
          </w:tcPr>
          <w:p w14:paraId="6E6B8BA8" w14:textId="77777777" w:rsidR="00AB58B8" w:rsidRDefault="00AB58B8">
            <w:pPr>
              <w:jc w:val="center"/>
              <w:rPr>
                <w:sz w:val="20"/>
                <w:szCs w:val="20"/>
              </w:rPr>
            </w:pPr>
            <w:r>
              <w:rPr>
                <w:sz w:val="20"/>
                <w:szCs w:val="20"/>
              </w:rPr>
              <w:t>28 julio</w:t>
            </w:r>
          </w:p>
        </w:tc>
        <w:tc>
          <w:tcPr>
            <w:tcW w:w="1083" w:type="dxa"/>
            <w:tcBorders>
              <w:top w:val="single" w:sz="4" w:space="0" w:color="auto"/>
              <w:left w:val="single" w:sz="4" w:space="0" w:color="auto"/>
              <w:bottom w:val="single" w:sz="4" w:space="0" w:color="auto"/>
              <w:right w:val="single" w:sz="4" w:space="0" w:color="auto"/>
            </w:tcBorders>
            <w:hideMark/>
          </w:tcPr>
          <w:p w14:paraId="6E6B8BA9" w14:textId="77777777" w:rsidR="00AB58B8" w:rsidRDefault="00AB58B8">
            <w:pPr>
              <w:jc w:val="center"/>
              <w:rPr>
                <w:sz w:val="20"/>
                <w:szCs w:val="20"/>
              </w:rPr>
            </w:pPr>
            <w:r>
              <w:rPr>
                <w:sz w:val="20"/>
                <w:szCs w:val="20"/>
              </w:rPr>
              <w:t>9</w:t>
            </w:r>
          </w:p>
        </w:tc>
      </w:tr>
      <w:tr w:rsidR="00AB58B8" w14:paraId="6E6B8BAF" w14:textId="77777777" w:rsidTr="00AB58B8">
        <w:trPr>
          <w:jc w:val="center"/>
        </w:trPr>
        <w:tc>
          <w:tcPr>
            <w:tcW w:w="3377" w:type="dxa"/>
            <w:tcBorders>
              <w:top w:val="single" w:sz="4" w:space="0" w:color="auto"/>
              <w:left w:val="single" w:sz="4" w:space="0" w:color="auto"/>
              <w:bottom w:val="single" w:sz="4" w:space="0" w:color="auto"/>
              <w:right w:val="single" w:sz="4" w:space="0" w:color="auto"/>
            </w:tcBorders>
            <w:hideMark/>
          </w:tcPr>
          <w:p w14:paraId="6E6B8BAB" w14:textId="77777777" w:rsidR="00AB58B8" w:rsidRDefault="00AB58B8">
            <w:pPr>
              <w:jc w:val="both"/>
              <w:rPr>
                <w:sz w:val="20"/>
                <w:szCs w:val="20"/>
              </w:rPr>
            </w:pPr>
            <w:r>
              <w:rPr>
                <w:sz w:val="20"/>
                <w:szCs w:val="20"/>
              </w:rPr>
              <w:t>Notificación del TSE a los partidos políticos y alianzas de las observaciones</w:t>
            </w:r>
          </w:p>
        </w:tc>
        <w:tc>
          <w:tcPr>
            <w:tcW w:w="1572" w:type="dxa"/>
            <w:tcBorders>
              <w:top w:val="single" w:sz="4" w:space="0" w:color="auto"/>
              <w:left w:val="single" w:sz="4" w:space="0" w:color="auto"/>
              <w:bottom w:val="single" w:sz="4" w:space="0" w:color="auto"/>
              <w:right w:val="single" w:sz="4" w:space="0" w:color="auto"/>
            </w:tcBorders>
            <w:hideMark/>
          </w:tcPr>
          <w:p w14:paraId="6E6B8BAC" w14:textId="77777777" w:rsidR="00AB58B8" w:rsidRDefault="00AB58B8">
            <w:pPr>
              <w:jc w:val="center"/>
              <w:rPr>
                <w:sz w:val="20"/>
                <w:szCs w:val="20"/>
              </w:rPr>
            </w:pPr>
            <w:r>
              <w:rPr>
                <w:sz w:val="20"/>
                <w:szCs w:val="20"/>
              </w:rPr>
              <w:t>29 julio</w:t>
            </w:r>
          </w:p>
        </w:tc>
        <w:tc>
          <w:tcPr>
            <w:tcW w:w="1623" w:type="dxa"/>
            <w:tcBorders>
              <w:top w:val="single" w:sz="4" w:space="0" w:color="auto"/>
              <w:left w:val="single" w:sz="4" w:space="0" w:color="auto"/>
              <w:bottom w:val="single" w:sz="4" w:space="0" w:color="auto"/>
              <w:right w:val="single" w:sz="4" w:space="0" w:color="auto"/>
            </w:tcBorders>
            <w:hideMark/>
          </w:tcPr>
          <w:p w14:paraId="6E6B8BAD" w14:textId="77777777" w:rsidR="00AB58B8" w:rsidRDefault="00AB58B8">
            <w:pPr>
              <w:jc w:val="center"/>
              <w:rPr>
                <w:sz w:val="20"/>
                <w:szCs w:val="20"/>
              </w:rPr>
            </w:pPr>
            <w:r>
              <w:rPr>
                <w:sz w:val="20"/>
                <w:szCs w:val="20"/>
              </w:rPr>
              <w:t>30 julio</w:t>
            </w:r>
          </w:p>
        </w:tc>
        <w:tc>
          <w:tcPr>
            <w:tcW w:w="1083" w:type="dxa"/>
            <w:tcBorders>
              <w:top w:val="single" w:sz="4" w:space="0" w:color="auto"/>
              <w:left w:val="single" w:sz="4" w:space="0" w:color="auto"/>
              <w:bottom w:val="single" w:sz="4" w:space="0" w:color="auto"/>
              <w:right w:val="single" w:sz="4" w:space="0" w:color="auto"/>
            </w:tcBorders>
            <w:hideMark/>
          </w:tcPr>
          <w:p w14:paraId="6E6B8BAE" w14:textId="77777777" w:rsidR="00AB58B8" w:rsidRDefault="00AB58B8">
            <w:pPr>
              <w:jc w:val="center"/>
              <w:rPr>
                <w:sz w:val="20"/>
                <w:szCs w:val="20"/>
              </w:rPr>
            </w:pPr>
            <w:r>
              <w:rPr>
                <w:sz w:val="20"/>
                <w:szCs w:val="20"/>
              </w:rPr>
              <w:t>2</w:t>
            </w:r>
          </w:p>
        </w:tc>
      </w:tr>
      <w:tr w:rsidR="00AB58B8" w14:paraId="6E6B8BB4" w14:textId="77777777" w:rsidTr="00AB58B8">
        <w:trPr>
          <w:jc w:val="center"/>
        </w:trPr>
        <w:tc>
          <w:tcPr>
            <w:tcW w:w="3377" w:type="dxa"/>
            <w:tcBorders>
              <w:top w:val="single" w:sz="4" w:space="0" w:color="auto"/>
              <w:left w:val="single" w:sz="4" w:space="0" w:color="auto"/>
              <w:bottom w:val="single" w:sz="4" w:space="0" w:color="auto"/>
              <w:right w:val="single" w:sz="4" w:space="0" w:color="auto"/>
            </w:tcBorders>
            <w:hideMark/>
          </w:tcPr>
          <w:p w14:paraId="6E6B8BB0" w14:textId="77777777" w:rsidR="00AB58B8" w:rsidRDefault="00AB58B8">
            <w:pPr>
              <w:jc w:val="both"/>
              <w:rPr>
                <w:sz w:val="20"/>
                <w:szCs w:val="20"/>
              </w:rPr>
            </w:pPr>
            <w:r>
              <w:rPr>
                <w:sz w:val="20"/>
                <w:szCs w:val="20"/>
              </w:rPr>
              <w:t>Presentación de enmiendas de las listas de candidaturas por las organizaciones políticas que incumplieron los criterios de paridad y alternancia</w:t>
            </w:r>
          </w:p>
        </w:tc>
        <w:tc>
          <w:tcPr>
            <w:tcW w:w="1572" w:type="dxa"/>
            <w:tcBorders>
              <w:top w:val="single" w:sz="4" w:space="0" w:color="auto"/>
              <w:left w:val="single" w:sz="4" w:space="0" w:color="auto"/>
              <w:bottom w:val="single" w:sz="4" w:space="0" w:color="auto"/>
              <w:right w:val="single" w:sz="4" w:space="0" w:color="auto"/>
            </w:tcBorders>
            <w:hideMark/>
          </w:tcPr>
          <w:p w14:paraId="6E6B8BB1" w14:textId="77777777" w:rsidR="00AB58B8" w:rsidRDefault="00AB58B8">
            <w:pPr>
              <w:jc w:val="center"/>
              <w:rPr>
                <w:sz w:val="20"/>
                <w:szCs w:val="20"/>
              </w:rPr>
            </w:pPr>
            <w:r>
              <w:rPr>
                <w:sz w:val="20"/>
                <w:szCs w:val="20"/>
              </w:rPr>
              <w:t>31 julio</w:t>
            </w:r>
          </w:p>
        </w:tc>
        <w:tc>
          <w:tcPr>
            <w:tcW w:w="1623" w:type="dxa"/>
            <w:tcBorders>
              <w:top w:val="single" w:sz="4" w:space="0" w:color="auto"/>
              <w:left w:val="single" w:sz="4" w:space="0" w:color="auto"/>
              <w:bottom w:val="single" w:sz="4" w:space="0" w:color="auto"/>
              <w:right w:val="single" w:sz="4" w:space="0" w:color="auto"/>
            </w:tcBorders>
            <w:hideMark/>
          </w:tcPr>
          <w:p w14:paraId="6E6B8BB2" w14:textId="77777777" w:rsidR="00AB58B8" w:rsidRDefault="00AB58B8">
            <w:pPr>
              <w:jc w:val="center"/>
              <w:rPr>
                <w:sz w:val="20"/>
                <w:szCs w:val="20"/>
              </w:rPr>
            </w:pPr>
            <w:r>
              <w:rPr>
                <w:sz w:val="20"/>
                <w:szCs w:val="20"/>
              </w:rPr>
              <w:t>2 agosto</w:t>
            </w:r>
          </w:p>
        </w:tc>
        <w:tc>
          <w:tcPr>
            <w:tcW w:w="1083" w:type="dxa"/>
            <w:tcBorders>
              <w:top w:val="single" w:sz="4" w:space="0" w:color="auto"/>
              <w:left w:val="single" w:sz="4" w:space="0" w:color="auto"/>
              <w:bottom w:val="single" w:sz="4" w:space="0" w:color="auto"/>
              <w:right w:val="single" w:sz="4" w:space="0" w:color="auto"/>
            </w:tcBorders>
            <w:hideMark/>
          </w:tcPr>
          <w:p w14:paraId="6E6B8BB3" w14:textId="77777777" w:rsidR="00AB58B8" w:rsidRDefault="00AB58B8">
            <w:pPr>
              <w:jc w:val="center"/>
              <w:rPr>
                <w:sz w:val="20"/>
                <w:szCs w:val="20"/>
              </w:rPr>
            </w:pPr>
            <w:r>
              <w:rPr>
                <w:sz w:val="20"/>
                <w:szCs w:val="20"/>
              </w:rPr>
              <w:t>3</w:t>
            </w:r>
          </w:p>
        </w:tc>
      </w:tr>
      <w:tr w:rsidR="00AB58B8" w14:paraId="6E6B8BB8" w14:textId="77777777" w:rsidTr="00AB58B8">
        <w:trPr>
          <w:jc w:val="center"/>
        </w:trPr>
        <w:tc>
          <w:tcPr>
            <w:tcW w:w="3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6B8BB5" w14:textId="77777777" w:rsidR="00AB58B8" w:rsidRDefault="00AB58B8">
            <w:pPr>
              <w:jc w:val="both"/>
              <w:rPr>
                <w:sz w:val="20"/>
                <w:szCs w:val="20"/>
              </w:rPr>
            </w:pPr>
            <w:r>
              <w:rPr>
                <w:sz w:val="20"/>
                <w:szCs w:val="20"/>
              </w:rPr>
              <w:t>Publicación de listas de candidaturas habilitadas</w:t>
            </w:r>
          </w:p>
        </w:tc>
        <w:tc>
          <w:tcPr>
            <w:tcW w:w="31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6B8BB6" w14:textId="77777777" w:rsidR="00AB58B8" w:rsidRDefault="00AB58B8">
            <w:pPr>
              <w:jc w:val="center"/>
              <w:rPr>
                <w:sz w:val="20"/>
                <w:szCs w:val="20"/>
              </w:rPr>
            </w:pPr>
            <w:r>
              <w:rPr>
                <w:sz w:val="20"/>
                <w:szCs w:val="20"/>
              </w:rPr>
              <w:t>11 agosto</w:t>
            </w:r>
          </w:p>
        </w:tc>
        <w:tc>
          <w:tcPr>
            <w:tcW w:w="10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6B8BB7" w14:textId="77777777" w:rsidR="00AB58B8" w:rsidRDefault="00AB58B8">
            <w:pPr>
              <w:jc w:val="center"/>
              <w:rPr>
                <w:sz w:val="20"/>
                <w:szCs w:val="20"/>
              </w:rPr>
            </w:pPr>
            <w:r>
              <w:rPr>
                <w:sz w:val="20"/>
                <w:szCs w:val="20"/>
              </w:rPr>
              <w:t>1</w:t>
            </w:r>
          </w:p>
        </w:tc>
      </w:tr>
      <w:tr w:rsidR="00AB58B8" w14:paraId="6E6B8BBD" w14:textId="77777777" w:rsidTr="00AB58B8">
        <w:trPr>
          <w:jc w:val="center"/>
        </w:trPr>
        <w:tc>
          <w:tcPr>
            <w:tcW w:w="3377" w:type="dxa"/>
            <w:tcBorders>
              <w:top w:val="single" w:sz="4" w:space="0" w:color="auto"/>
              <w:left w:val="single" w:sz="4" w:space="0" w:color="auto"/>
              <w:bottom w:val="single" w:sz="4" w:space="0" w:color="auto"/>
              <w:right w:val="single" w:sz="4" w:space="0" w:color="auto"/>
            </w:tcBorders>
            <w:hideMark/>
          </w:tcPr>
          <w:p w14:paraId="6E6B8BB9" w14:textId="77777777" w:rsidR="00AB58B8" w:rsidRDefault="00AB58B8">
            <w:pPr>
              <w:jc w:val="both"/>
              <w:rPr>
                <w:sz w:val="20"/>
                <w:szCs w:val="20"/>
              </w:rPr>
            </w:pPr>
            <w:r>
              <w:rPr>
                <w:sz w:val="20"/>
                <w:szCs w:val="20"/>
              </w:rPr>
              <w:t xml:space="preserve">Sustitución de candidaturas por causa </w:t>
            </w:r>
            <w:r>
              <w:rPr>
                <w:sz w:val="20"/>
                <w:szCs w:val="20"/>
              </w:rPr>
              <w:lastRenderedPageBreak/>
              <w:t>de renuncia</w:t>
            </w:r>
          </w:p>
        </w:tc>
        <w:tc>
          <w:tcPr>
            <w:tcW w:w="1572" w:type="dxa"/>
            <w:tcBorders>
              <w:top w:val="single" w:sz="4" w:space="0" w:color="auto"/>
              <w:left w:val="single" w:sz="4" w:space="0" w:color="auto"/>
              <w:bottom w:val="single" w:sz="4" w:space="0" w:color="auto"/>
              <w:right w:val="single" w:sz="4" w:space="0" w:color="auto"/>
            </w:tcBorders>
            <w:hideMark/>
          </w:tcPr>
          <w:p w14:paraId="6E6B8BBA" w14:textId="77777777" w:rsidR="00AB58B8" w:rsidRDefault="00AB58B8">
            <w:pPr>
              <w:jc w:val="center"/>
              <w:rPr>
                <w:sz w:val="20"/>
                <w:szCs w:val="20"/>
              </w:rPr>
            </w:pPr>
            <w:r>
              <w:rPr>
                <w:sz w:val="20"/>
                <w:szCs w:val="20"/>
              </w:rPr>
              <w:lastRenderedPageBreak/>
              <w:t>12 agosto</w:t>
            </w:r>
          </w:p>
        </w:tc>
        <w:tc>
          <w:tcPr>
            <w:tcW w:w="1623" w:type="dxa"/>
            <w:tcBorders>
              <w:top w:val="single" w:sz="4" w:space="0" w:color="auto"/>
              <w:left w:val="single" w:sz="4" w:space="0" w:color="auto"/>
              <w:bottom w:val="single" w:sz="4" w:space="0" w:color="auto"/>
              <w:right w:val="single" w:sz="4" w:space="0" w:color="auto"/>
            </w:tcBorders>
            <w:hideMark/>
          </w:tcPr>
          <w:p w14:paraId="6E6B8BBB" w14:textId="77777777" w:rsidR="00AB58B8" w:rsidRDefault="00AB58B8">
            <w:pPr>
              <w:jc w:val="center"/>
              <w:rPr>
                <w:sz w:val="20"/>
                <w:szCs w:val="20"/>
              </w:rPr>
            </w:pPr>
            <w:r>
              <w:rPr>
                <w:sz w:val="20"/>
                <w:szCs w:val="20"/>
              </w:rPr>
              <w:t>05 septiembre</w:t>
            </w:r>
          </w:p>
        </w:tc>
        <w:tc>
          <w:tcPr>
            <w:tcW w:w="1083" w:type="dxa"/>
            <w:tcBorders>
              <w:top w:val="single" w:sz="4" w:space="0" w:color="auto"/>
              <w:left w:val="single" w:sz="4" w:space="0" w:color="auto"/>
              <w:bottom w:val="single" w:sz="4" w:space="0" w:color="auto"/>
              <w:right w:val="single" w:sz="4" w:space="0" w:color="auto"/>
            </w:tcBorders>
            <w:hideMark/>
          </w:tcPr>
          <w:p w14:paraId="6E6B8BBC" w14:textId="77777777" w:rsidR="00AB58B8" w:rsidRDefault="00AB58B8">
            <w:pPr>
              <w:jc w:val="center"/>
              <w:rPr>
                <w:sz w:val="20"/>
                <w:szCs w:val="20"/>
              </w:rPr>
            </w:pPr>
            <w:r>
              <w:rPr>
                <w:sz w:val="20"/>
                <w:szCs w:val="20"/>
              </w:rPr>
              <w:t>25</w:t>
            </w:r>
          </w:p>
        </w:tc>
      </w:tr>
      <w:tr w:rsidR="00AB58B8" w14:paraId="6E6B8BC2" w14:textId="77777777" w:rsidTr="00AB58B8">
        <w:trPr>
          <w:jc w:val="center"/>
        </w:trPr>
        <w:tc>
          <w:tcPr>
            <w:tcW w:w="3377" w:type="dxa"/>
            <w:tcBorders>
              <w:top w:val="single" w:sz="4" w:space="0" w:color="auto"/>
              <w:left w:val="single" w:sz="4" w:space="0" w:color="auto"/>
              <w:bottom w:val="single" w:sz="4" w:space="0" w:color="auto"/>
              <w:right w:val="single" w:sz="4" w:space="0" w:color="auto"/>
            </w:tcBorders>
            <w:hideMark/>
          </w:tcPr>
          <w:p w14:paraId="6E6B8BBE" w14:textId="77777777" w:rsidR="00AB58B8" w:rsidRDefault="00AB58B8">
            <w:pPr>
              <w:jc w:val="both"/>
              <w:rPr>
                <w:sz w:val="20"/>
                <w:szCs w:val="20"/>
              </w:rPr>
            </w:pPr>
            <w:r>
              <w:rPr>
                <w:sz w:val="20"/>
                <w:szCs w:val="20"/>
              </w:rPr>
              <w:lastRenderedPageBreak/>
              <w:t xml:space="preserve">Verificación de requisitos y causales de inelegibilidad de las candidaturas sustituidas </w:t>
            </w:r>
          </w:p>
        </w:tc>
        <w:tc>
          <w:tcPr>
            <w:tcW w:w="1572" w:type="dxa"/>
            <w:tcBorders>
              <w:top w:val="single" w:sz="4" w:space="0" w:color="auto"/>
              <w:left w:val="single" w:sz="4" w:space="0" w:color="auto"/>
              <w:bottom w:val="single" w:sz="4" w:space="0" w:color="auto"/>
              <w:right w:val="single" w:sz="4" w:space="0" w:color="auto"/>
            </w:tcBorders>
            <w:hideMark/>
          </w:tcPr>
          <w:p w14:paraId="6E6B8BBF" w14:textId="77777777" w:rsidR="00AB58B8" w:rsidRDefault="00AB58B8">
            <w:pPr>
              <w:jc w:val="center"/>
              <w:rPr>
                <w:sz w:val="20"/>
                <w:szCs w:val="20"/>
              </w:rPr>
            </w:pPr>
            <w:r>
              <w:rPr>
                <w:sz w:val="20"/>
                <w:szCs w:val="20"/>
              </w:rPr>
              <w:t>06 septiembre</w:t>
            </w:r>
          </w:p>
        </w:tc>
        <w:tc>
          <w:tcPr>
            <w:tcW w:w="1623" w:type="dxa"/>
            <w:tcBorders>
              <w:top w:val="single" w:sz="4" w:space="0" w:color="auto"/>
              <w:left w:val="single" w:sz="4" w:space="0" w:color="auto"/>
              <w:bottom w:val="single" w:sz="4" w:space="0" w:color="auto"/>
              <w:right w:val="single" w:sz="4" w:space="0" w:color="auto"/>
            </w:tcBorders>
            <w:hideMark/>
          </w:tcPr>
          <w:p w14:paraId="6E6B8BC0" w14:textId="77777777" w:rsidR="00AB58B8" w:rsidRDefault="00AB58B8">
            <w:pPr>
              <w:jc w:val="center"/>
              <w:rPr>
                <w:sz w:val="20"/>
                <w:szCs w:val="20"/>
              </w:rPr>
            </w:pPr>
            <w:r>
              <w:rPr>
                <w:sz w:val="20"/>
                <w:szCs w:val="20"/>
              </w:rPr>
              <w:t>8 septiembre</w:t>
            </w:r>
          </w:p>
        </w:tc>
        <w:tc>
          <w:tcPr>
            <w:tcW w:w="1083" w:type="dxa"/>
            <w:tcBorders>
              <w:top w:val="single" w:sz="4" w:space="0" w:color="auto"/>
              <w:left w:val="single" w:sz="4" w:space="0" w:color="auto"/>
              <w:bottom w:val="single" w:sz="4" w:space="0" w:color="auto"/>
              <w:right w:val="single" w:sz="4" w:space="0" w:color="auto"/>
            </w:tcBorders>
            <w:hideMark/>
          </w:tcPr>
          <w:p w14:paraId="6E6B8BC1" w14:textId="77777777" w:rsidR="00AB58B8" w:rsidRDefault="00AB58B8">
            <w:pPr>
              <w:jc w:val="center"/>
              <w:rPr>
                <w:sz w:val="20"/>
                <w:szCs w:val="20"/>
              </w:rPr>
            </w:pPr>
            <w:r>
              <w:rPr>
                <w:sz w:val="20"/>
                <w:szCs w:val="20"/>
              </w:rPr>
              <w:t>3</w:t>
            </w:r>
          </w:p>
        </w:tc>
      </w:tr>
      <w:tr w:rsidR="00AB58B8" w14:paraId="6E6B8BC6" w14:textId="77777777" w:rsidTr="00AB58B8">
        <w:trPr>
          <w:jc w:val="center"/>
        </w:trPr>
        <w:tc>
          <w:tcPr>
            <w:tcW w:w="3377" w:type="dxa"/>
            <w:tcBorders>
              <w:top w:val="single" w:sz="4" w:space="0" w:color="auto"/>
              <w:left w:val="single" w:sz="4" w:space="0" w:color="auto"/>
              <w:bottom w:val="single" w:sz="4" w:space="0" w:color="auto"/>
              <w:right w:val="single" w:sz="4" w:space="0" w:color="auto"/>
            </w:tcBorders>
            <w:hideMark/>
          </w:tcPr>
          <w:p w14:paraId="6E6B8BC3" w14:textId="77777777" w:rsidR="00AB58B8" w:rsidRDefault="00AB58B8">
            <w:pPr>
              <w:jc w:val="both"/>
              <w:rPr>
                <w:sz w:val="20"/>
                <w:szCs w:val="20"/>
              </w:rPr>
            </w:pPr>
            <w:r>
              <w:rPr>
                <w:sz w:val="20"/>
                <w:szCs w:val="20"/>
              </w:rPr>
              <w:t>Notificación a los partidos políticos de observaciones</w:t>
            </w:r>
          </w:p>
        </w:tc>
        <w:tc>
          <w:tcPr>
            <w:tcW w:w="3195" w:type="dxa"/>
            <w:gridSpan w:val="2"/>
            <w:tcBorders>
              <w:top w:val="single" w:sz="4" w:space="0" w:color="auto"/>
              <w:left w:val="single" w:sz="4" w:space="0" w:color="auto"/>
              <w:bottom w:val="single" w:sz="4" w:space="0" w:color="auto"/>
              <w:right w:val="single" w:sz="4" w:space="0" w:color="auto"/>
            </w:tcBorders>
            <w:hideMark/>
          </w:tcPr>
          <w:p w14:paraId="6E6B8BC4" w14:textId="77777777" w:rsidR="00AB58B8" w:rsidRDefault="00AB58B8">
            <w:pPr>
              <w:jc w:val="center"/>
              <w:rPr>
                <w:sz w:val="20"/>
                <w:szCs w:val="20"/>
              </w:rPr>
            </w:pPr>
            <w:r>
              <w:rPr>
                <w:sz w:val="20"/>
                <w:szCs w:val="20"/>
              </w:rPr>
              <w:t>9 septiembre</w:t>
            </w:r>
          </w:p>
        </w:tc>
        <w:tc>
          <w:tcPr>
            <w:tcW w:w="1083" w:type="dxa"/>
            <w:tcBorders>
              <w:top w:val="single" w:sz="4" w:space="0" w:color="auto"/>
              <w:left w:val="single" w:sz="4" w:space="0" w:color="auto"/>
              <w:bottom w:val="single" w:sz="4" w:space="0" w:color="auto"/>
              <w:right w:val="single" w:sz="4" w:space="0" w:color="auto"/>
            </w:tcBorders>
            <w:hideMark/>
          </w:tcPr>
          <w:p w14:paraId="6E6B8BC5" w14:textId="77777777" w:rsidR="00AB58B8" w:rsidRDefault="00AB58B8">
            <w:pPr>
              <w:jc w:val="center"/>
              <w:rPr>
                <w:sz w:val="20"/>
                <w:szCs w:val="20"/>
              </w:rPr>
            </w:pPr>
            <w:r>
              <w:rPr>
                <w:sz w:val="20"/>
                <w:szCs w:val="20"/>
              </w:rPr>
              <w:t>1</w:t>
            </w:r>
          </w:p>
        </w:tc>
      </w:tr>
      <w:tr w:rsidR="00AB58B8" w14:paraId="6E6B8BCB" w14:textId="77777777" w:rsidTr="00AB58B8">
        <w:trPr>
          <w:jc w:val="center"/>
        </w:trPr>
        <w:tc>
          <w:tcPr>
            <w:tcW w:w="3377" w:type="dxa"/>
            <w:tcBorders>
              <w:top w:val="single" w:sz="4" w:space="0" w:color="auto"/>
              <w:left w:val="single" w:sz="4" w:space="0" w:color="auto"/>
              <w:bottom w:val="single" w:sz="4" w:space="0" w:color="auto"/>
              <w:right w:val="single" w:sz="4" w:space="0" w:color="auto"/>
            </w:tcBorders>
            <w:hideMark/>
          </w:tcPr>
          <w:p w14:paraId="6E6B8BC7" w14:textId="77777777" w:rsidR="00AB58B8" w:rsidRDefault="00AB58B8">
            <w:pPr>
              <w:jc w:val="both"/>
              <w:rPr>
                <w:sz w:val="20"/>
                <w:szCs w:val="20"/>
              </w:rPr>
            </w:pPr>
            <w:r>
              <w:rPr>
                <w:sz w:val="20"/>
                <w:szCs w:val="20"/>
              </w:rPr>
              <w:t>Presentación de las enmiendas a las listas de candidaturas sustitutas</w:t>
            </w:r>
          </w:p>
        </w:tc>
        <w:tc>
          <w:tcPr>
            <w:tcW w:w="1572" w:type="dxa"/>
            <w:tcBorders>
              <w:top w:val="single" w:sz="4" w:space="0" w:color="auto"/>
              <w:left w:val="single" w:sz="4" w:space="0" w:color="auto"/>
              <w:bottom w:val="single" w:sz="4" w:space="0" w:color="auto"/>
              <w:right w:val="single" w:sz="4" w:space="0" w:color="auto"/>
            </w:tcBorders>
            <w:hideMark/>
          </w:tcPr>
          <w:p w14:paraId="6E6B8BC8" w14:textId="77777777" w:rsidR="00AB58B8" w:rsidRDefault="00AB58B8">
            <w:pPr>
              <w:jc w:val="center"/>
              <w:rPr>
                <w:sz w:val="20"/>
                <w:szCs w:val="20"/>
              </w:rPr>
            </w:pPr>
            <w:r>
              <w:rPr>
                <w:sz w:val="20"/>
                <w:szCs w:val="20"/>
              </w:rPr>
              <w:t>10 septiembre</w:t>
            </w:r>
          </w:p>
        </w:tc>
        <w:tc>
          <w:tcPr>
            <w:tcW w:w="1623" w:type="dxa"/>
            <w:tcBorders>
              <w:top w:val="single" w:sz="4" w:space="0" w:color="auto"/>
              <w:left w:val="single" w:sz="4" w:space="0" w:color="auto"/>
              <w:bottom w:val="single" w:sz="4" w:space="0" w:color="auto"/>
              <w:right w:val="single" w:sz="4" w:space="0" w:color="auto"/>
            </w:tcBorders>
            <w:hideMark/>
          </w:tcPr>
          <w:p w14:paraId="6E6B8BC9" w14:textId="77777777" w:rsidR="00AB58B8" w:rsidRDefault="00AB58B8">
            <w:pPr>
              <w:jc w:val="center"/>
              <w:rPr>
                <w:sz w:val="20"/>
                <w:szCs w:val="20"/>
              </w:rPr>
            </w:pPr>
            <w:r>
              <w:rPr>
                <w:sz w:val="20"/>
                <w:szCs w:val="20"/>
              </w:rPr>
              <w:t>12 septiembre</w:t>
            </w:r>
          </w:p>
        </w:tc>
        <w:tc>
          <w:tcPr>
            <w:tcW w:w="1083" w:type="dxa"/>
            <w:tcBorders>
              <w:top w:val="single" w:sz="4" w:space="0" w:color="auto"/>
              <w:left w:val="single" w:sz="4" w:space="0" w:color="auto"/>
              <w:bottom w:val="single" w:sz="4" w:space="0" w:color="auto"/>
              <w:right w:val="single" w:sz="4" w:space="0" w:color="auto"/>
            </w:tcBorders>
            <w:hideMark/>
          </w:tcPr>
          <w:p w14:paraId="6E6B8BCA" w14:textId="77777777" w:rsidR="00AB58B8" w:rsidRDefault="00AB58B8">
            <w:pPr>
              <w:jc w:val="center"/>
              <w:rPr>
                <w:sz w:val="20"/>
                <w:szCs w:val="20"/>
              </w:rPr>
            </w:pPr>
            <w:r>
              <w:rPr>
                <w:sz w:val="20"/>
                <w:szCs w:val="20"/>
              </w:rPr>
              <w:t>3</w:t>
            </w:r>
          </w:p>
        </w:tc>
      </w:tr>
      <w:tr w:rsidR="00AB58B8" w14:paraId="6E6B8BCF" w14:textId="77777777" w:rsidTr="00AB58B8">
        <w:trPr>
          <w:jc w:val="center"/>
        </w:trPr>
        <w:tc>
          <w:tcPr>
            <w:tcW w:w="3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6B8BCC" w14:textId="77777777" w:rsidR="00AB58B8" w:rsidRDefault="00AB58B8">
            <w:pPr>
              <w:jc w:val="both"/>
              <w:rPr>
                <w:sz w:val="20"/>
                <w:szCs w:val="20"/>
              </w:rPr>
            </w:pPr>
            <w:r>
              <w:rPr>
                <w:sz w:val="20"/>
                <w:szCs w:val="20"/>
              </w:rPr>
              <w:t>Publicación de listas de candidaturas sustitutas habilitadas en el portal web</w:t>
            </w:r>
          </w:p>
        </w:tc>
        <w:tc>
          <w:tcPr>
            <w:tcW w:w="31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6B8BCD" w14:textId="77777777" w:rsidR="00AB58B8" w:rsidRDefault="00AB58B8">
            <w:pPr>
              <w:jc w:val="center"/>
              <w:rPr>
                <w:sz w:val="20"/>
                <w:szCs w:val="20"/>
              </w:rPr>
            </w:pPr>
            <w:r>
              <w:rPr>
                <w:sz w:val="20"/>
                <w:szCs w:val="20"/>
              </w:rPr>
              <w:t>15 septiembre</w:t>
            </w:r>
          </w:p>
        </w:tc>
        <w:tc>
          <w:tcPr>
            <w:tcW w:w="10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6B8BCE" w14:textId="77777777" w:rsidR="00AB58B8" w:rsidRDefault="00AB58B8">
            <w:pPr>
              <w:jc w:val="center"/>
              <w:rPr>
                <w:sz w:val="20"/>
                <w:szCs w:val="20"/>
              </w:rPr>
            </w:pPr>
            <w:r>
              <w:rPr>
                <w:sz w:val="20"/>
                <w:szCs w:val="20"/>
              </w:rPr>
              <w:t>1</w:t>
            </w:r>
          </w:p>
        </w:tc>
      </w:tr>
      <w:tr w:rsidR="00AB58B8" w14:paraId="6E6B8BD4" w14:textId="77777777" w:rsidTr="00AB58B8">
        <w:trPr>
          <w:jc w:val="center"/>
        </w:trPr>
        <w:tc>
          <w:tcPr>
            <w:tcW w:w="3377" w:type="dxa"/>
            <w:tcBorders>
              <w:top w:val="single" w:sz="4" w:space="0" w:color="auto"/>
              <w:left w:val="single" w:sz="4" w:space="0" w:color="auto"/>
              <w:bottom w:val="single" w:sz="4" w:space="0" w:color="auto"/>
              <w:right w:val="single" w:sz="4" w:space="0" w:color="auto"/>
            </w:tcBorders>
            <w:hideMark/>
          </w:tcPr>
          <w:p w14:paraId="6E6B8BD0" w14:textId="77777777" w:rsidR="00AB58B8" w:rsidRDefault="00AB58B8">
            <w:pPr>
              <w:jc w:val="both"/>
              <w:rPr>
                <w:sz w:val="20"/>
                <w:szCs w:val="20"/>
              </w:rPr>
            </w:pPr>
            <w:r>
              <w:rPr>
                <w:sz w:val="20"/>
                <w:szCs w:val="20"/>
              </w:rPr>
              <w:t>Sustitución de candidaturas por causa de inhabilitación por fallecimiento, impedimento permanente o incapacidad total</w:t>
            </w:r>
          </w:p>
        </w:tc>
        <w:tc>
          <w:tcPr>
            <w:tcW w:w="1572" w:type="dxa"/>
            <w:tcBorders>
              <w:top w:val="single" w:sz="4" w:space="0" w:color="auto"/>
              <w:left w:val="single" w:sz="4" w:space="0" w:color="auto"/>
              <w:bottom w:val="single" w:sz="4" w:space="0" w:color="auto"/>
              <w:right w:val="single" w:sz="4" w:space="0" w:color="000000"/>
            </w:tcBorders>
            <w:hideMark/>
          </w:tcPr>
          <w:p w14:paraId="6E6B8BD1" w14:textId="77777777" w:rsidR="00AB58B8" w:rsidRDefault="00AB58B8">
            <w:pPr>
              <w:jc w:val="center"/>
              <w:rPr>
                <w:sz w:val="20"/>
                <w:szCs w:val="20"/>
              </w:rPr>
            </w:pPr>
            <w:r>
              <w:rPr>
                <w:sz w:val="20"/>
                <w:szCs w:val="20"/>
              </w:rPr>
              <w:t>6 septiembre</w:t>
            </w:r>
          </w:p>
        </w:tc>
        <w:tc>
          <w:tcPr>
            <w:tcW w:w="1623" w:type="dxa"/>
            <w:tcBorders>
              <w:top w:val="single" w:sz="4" w:space="0" w:color="auto"/>
              <w:left w:val="single" w:sz="4" w:space="0" w:color="000000"/>
              <w:bottom w:val="single" w:sz="4" w:space="0" w:color="auto"/>
              <w:right w:val="single" w:sz="4" w:space="0" w:color="auto"/>
            </w:tcBorders>
            <w:hideMark/>
          </w:tcPr>
          <w:p w14:paraId="6E6B8BD2" w14:textId="77777777" w:rsidR="00AB58B8" w:rsidRDefault="00AB58B8">
            <w:pPr>
              <w:jc w:val="center"/>
              <w:rPr>
                <w:sz w:val="20"/>
                <w:szCs w:val="20"/>
              </w:rPr>
            </w:pPr>
            <w:r>
              <w:rPr>
                <w:sz w:val="20"/>
                <w:szCs w:val="20"/>
              </w:rPr>
              <w:t>16 octubre</w:t>
            </w:r>
          </w:p>
        </w:tc>
        <w:tc>
          <w:tcPr>
            <w:tcW w:w="1083" w:type="dxa"/>
            <w:tcBorders>
              <w:top w:val="single" w:sz="4" w:space="0" w:color="auto"/>
              <w:left w:val="single" w:sz="4" w:space="0" w:color="auto"/>
              <w:bottom w:val="single" w:sz="4" w:space="0" w:color="auto"/>
              <w:right w:val="single" w:sz="4" w:space="0" w:color="auto"/>
            </w:tcBorders>
          </w:tcPr>
          <w:p w14:paraId="6E6B8BD3" w14:textId="77777777" w:rsidR="00AB58B8" w:rsidRDefault="00AB58B8">
            <w:pPr>
              <w:jc w:val="center"/>
              <w:rPr>
                <w:sz w:val="20"/>
                <w:szCs w:val="20"/>
              </w:rPr>
            </w:pPr>
          </w:p>
        </w:tc>
      </w:tr>
      <w:tr w:rsidR="00AB58B8" w14:paraId="6E6B8BD8" w14:textId="77777777" w:rsidTr="00AB58B8">
        <w:trPr>
          <w:jc w:val="center"/>
        </w:trPr>
        <w:tc>
          <w:tcPr>
            <w:tcW w:w="3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6B8BD5" w14:textId="77777777" w:rsidR="00AB58B8" w:rsidRDefault="00AB58B8">
            <w:pPr>
              <w:jc w:val="both"/>
              <w:rPr>
                <w:sz w:val="20"/>
                <w:szCs w:val="20"/>
              </w:rPr>
            </w:pPr>
            <w:r>
              <w:rPr>
                <w:sz w:val="20"/>
                <w:szCs w:val="20"/>
              </w:rPr>
              <w:t xml:space="preserve">Publicación final de candidaturas habilitadas </w:t>
            </w:r>
          </w:p>
        </w:tc>
        <w:tc>
          <w:tcPr>
            <w:tcW w:w="31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6B8BD6" w14:textId="77777777" w:rsidR="00AB58B8" w:rsidRDefault="00AB58B8">
            <w:pPr>
              <w:jc w:val="center"/>
              <w:rPr>
                <w:sz w:val="20"/>
                <w:szCs w:val="20"/>
              </w:rPr>
            </w:pPr>
            <w:r>
              <w:rPr>
                <w:sz w:val="20"/>
                <w:szCs w:val="20"/>
              </w:rPr>
              <w:t>19 octubre</w:t>
            </w:r>
          </w:p>
        </w:tc>
        <w:tc>
          <w:tcPr>
            <w:tcW w:w="10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6B8BD7" w14:textId="77777777" w:rsidR="00AB58B8" w:rsidRDefault="00AB58B8">
            <w:pPr>
              <w:jc w:val="center"/>
              <w:rPr>
                <w:sz w:val="20"/>
                <w:szCs w:val="20"/>
              </w:rPr>
            </w:pPr>
            <w:r>
              <w:rPr>
                <w:sz w:val="20"/>
                <w:szCs w:val="20"/>
              </w:rPr>
              <w:t>1</w:t>
            </w:r>
          </w:p>
        </w:tc>
      </w:tr>
    </w:tbl>
    <w:p w14:paraId="6E6B8BD9" w14:textId="77777777" w:rsidR="00AB58B8" w:rsidRDefault="00AB58B8" w:rsidP="00AB58B8">
      <w:pPr>
        <w:ind w:firstLine="708"/>
        <w:jc w:val="both"/>
        <w:rPr>
          <w:sz w:val="22"/>
          <w:szCs w:val="22"/>
        </w:rPr>
      </w:pPr>
      <w:r>
        <w:rPr>
          <w:sz w:val="22"/>
          <w:szCs w:val="22"/>
        </w:rPr>
        <w:t>Fuente: Calendario electoral elecciones generales 2019. OEP.</w:t>
      </w:r>
    </w:p>
    <w:p w14:paraId="6E6B8BDA" w14:textId="77777777" w:rsidR="00AB58B8" w:rsidRDefault="00AB58B8" w:rsidP="00AB58B8">
      <w:pPr>
        <w:jc w:val="both"/>
        <w:rPr>
          <w:sz w:val="22"/>
          <w:szCs w:val="22"/>
        </w:rPr>
      </w:pPr>
    </w:p>
    <w:p w14:paraId="6E6B8BDB" w14:textId="77777777" w:rsidR="00AB58B8" w:rsidRDefault="00AB58B8" w:rsidP="00AB58B8">
      <w:pPr>
        <w:jc w:val="both"/>
        <w:rPr>
          <w:sz w:val="22"/>
          <w:szCs w:val="22"/>
        </w:rPr>
      </w:pPr>
      <w:r>
        <w:rPr>
          <w:sz w:val="22"/>
          <w:szCs w:val="22"/>
        </w:rPr>
        <w:t>Al respecto, distintos actores manifestaron a la Misión que los plazos para la inscripción de candidaturas a senadurías y diputaciones (1 día) así como para la presentación de enmiendas (3 días) fueron insuficientes.  La MOE observó que, atendiendo a los reclamos de los partidos, el TSE modificó algunos de las fechas del calendario. Particularmente, mediante instructivo TSE-PRES-SC-037/2019, la Sala Plana amplió el plazo para la presentación de la documentación de respaldo de candidatos y candidatas: si bien, originalmente, esto debía hacerse al 20 de julio, se otorgó a los partidos tiempo hasta el 24 de julio para complementar excepcionalmente los documentos que no hubieran presentado.</w:t>
      </w:r>
    </w:p>
    <w:p w14:paraId="6E6B8BDC" w14:textId="77777777" w:rsidR="00AB58B8" w:rsidRDefault="00AB58B8" w:rsidP="00AB58B8">
      <w:pPr>
        <w:jc w:val="both"/>
        <w:rPr>
          <w:sz w:val="22"/>
          <w:szCs w:val="22"/>
        </w:rPr>
      </w:pPr>
    </w:p>
    <w:p w14:paraId="6E6B8BDD" w14:textId="77777777" w:rsidR="00AB58B8" w:rsidRDefault="00AB58B8" w:rsidP="00AB58B8">
      <w:pPr>
        <w:jc w:val="both"/>
        <w:rPr>
          <w:sz w:val="22"/>
          <w:szCs w:val="22"/>
        </w:rPr>
      </w:pPr>
      <w:r>
        <w:rPr>
          <w:sz w:val="22"/>
          <w:szCs w:val="22"/>
        </w:rPr>
        <w:t xml:space="preserve">A pesar de las modificaciones, de acuerdo con algunos testimonios, la falta de tiempo para reunir documentación y realizar enmiendas podría haber influido en el alto número de candidaturas inhabilitadas. De acuerdo con la información recibida, al 15 de septiembres, éstas alcanzaban las 734. </w:t>
      </w:r>
    </w:p>
    <w:p w14:paraId="6E6B8BDE" w14:textId="77777777" w:rsidR="00AB58B8" w:rsidRDefault="00AB58B8" w:rsidP="00AB58B8">
      <w:pPr>
        <w:jc w:val="both"/>
        <w:rPr>
          <w:sz w:val="22"/>
          <w:szCs w:val="22"/>
        </w:rPr>
      </w:pPr>
    </w:p>
    <w:p w14:paraId="6E6B8BDF" w14:textId="77777777" w:rsidR="00AB58B8" w:rsidRDefault="00AB58B8" w:rsidP="00AB58B8">
      <w:pPr>
        <w:jc w:val="center"/>
        <w:rPr>
          <w:b/>
          <w:bCs/>
          <w:sz w:val="22"/>
          <w:szCs w:val="22"/>
        </w:rPr>
      </w:pPr>
      <w:r>
        <w:rPr>
          <w:b/>
          <w:bCs/>
          <w:sz w:val="22"/>
          <w:szCs w:val="22"/>
        </w:rPr>
        <w:t>Candidaturas Habilitadas, Inhabilitadas, Renuncias</w:t>
      </w:r>
    </w:p>
    <w:p w14:paraId="6E6B8BE0" w14:textId="77777777" w:rsidR="00AB58B8" w:rsidRDefault="00AB58B8" w:rsidP="00AB58B8">
      <w:pPr>
        <w:jc w:val="center"/>
        <w:rPr>
          <w:b/>
          <w:bCs/>
          <w:sz w:val="22"/>
          <w:szCs w:val="22"/>
        </w:rPr>
      </w:pPr>
    </w:p>
    <w:tbl>
      <w:tblPr>
        <w:tblStyle w:val="TableGrid"/>
        <w:tblW w:w="0" w:type="auto"/>
        <w:tblInd w:w="0" w:type="dxa"/>
        <w:tblLook w:val="04A0" w:firstRow="1" w:lastRow="0" w:firstColumn="1" w:lastColumn="0" w:noHBand="0" w:noVBand="1"/>
      </w:tblPr>
      <w:tblGrid>
        <w:gridCol w:w="1765"/>
        <w:gridCol w:w="1765"/>
        <w:gridCol w:w="1766"/>
        <w:gridCol w:w="1766"/>
        <w:gridCol w:w="1766"/>
      </w:tblGrid>
      <w:tr w:rsidR="00AB58B8" w14:paraId="6E6B8BE6" w14:textId="77777777" w:rsidTr="00AB58B8">
        <w:tc>
          <w:tcPr>
            <w:tcW w:w="1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6B8BE1" w14:textId="77777777" w:rsidR="00AB58B8" w:rsidRDefault="00AB58B8">
            <w:pPr>
              <w:jc w:val="center"/>
              <w:rPr>
                <w:b/>
                <w:bCs/>
                <w:sz w:val="22"/>
                <w:szCs w:val="22"/>
              </w:rPr>
            </w:pPr>
            <w:r>
              <w:rPr>
                <w:b/>
                <w:bCs/>
              </w:rPr>
              <w:t>Organización política</w:t>
            </w:r>
          </w:p>
        </w:tc>
        <w:tc>
          <w:tcPr>
            <w:tcW w:w="1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6B8BE2" w14:textId="77777777" w:rsidR="00AB58B8" w:rsidRDefault="00AB58B8">
            <w:pPr>
              <w:jc w:val="center"/>
              <w:rPr>
                <w:b/>
                <w:bCs/>
              </w:rPr>
            </w:pPr>
            <w:r>
              <w:rPr>
                <w:b/>
                <w:bCs/>
              </w:rPr>
              <w:t>Habilitado</w:t>
            </w:r>
          </w:p>
        </w:tc>
        <w:tc>
          <w:tcPr>
            <w:tcW w:w="17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6B8BE3" w14:textId="77777777" w:rsidR="00AB58B8" w:rsidRDefault="00AB58B8">
            <w:pPr>
              <w:jc w:val="center"/>
              <w:rPr>
                <w:b/>
                <w:bCs/>
              </w:rPr>
            </w:pPr>
            <w:r>
              <w:rPr>
                <w:b/>
                <w:bCs/>
              </w:rPr>
              <w:t>Inhabilitado</w:t>
            </w:r>
          </w:p>
        </w:tc>
        <w:tc>
          <w:tcPr>
            <w:tcW w:w="17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6B8BE4" w14:textId="77777777" w:rsidR="00AB58B8" w:rsidRDefault="00AB58B8">
            <w:pPr>
              <w:jc w:val="center"/>
              <w:rPr>
                <w:b/>
                <w:bCs/>
              </w:rPr>
            </w:pPr>
            <w:r>
              <w:rPr>
                <w:b/>
                <w:bCs/>
              </w:rPr>
              <w:t>Renuncia</w:t>
            </w:r>
          </w:p>
        </w:tc>
        <w:tc>
          <w:tcPr>
            <w:tcW w:w="17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6B8BE5" w14:textId="77777777" w:rsidR="00AB58B8" w:rsidRDefault="00AB58B8">
            <w:pPr>
              <w:jc w:val="center"/>
              <w:rPr>
                <w:b/>
                <w:bCs/>
              </w:rPr>
            </w:pPr>
            <w:r>
              <w:rPr>
                <w:b/>
                <w:bCs/>
              </w:rPr>
              <w:t>Total General</w:t>
            </w:r>
          </w:p>
        </w:tc>
      </w:tr>
      <w:tr w:rsidR="00AB58B8" w14:paraId="6E6B8BEC" w14:textId="77777777" w:rsidTr="00AB58B8">
        <w:tc>
          <w:tcPr>
            <w:tcW w:w="1765" w:type="dxa"/>
            <w:tcBorders>
              <w:top w:val="single" w:sz="4" w:space="0" w:color="auto"/>
              <w:left w:val="single" w:sz="4" w:space="0" w:color="auto"/>
              <w:bottom w:val="single" w:sz="4" w:space="0" w:color="auto"/>
              <w:right w:val="single" w:sz="4" w:space="0" w:color="auto"/>
            </w:tcBorders>
            <w:hideMark/>
          </w:tcPr>
          <w:p w14:paraId="6E6B8BE7" w14:textId="77777777" w:rsidR="00AB58B8" w:rsidRDefault="00AB58B8">
            <w:pPr>
              <w:jc w:val="both"/>
            </w:pPr>
            <w:r>
              <w:t>21 f</w:t>
            </w:r>
          </w:p>
        </w:tc>
        <w:tc>
          <w:tcPr>
            <w:tcW w:w="1765" w:type="dxa"/>
            <w:tcBorders>
              <w:top w:val="single" w:sz="4" w:space="0" w:color="auto"/>
              <w:left w:val="single" w:sz="4" w:space="0" w:color="auto"/>
              <w:bottom w:val="single" w:sz="4" w:space="0" w:color="auto"/>
              <w:right w:val="single" w:sz="4" w:space="0" w:color="auto"/>
            </w:tcBorders>
            <w:hideMark/>
          </w:tcPr>
          <w:p w14:paraId="6E6B8BE8" w14:textId="77777777" w:rsidR="00AB58B8" w:rsidRDefault="00AB58B8">
            <w:pPr>
              <w:jc w:val="center"/>
            </w:pPr>
            <w:r>
              <w:t>301</w:t>
            </w:r>
          </w:p>
        </w:tc>
        <w:tc>
          <w:tcPr>
            <w:tcW w:w="1766" w:type="dxa"/>
            <w:tcBorders>
              <w:top w:val="single" w:sz="4" w:space="0" w:color="auto"/>
              <w:left w:val="single" w:sz="4" w:space="0" w:color="auto"/>
              <w:bottom w:val="single" w:sz="4" w:space="0" w:color="auto"/>
              <w:right w:val="single" w:sz="4" w:space="0" w:color="auto"/>
            </w:tcBorders>
            <w:hideMark/>
          </w:tcPr>
          <w:p w14:paraId="6E6B8BE9" w14:textId="77777777" w:rsidR="00AB58B8" w:rsidRDefault="00AB58B8">
            <w:pPr>
              <w:jc w:val="center"/>
            </w:pPr>
            <w:r>
              <w:t>26</w:t>
            </w:r>
          </w:p>
        </w:tc>
        <w:tc>
          <w:tcPr>
            <w:tcW w:w="1766" w:type="dxa"/>
            <w:tcBorders>
              <w:top w:val="single" w:sz="4" w:space="0" w:color="auto"/>
              <w:left w:val="single" w:sz="4" w:space="0" w:color="auto"/>
              <w:bottom w:val="single" w:sz="4" w:space="0" w:color="auto"/>
              <w:right w:val="single" w:sz="4" w:space="0" w:color="auto"/>
            </w:tcBorders>
            <w:hideMark/>
          </w:tcPr>
          <w:p w14:paraId="6E6B8BEA" w14:textId="77777777" w:rsidR="00AB58B8" w:rsidRDefault="00AB58B8">
            <w:pPr>
              <w:jc w:val="center"/>
            </w:pPr>
            <w:r>
              <w:t>3</w:t>
            </w:r>
          </w:p>
        </w:tc>
        <w:tc>
          <w:tcPr>
            <w:tcW w:w="1766" w:type="dxa"/>
            <w:tcBorders>
              <w:top w:val="single" w:sz="4" w:space="0" w:color="auto"/>
              <w:left w:val="single" w:sz="4" w:space="0" w:color="auto"/>
              <w:bottom w:val="single" w:sz="4" w:space="0" w:color="auto"/>
              <w:right w:val="single" w:sz="4" w:space="0" w:color="auto"/>
            </w:tcBorders>
            <w:hideMark/>
          </w:tcPr>
          <w:p w14:paraId="6E6B8BEB" w14:textId="77777777" w:rsidR="00AB58B8" w:rsidRDefault="00AB58B8">
            <w:pPr>
              <w:jc w:val="center"/>
            </w:pPr>
            <w:r>
              <w:t>330</w:t>
            </w:r>
          </w:p>
        </w:tc>
      </w:tr>
      <w:tr w:rsidR="00AB58B8" w14:paraId="6E6B8BF2" w14:textId="77777777" w:rsidTr="00AB58B8">
        <w:tc>
          <w:tcPr>
            <w:tcW w:w="1765" w:type="dxa"/>
            <w:tcBorders>
              <w:top w:val="single" w:sz="4" w:space="0" w:color="auto"/>
              <w:left w:val="single" w:sz="4" w:space="0" w:color="auto"/>
              <w:bottom w:val="single" w:sz="4" w:space="0" w:color="auto"/>
              <w:right w:val="single" w:sz="4" w:space="0" w:color="auto"/>
            </w:tcBorders>
            <w:hideMark/>
          </w:tcPr>
          <w:p w14:paraId="6E6B8BED" w14:textId="77777777" w:rsidR="00AB58B8" w:rsidRDefault="00AB58B8">
            <w:pPr>
              <w:jc w:val="both"/>
            </w:pPr>
            <w:r>
              <w:t>C.C.</w:t>
            </w:r>
          </w:p>
        </w:tc>
        <w:tc>
          <w:tcPr>
            <w:tcW w:w="1765" w:type="dxa"/>
            <w:tcBorders>
              <w:top w:val="single" w:sz="4" w:space="0" w:color="auto"/>
              <w:left w:val="single" w:sz="4" w:space="0" w:color="auto"/>
              <w:bottom w:val="single" w:sz="4" w:space="0" w:color="auto"/>
              <w:right w:val="single" w:sz="4" w:space="0" w:color="auto"/>
            </w:tcBorders>
            <w:hideMark/>
          </w:tcPr>
          <w:p w14:paraId="6E6B8BEE" w14:textId="77777777" w:rsidR="00AB58B8" w:rsidRDefault="00AB58B8">
            <w:pPr>
              <w:jc w:val="center"/>
            </w:pPr>
            <w:r>
              <w:t>344</w:t>
            </w:r>
          </w:p>
        </w:tc>
        <w:tc>
          <w:tcPr>
            <w:tcW w:w="1766" w:type="dxa"/>
            <w:tcBorders>
              <w:top w:val="single" w:sz="4" w:space="0" w:color="auto"/>
              <w:left w:val="single" w:sz="4" w:space="0" w:color="auto"/>
              <w:bottom w:val="single" w:sz="4" w:space="0" w:color="auto"/>
              <w:right w:val="single" w:sz="4" w:space="0" w:color="auto"/>
            </w:tcBorders>
            <w:hideMark/>
          </w:tcPr>
          <w:p w14:paraId="6E6B8BEF" w14:textId="77777777" w:rsidR="00AB58B8" w:rsidRDefault="00AB58B8">
            <w:pPr>
              <w:jc w:val="center"/>
            </w:pPr>
            <w:r>
              <w:t>5</w:t>
            </w:r>
          </w:p>
        </w:tc>
        <w:tc>
          <w:tcPr>
            <w:tcW w:w="1766" w:type="dxa"/>
            <w:tcBorders>
              <w:top w:val="single" w:sz="4" w:space="0" w:color="auto"/>
              <w:left w:val="single" w:sz="4" w:space="0" w:color="auto"/>
              <w:bottom w:val="single" w:sz="4" w:space="0" w:color="auto"/>
              <w:right w:val="single" w:sz="4" w:space="0" w:color="auto"/>
            </w:tcBorders>
            <w:hideMark/>
          </w:tcPr>
          <w:p w14:paraId="6E6B8BF0" w14:textId="77777777" w:rsidR="00AB58B8" w:rsidRDefault="00AB58B8">
            <w:pPr>
              <w:jc w:val="center"/>
            </w:pPr>
            <w:r>
              <w:t>1</w:t>
            </w:r>
          </w:p>
        </w:tc>
        <w:tc>
          <w:tcPr>
            <w:tcW w:w="1766" w:type="dxa"/>
            <w:tcBorders>
              <w:top w:val="single" w:sz="4" w:space="0" w:color="auto"/>
              <w:left w:val="single" w:sz="4" w:space="0" w:color="auto"/>
              <w:bottom w:val="single" w:sz="4" w:space="0" w:color="auto"/>
              <w:right w:val="single" w:sz="4" w:space="0" w:color="auto"/>
            </w:tcBorders>
            <w:hideMark/>
          </w:tcPr>
          <w:p w14:paraId="6E6B8BF1" w14:textId="77777777" w:rsidR="00AB58B8" w:rsidRDefault="00AB58B8">
            <w:pPr>
              <w:jc w:val="center"/>
            </w:pPr>
            <w:r>
              <w:t>350</w:t>
            </w:r>
          </w:p>
        </w:tc>
      </w:tr>
      <w:tr w:rsidR="00AB58B8" w14:paraId="6E6B8BF8" w14:textId="77777777" w:rsidTr="00AB58B8">
        <w:tc>
          <w:tcPr>
            <w:tcW w:w="1765" w:type="dxa"/>
            <w:tcBorders>
              <w:top w:val="single" w:sz="4" w:space="0" w:color="auto"/>
              <w:left w:val="single" w:sz="4" w:space="0" w:color="auto"/>
              <w:bottom w:val="single" w:sz="4" w:space="0" w:color="auto"/>
              <w:right w:val="single" w:sz="4" w:space="0" w:color="auto"/>
            </w:tcBorders>
            <w:hideMark/>
          </w:tcPr>
          <w:p w14:paraId="6E6B8BF3" w14:textId="77777777" w:rsidR="00AB58B8" w:rsidRDefault="00AB58B8">
            <w:pPr>
              <w:jc w:val="both"/>
            </w:pPr>
            <w:r>
              <w:t>FPV</w:t>
            </w:r>
          </w:p>
        </w:tc>
        <w:tc>
          <w:tcPr>
            <w:tcW w:w="1765" w:type="dxa"/>
            <w:tcBorders>
              <w:top w:val="single" w:sz="4" w:space="0" w:color="auto"/>
              <w:left w:val="single" w:sz="4" w:space="0" w:color="auto"/>
              <w:bottom w:val="single" w:sz="4" w:space="0" w:color="auto"/>
              <w:right w:val="single" w:sz="4" w:space="0" w:color="auto"/>
            </w:tcBorders>
            <w:hideMark/>
          </w:tcPr>
          <w:p w14:paraId="6E6B8BF4" w14:textId="77777777" w:rsidR="00AB58B8" w:rsidRDefault="00AB58B8">
            <w:pPr>
              <w:jc w:val="center"/>
            </w:pPr>
            <w:r>
              <w:t>72</w:t>
            </w:r>
          </w:p>
        </w:tc>
        <w:tc>
          <w:tcPr>
            <w:tcW w:w="1766" w:type="dxa"/>
            <w:tcBorders>
              <w:top w:val="single" w:sz="4" w:space="0" w:color="auto"/>
              <w:left w:val="single" w:sz="4" w:space="0" w:color="auto"/>
              <w:bottom w:val="single" w:sz="4" w:space="0" w:color="auto"/>
              <w:right w:val="single" w:sz="4" w:space="0" w:color="auto"/>
            </w:tcBorders>
            <w:hideMark/>
          </w:tcPr>
          <w:p w14:paraId="6E6B8BF5" w14:textId="77777777" w:rsidR="00AB58B8" w:rsidRDefault="00AB58B8">
            <w:pPr>
              <w:jc w:val="center"/>
            </w:pPr>
            <w:r>
              <w:t>244</w:t>
            </w:r>
          </w:p>
        </w:tc>
        <w:tc>
          <w:tcPr>
            <w:tcW w:w="1766" w:type="dxa"/>
            <w:tcBorders>
              <w:top w:val="single" w:sz="4" w:space="0" w:color="auto"/>
              <w:left w:val="single" w:sz="4" w:space="0" w:color="auto"/>
              <w:bottom w:val="single" w:sz="4" w:space="0" w:color="auto"/>
              <w:right w:val="single" w:sz="4" w:space="0" w:color="auto"/>
            </w:tcBorders>
            <w:hideMark/>
          </w:tcPr>
          <w:p w14:paraId="6E6B8BF6" w14:textId="77777777" w:rsidR="00AB58B8" w:rsidRDefault="00AB58B8">
            <w:pPr>
              <w:jc w:val="center"/>
            </w:pPr>
            <w:r>
              <w:t>0</w:t>
            </w:r>
          </w:p>
        </w:tc>
        <w:tc>
          <w:tcPr>
            <w:tcW w:w="1766" w:type="dxa"/>
            <w:tcBorders>
              <w:top w:val="single" w:sz="4" w:space="0" w:color="auto"/>
              <w:left w:val="single" w:sz="4" w:space="0" w:color="auto"/>
              <w:bottom w:val="single" w:sz="4" w:space="0" w:color="auto"/>
              <w:right w:val="single" w:sz="4" w:space="0" w:color="auto"/>
            </w:tcBorders>
            <w:hideMark/>
          </w:tcPr>
          <w:p w14:paraId="6E6B8BF7" w14:textId="77777777" w:rsidR="00AB58B8" w:rsidRDefault="00AB58B8">
            <w:pPr>
              <w:jc w:val="center"/>
            </w:pPr>
            <w:r>
              <w:t>316</w:t>
            </w:r>
          </w:p>
        </w:tc>
      </w:tr>
      <w:tr w:rsidR="00AB58B8" w14:paraId="6E6B8BFE" w14:textId="77777777" w:rsidTr="00AB58B8">
        <w:tc>
          <w:tcPr>
            <w:tcW w:w="1765" w:type="dxa"/>
            <w:tcBorders>
              <w:top w:val="single" w:sz="4" w:space="0" w:color="auto"/>
              <w:left w:val="single" w:sz="4" w:space="0" w:color="auto"/>
              <w:bottom w:val="single" w:sz="4" w:space="0" w:color="auto"/>
              <w:right w:val="single" w:sz="4" w:space="0" w:color="auto"/>
            </w:tcBorders>
            <w:hideMark/>
          </w:tcPr>
          <w:p w14:paraId="6E6B8BF9" w14:textId="77777777" w:rsidR="00AB58B8" w:rsidRDefault="00AB58B8">
            <w:pPr>
              <w:jc w:val="both"/>
            </w:pPr>
            <w:r>
              <w:t>MAS-IPSP</w:t>
            </w:r>
          </w:p>
        </w:tc>
        <w:tc>
          <w:tcPr>
            <w:tcW w:w="1765" w:type="dxa"/>
            <w:tcBorders>
              <w:top w:val="single" w:sz="4" w:space="0" w:color="auto"/>
              <w:left w:val="single" w:sz="4" w:space="0" w:color="auto"/>
              <w:bottom w:val="single" w:sz="4" w:space="0" w:color="auto"/>
              <w:right w:val="single" w:sz="4" w:space="0" w:color="auto"/>
            </w:tcBorders>
            <w:hideMark/>
          </w:tcPr>
          <w:p w14:paraId="6E6B8BFA" w14:textId="77777777" w:rsidR="00AB58B8" w:rsidRDefault="00AB58B8">
            <w:pPr>
              <w:jc w:val="center"/>
            </w:pPr>
            <w:r>
              <w:t>352</w:t>
            </w:r>
          </w:p>
        </w:tc>
        <w:tc>
          <w:tcPr>
            <w:tcW w:w="1766" w:type="dxa"/>
            <w:tcBorders>
              <w:top w:val="single" w:sz="4" w:space="0" w:color="auto"/>
              <w:left w:val="single" w:sz="4" w:space="0" w:color="auto"/>
              <w:bottom w:val="single" w:sz="4" w:space="0" w:color="auto"/>
              <w:right w:val="single" w:sz="4" w:space="0" w:color="auto"/>
            </w:tcBorders>
            <w:hideMark/>
          </w:tcPr>
          <w:p w14:paraId="6E6B8BFB" w14:textId="77777777" w:rsidR="00AB58B8" w:rsidRDefault="00AB58B8">
            <w:pPr>
              <w:jc w:val="center"/>
            </w:pPr>
            <w:r>
              <w:t>0</w:t>
            </w:r>
          </w:p>
        </w:tc>
        <w:tc>
          <w:tcPr>
            <w:tcW w:w="1766" w:type="dxa"/>
            <w:tcBorders>
              <w:top w:val="single" w:sz="4" w:space="0" w:color="auto"/>
              <w:left w:val="single" w:sz="4" w:space="0" w:color="auto"/>
              <w:bottom w:val="single" w:sz="4" w:space="0" w:color="auto"/>
              <w:right w:val="single" w:sz="4" w:space="0" w:color="auto"/>
            </w:tcBorders>
            <w:hideMark/>
          </w:tcPr>
          <w:p w14:paraId="6E6B8BFC" w14:textId="77777777" w:rsidR="00AB58B8" w:rsidRDefault="00AB58B8">
            <w:pPr>
              <w:jc w:val="center"/>
            </w:pPr>
            <w:r>
              <w:t>0</w:t>
            </w:r>
          </w:p>
        </w:tc>
        <w:tc>
          <w:tcPr>
            <w:tcW w:w="1766" w:type="dxa"/>
            <w:tcBorders>
              <w:top w:val="single" w:sz="4" w:space="0" w:color="auto"/>
              <w:left w:val="single" w:sz="4" w:space="0" w:color="auto"/>
              <w:bottom w:val="single" w:sz="4" w:space="0" w:color="auto"/>
              <w:right w:val="single" w:sz="4" w:space="0" w:color="auto"/>
            </w:tcBorders>
            <w:hideMark/>
          </w:tcPr>
          <w:p w14:paraId="6E6B8BFD" w14:textId="77777777" w:rsidR="00AB58B8" w:rsidRDefault="00AB58B8">
            <w:pPr>
              <w:jc w:val="center"/>
            </w:pPr>
            <w:r>
              <w:t>352</w:t>
            </w:r>
          </w:p>
        </w:tc>
      </w:tr>
      <w:tr w:rsidR="00AB58B8" w14:paraId="6E6B8C04" w14:textId="77777777" w:rsidTr="00AB58B8">
        <w:tc>
          <w:tcPr>
            <w:tcW w:w="1765" w:type="dxa"/>
            <w:tcBorders>
              <w:top w:val="single" w:sz="4" w:space="0" w:color="auto"/>
              <w:left w:val="single" w:sz="4" w:space="0" w:color="auto"/>
              <w:bottom w:val="single" w:sz="4" w:space="0" w:color="auto"/>
              <w:right w:val="single" w:sz="4" w:space="0" w:color="auto"/>
            </w:tcBorders>
            <w:hideMark/>
          </w:tcPr>
          <w:p w14:paraId="6E6B8BFF" w14:textId="77777777" w:rsidR="00AB58B8" w:rsidRDefault="00AB58B8">
            <w:pPr>
              <w:jc w:val="both"/>
            </w:pPr>
            <w:r>
              <w:t>MNR</w:t>
            </w:r>
          </w:p>
        </w:tc>
        <w:tc>
          <w:tcPr>
            <w:tcW w:w="1765" w:type="dxa"/>
            <w:tcBorders>
              <w:top w:val="single" w:sz="4" w:space="0" w:color="auto"/>
              <w:left w:val="single" w:sz="4" w:space="0" w:color="auto"/>
              <w:bottom w:val="single" w:sz="4" w:space="0" w:color="auto"/>
              <w:right w:val="single" w:sz="4" w:space="0" w:color="auto"/>
            </w:tcBorders>
            <w:hideMark/>
          </w:tcPr>
          <w:p w14:paraId="6E6B8C00" w14:textId="77777777" w:rsidR="00AB58B8" w:rsidRDefault="00AB58B8">
            <w:pPr>
              <w:jc w:val="center"/>
            </w:pPr>
            <w:r>
              <w:t>181</w:t>
            </w:r>
          </w:p>
        </w:tc>
        <w:tc>
          <w:tcPr>
            <w:tcW w:w="1766" w:type="dxa"/>
            <w:tcBorders>
              <w:top w:val="single" w:sz="4" w:space="0" w:color="auto"/>
              <w:left w:val="single" w:sz="4" w:space="0" w:color="auto"/>
              <w:bottom w:val="single" w:sz="4" w:space="0" w:color="auto"/>
              <w:right w:val="single" w:sz="4" w:space="0" w:color="auto"/>
            </w:tcBorders>
            <w:hideMark/>
          </w:tcPr>
          <w:p w14:paraId="6E6B8C01" w14:textId="77777777" w:rsidR="00AB58B8" w:rsidRDefault="00AB58B8">
            <w:pPr>
              <w:jc w:val="center"/>
            </w:pPr>
            <w:r>
              <w:t>42</w:t>
            </w:r>
          </w:p>
        </w:tc>
        <w:tc>
          <w:tcPr>
            <w:tcW w:w="1766" w:type="dxa"/>
            <w:tcBorders>
              <w:top w:val="single" w:sz="4" w:space="0" w:color="auto"/>
              <w:left w:val="single" w:sz="4" w:space="0" w:color="auto"/>
              <w:bottom w:val="single" w:sz="4" w:space="0" w:color="auto"/>
              <w:right w:val="single" w:sz="4" w:space="0" w:color="auto"/>
            </w:tcBorders>
            <w:hideMark/>
          </w:tcPr>
          <w:p w14:paraId="6E6B8C02" w14:textId="77777777" w:rsidR="00AB58B8" w:rsidRDefault="00AB58B8">
            <w:pPr>
              <w:jc w:val="center"/>
            </w:pPr>
            <w:r>
              <w:t>1</w:t>
            </w:r>
          </w:p>
        </w:tc>
        <w:tc>
          <w:tcPr>
            <w:tcW w:w="1766" w:type="dxa"/>
            <w:tcBorders>
              <w:top w:val="single" w:sz="4" w:space="0" w:color="auto"/>
              <w:left w:val="single" w:sz="4" w:space="0" w:color="auto"/>
              <w:bottom w:val="single" w:sz="4" w:space="0" w:color="auto"/>
              <w:right w:val="single" w:sz="4" w:space="0" w:color="auto"/>
            </w:tcBorders>
            <w:hideMark/>
          </w:tcPr>
          <w:p w14:paraId="6E6B8C03" w14:textId="77777777" w:rsidR="00AB58B8" w:rsidRDefault="00AB58B8">
            <w:pPr>
              <w:jc w:val="center"/>
            </w:pPr>
            <w:r>
              <w:t>224</w:t>
            </w:r>
          </w:p>
        </w:tc>
      </w:tr>
      <w:tr w:rsidR="00AB58B8" w14:paraId="6E6B8C0A" w14:textId="77777777" w:rsidTr="00AB58B8">
        <w:tc>
          <w:tcPr>
            <w:tcW w:w="1765" w:type="dxa"/>
            <w:tcBorders>
              <w:top w:val="single" w:sz="4" w:space="0" w:color="auto"/>
              <w:left w:val="single" w:sz="4" w:space="0" w:color="auto"/>
              <w:bottom w:val="single" w:sz="4" w:space="0" w:color="auto"/>
              <w:right w:val="single" w:sz="4" w:space="0" w:color="auto"/>
            </w:tcBorders>
            <w:hideMark/>
          </w:tcPr>
          <w:p w14:paraId="6E6B8C05" w14:textId="77777777" w:rsidR="00AB58B8" w:rsidRDefault="00AB58B8">
            <w:pPr>
              <w:jc w:val="both"/>
            </w:pPr>
            <w:r>
              <w:t>MTS</w:t>
            </w:r>
          </w:p>
        </w:tc>
        <w:tc>
          <w:tcPr>
            <w:tcW w:w="1765" w:type="dxa"/>
            <w:tcBorders>
              <w:top w:val="single" w:sz="4" w:space="0" w:color="auto"/>
              <w:left w:val="single" w:sz="4" w:space="0" w:color="auto"/>
              <w:bottom w:val="single" w:sz="4" w:space="0" w:color="auto"/>
              <w:right w:val="single" w:sz="4" w:space="0" w:color="auto"/>
            </w:tcBorders>
            <w:hideMark/>
          </w:tcPr>
          <w:p w14:paraId="6E6B8C06" w14:textId="77777777" w:rsidR="00AB58B8" w:rsidRDefault="00AB58B8">
            <w:pPr>
              <w:jc w:val="center"/>
            </w:pPr>
            <w:r>
              <w:t>276</w:t>
            </w:r>
          </w:p>
        </w:tc>
        <w:tc>
          <w:tcPr>
            <w:tcW w:w="1766" w:type="dxa"/>
            <w:tcBorders>
              <w:top w:val="single" w:sz="4" w:space="0" w:color="auto"/>
              <w:left w:val="single" w:sz="4" w:space="0" w:color="auto"/>
              <w:bottom w:val="single" w:sz="4" w:space="0" w:color="auto"/>
              <w:right w:val="single" w:sz="4" w:space="0" w:color="auto"/>
            </w:tcBorders>
            <w:hideMark/>
          </w:tcPr>
          <w:p w14:paraId="6E6B8C07" w14:textId="77777777" w:rsidR="00AB58B8" w:rsidRDefault="00AB58B8">
            <w:pPr>
              <w:jc w:val="center"/>
            </w:pPr>
            <w:r>
              <w:t>31</w:t>
            </w:r>
          </w:p>
        </w:tc>
        <w:tc>
          <w:tcPr>
            <w:tcW w:w="1766" w:type="dxa"/>
            <w:tcBorders>
              <w:top w:val="single" w:sz="4" w:space="0" w:color="auto"/>
              <w:left w:val="single" w:sz="4" w:space="0" w:color="auto"/>
              <w:bottom w:val="single" w:sz="4" w:space="0" w:color="auto"/>
              <w:right w:val="single" w:sz="4" w:space="0" w:color="auto"/>
            </w:tcBorders>
            <w:hideMark/>
          </w:tcPr>
          <w:p w14:paraId="6E6B8C08" w14:textId="77777777" w:rsidR="00AB58B8" w:rsidRDefault="00AB58B8">
            <w:pPr>
              <w:jc w:val="center"/>
            </w:pPr>
            <w:r>
              <w:t>1</w:t>
            </w:r>
          </w:p>
        </w:tc>
        <w:tc>
          <w:tcPr>
            <w:tcW w:w="1766" w:type="dxa"/>
            <w:tcBorders>
              <w:top w:val="single" w:sz="4" w:space="0" w:color="auto"/>
              <w:left w:val="single" w:sz="4" w:space="0" w:color="auto"/>
              <w:bottom w:val="single" w:sz="4" w:space="0" w:color="auto"/>
              <w:right w:val="single" w:sz="4" w:space="0" w:color="auto"/>
            </w:tcBorders>
            <w:hideMark/>
          </w:tcPr>
          <w:p w14:paraId="6E6B8C09" w14:textId="77777777" w:rsidR="00AB58B8" w:rsidRDefault="00AB58B8">
            <w:pPr>
              <w:jc w:val="center"/>
            </w:pPr>
            <w:r>
              <w:t>308</w:t>
            </w:r>
          </w:p>
        </w:tc>
      </w:tr>
      <w:tr w:rsidR="00AB58B8" w14:paraId="6E6B8C10" w14:textId="77777777" w:rsidTr="00AB58B8">
        <w:tc>
          <w:tcPr>
            <w:tcW w:w="1765" w:type="dxa"/>
            <w:tcBorders>
              <w:top w:val="single" w:sz="4" w:space="0" w:color="auto"/>
              <w:left w:val="single" w:sz="4" w:space="0" w:color="auto"/>
              <w:bottom w:val="single" w:sz="4" w:space="0" w:color="auto"/>
              <w:right w:val="single" w:sz="4" w:space="0" w:color="auto"/>
            </w:tcBorders>
            <w:hideMark/>
          </w:tcPr>
          <w:p w14:paraId="6E6B8C0B" w14:textId="77777777" w:rsidR="00AB58B8" w:rsidRDefault="00AB58B8">
            <w:pPr>
              <w:jc w:val="both"/>
            </w:pPr>
            <w:r>
              <w:t>PAN-BOL</w:t>
            </w:r>
          </w:p>
        </w:tc>
        <w:tc>
          <w:tcPr>
            <w:tcW w:w="1765" w:type="dxa"/>
            <w:tcBorders>
              <w:top w:val="single" w:sz="4" w:space="0" w:color="auto"/>
              <w:left w:val="single" w:sz="4" w:space="0" w:color="auto"/>
              <w:bottom w:val="single" w:sz="4" w:space="0" w:color="auto"/>
              <w:right w:val="single" w:sz="4" w:space="0" w:color="auto"/>
            </w:tcBorders>
            <w:hideMark/>
          </w:tcPr>
          <w:p w14:paraId="6E6B8C0C" w14:textId="77777777" w:rsidR="00AB58B8" w:rsidRDefault="00AB58B8">
            <w:pPr>
              <w:jc w:val="center"/>
            </w:pPr>
            <w:r>
              <w:t>133</w:t>
            </w:r>
          </w:p>
        </w:tc>
        <w:tc>
          <w:tcPr>
            <w:tcW w:w="1766" w:type="dxa"/>
            <w:tcBorders>
              <w:top w:val="single" w:sz="4" w:space="0" w:color="auto"/>
              <w:left w:val="single" w:sz="4" w:space="0" w:color="auto"/>
              <w:bottom w:val="single" w:sz="4" w:space="0" w:color="auto"/>
              <w:right w:val="single" w:sz="4" w:space="0" w:color="auto"/>
            </w:tcBorders>
            <w:hideMark/>
          </w:tcPr>
          <w:p w14:paraId="6E6B8C0D" w14:textId="77777777" w:rsidR="00AB58B8" w:rsidRDefault="00AB58B8">
            <w:pPr>
              <w:jc w:val="center"/>
            </w:pPr>
            <w:r>
              <w:t>166</w:t>
            </w:r>
          </w:p>
        </w:tc>
        <w:tc>
          <w:tcPr>
            <w:tcW w:w="1766" w:type="dxa"/>
            <w:tcBorders>
              <w:top w:val="single" w:sz="4" w:space="0" w:color="auto"/>
              <w:left w:val="single" w:sz="4" w:space="0" w:color="auto"/>
              <w:bottom w:val="single" w:sz="4" w:space="0" w:color="auto"/>
              <w:right w:val="single" w:sz="4" w:space="0" w:color="auto"/>
            </w:tcBorders>
            <w:hideMark/>
          </w:tcPr>
          <w:p w14:paraId="6E6B8C0E" w14:textId="77777777" w:rsidR="00AB58B8" w:rsidRDefault="00AB58B8">
            <w:pPr>
              <w:jc w:val="center"/>
            </w:pPr>
            <w:r>
              <w:t>1</w:t>
            </w:r>
          </w:p>
        </w:tc>
        <w:tc>
          <w:tcPr>
            <w:tcW w:w="1766" w:type="dxa"/>
            <w:tcBorders>
              <w:top w:val="single" w:sz="4" w:space="0" w:color="auto"/>
              <w:left w:val="single" w:sz="4" w:space="0" w:color="auto"/>
              <w:bottom w:val="single" w:sz="4" w:space="0" w:color="auto"/>
              <w:right w:val="single" w:sz="4" w:space="0" w:color="auto"/>
            </w:tcBorders>
            <w:hideMark/>
          </w:tcPr>
          <w:p w14:paraId="6E6B8C0F" w14:textId="77777777" w:rsidR="00AB58B8" w:rsidRDefault="00AB58B8">
            <w:pPr>
              <w:jc w:val="center"/>
            </w:pPr>
            <w:r>
              <w:t>300</w:t>
            </w:r>
          </w:p>
        </w:tc>
      </w:tr>
      <w:tr w:rsidR="00AB58B8" w14:paraId="6E6B8C16" w14:textId="77777777" w:rsidTr="00AB58B8">
        <w:tc>
          <w:tcPr>
            <w:tcW w:w="1765" w:type="dxa"/>
            <w:tcBorders>
              <w:top w:val="single" w:sz="4" w:space="0" w:color="auto"/>
              <w:left w:val="single" w:sz="4" w:space="0" w:color="auto"/>
              <w:bottom w:val="single" w:sz="4" w:space="0" w:color="auto"/>
              <w:right w:val="single" w:sz="4" w:space="0" w:color="auto"/>
            </w:tcBorders>
            <w:hideMark/>
          </w:tcPr>
          <w:p w14:paraId="6E6B8C11" w14:textId="77777777" w:rsidR="00AB58B8" w:rsidRDefault="00AB58B8">
            <w:pPr>
              <w:jc w:val="both"/>
            </w:pPr>
            <w:r>
              <w:t>PDC</w:t>
            </w:r>
          </w:p>
        </w:tc>
        <w:tc>
          <w:tcPr>
            <w:tcW w:w="1765" w:type="dxa"/>
            <w:tcBorders>
              <w:top w:val="single" w:sz="4" w:space="0" w:color="auto"/>
              <w:left w:val="single" w:sz="4" w:space="0" w:color="auto"/>
              <w:bottom w:val="single" w:sz="4" w:space="0" w:color="auto"/>
              <w:right w:val="single" w:sz="4" w:space="0" w:color="auto"/>
            </w:tcBorders>
            <w:hideMark/>
          </w:tcPr>
          <w:p w14:paraId="6E6B8C12" w14:textId="77777777" w:rsidR="00AB58B8" w:rsidRDefault="00AB58B8">
            <w:pPr>
              <w:jc w:val="center"/>
            </w:pPr>
            <w:r>
              <w:t>102</w:t>
            </w:r>
          </w:p>
        </w:tc>
        <w:tc>
          <w:tcPr>
            <w:tcW w:w="1766" w:type="dxa"/>
            <w:tcBorders>
              <w:top w:val="single" w:sz="4" w:space="0" w:color="auto"/>
              <w:left w:val="single" w:sz="4" w:space="0" w:color="auto"/>
              <w:bottom w:val="single" w:sz="4" w:space="0" w:color="auto"/>
              <w:right w:val="single" w:sz="4" w:space="0" w:color="auto"/>
            </w:tcBorders>
            <w:hideMark/>
          </w:tcPr>
          <w:p w14:paraId="6E6B8C13" w14:textId="77777777" w:rsidR="00AB58B8" w:rsidRDefault="00AB58B8">
            <w:pPr>
              <w:jc w:val="center"/>
            </w:pPr>
            <w:r>
              <w:t>162</w:t>
            </w:r>
          </w:p>
        </w:tc>
        <w:tc>
          <w:tcPr>
            <w:tcW w:w="1766" w:type="dxa"/>
            <w:tcBorders>
              <w:top w:val="single" w:sz="4" w:space="0" w:color="auto"/>
              <w:left w:val="single" w:sz="4" w:space="0" w:color="auto"/>
              <w:bottom w:val="single" w:sz="4" w:space="0" w:color="auto"/>
              <w:right w:val="single" w:sz="4" w:space="0" w:color="auto"/>
            </w:tcBorders>
            <w:hideMark/>
          </w:tcPr>
          <w:p w14:paraId="6E6B8C14" w14:textId="77777777" w:rsidR="00AB58B8" w:rsidRDefault="00AB58B8">
            <w:pPr>
              <w:jc w:val="center"/>
            </w:pPr>
            <w:r>
              <w:t>2</w:t>
            </w:r>
          </w:p>
        </w:tc>
        <w:tc>
          <w:tcPr>
            <w:tcW w:w="1766" w:type="dxa"/>
            <w:tcBorders>
              <w:top w:val="single" w:sz="4" w:space="0" w:color="auto"/>
              <w:left w:val="single" w:sz="4" w:space="0" w:color="auto"/>
              <w:bottom w:val="single" w:sz="4" w:space="0" w:color="auto"/>
              <w:right w:val="single" w:sz="4" w:space="0" w:color="auto"/>
            </w:tcBorders>
            <w:hideMark/>
          </w:tcPr>
          <w:p w14:paraId="6E6B8C15" w14:textId="77777777" w:rsidR="00AB58B8" w:rsidRDefault="00AB58B8">
            <w:pPr>
              <w:jc w:val="center"/>
            </w:pPr>
            <w:r>
              <w:t>266</w:t>
            </w:r>
          </w:p>
        </w:tc>
      </w:tr>
      <w:tr w:rsidR="00AB58B8" w14:paraId="6E6B8C1C" w14:textId="77777777" w:rsidTr="00AB58B8">
        <w:tc>
          <w:tcPr>
            <w:tcW w:w="1765" w:type="dxa"/>
            <w:tcBorders>
              <w:top w:val="single" w:sz="4" w:space="0" w:color="auto"/>
              <w:left w:val="single" w:sz="4" w:space="0" w:color="auto"/>
              <w:bottom w:val="single" w:sz="4" w:space="0" w:color="auto"/>
              <w:right w:val="single" w:sz="4" w:space="0" w:color="auto"/>
            </w:tcBorders>
            <w:hideMark/>
          </w:tcPr>
          <w:p w14:paraId="6E6B8C17" w14:textId="77777777" w:rsidR="00AB58B8" w:rsidRDefault="00AB58B8">
            <w:pPr>
              <w:jc w:val="both"/>
            </w:pPr>
            <w:r>
              <w:t>UCS</w:t>
            </w:r>
          </w:p>
        </w:tc>
        <w:tc>
          <w:tcPr>
            <w:tcW w:w="1765" w:type="dxa"/>
            <w:tcBorders>
              <w:top w:val="single" w:sz="4" w:space="0" w:color="auto"/>
              <w:left w:val="single" w:sz="4" w:space="0" w:color="auto"/>
              <w:bottom w:val="single" w:sz="4" w:space="0" w:color="auto"/>
              <w:right w:val="single" w:sz="4" w:space="0" w:color="auto"/>
            </w:tcBorders>
            <w:hideMark/>
          </w:tcPr>
          <w:p w14:paraId="6E6B8C18" w14:textId="77777777" w:rsidR="00AB58B8" w:rsidRDefault="00AB58B8">
            <w:pPr>
              <w:jc w:val="center"/>
            </w:pPr>
            <w:r>
              <w:t>162</w:t>
            </w:r>
          </w:p>
        </w:tc>
        <w:tc>
          <w:tcPr>
            <w:tcW w:w="1766" w:type="dxa"/>
            <w:tcBorders>
              <w:top w:val="single" w:sz="4" w:space="0" w:color="auto"/>
              <w:left w:val="single" w:sz="4" w:space="0" w:color="auto"/>
              <w:bottom w:val="single" w:sz="4" w:space="0" w:color="auto"/>
              <w:right w:val="single" w:sz="4" w:space="0" w:color="auto"/>
            </w:tcBorders>
            <w:hideMark/>
          </w:tcPr>
          <w:p w14:paraId="6E6B8C19" w14:textId="77777777" w:rsidR="00AB58B8" w:rsidRDefault="00AB58B8">
            <w:pPr>
              <w:jc w:val="center"/>
            </w:pPr>
            <w:r>
              <w:t>58</w:t>
            </w:r>
          </w:p>
        </w:tc>
        <w:tc>
          <w:tcPr>
            <w:tcW w:w="1766" w:type="dxa"/>
            <w:tcBorders>
              <w:top w:val="single" w:sz="4" w:space="0" w:color="auto"/>
              <w:left w:val="single" w:sz="4" w:space="0" w:color="auto"/>
              <w:bottom w:val="single" w:sz="4" w:space="0" w:color="auto"/>
              <w:right w:val="single" w:sz="4" w:space="0" w:color="auto"/>
            </w:tcBorders>
            <w:hideMark/>
          </w:tcPr>
          <w:p w14:paraId="6E6B8C1A" w14:textId="77777777" w:rsidR="00AB58B8" w:rsidRDefault="00AB58B8">
            <w:pPr>
              <w:jc w:val="center"/>
            </w:pPr>
            <w:r>
              <w:t>2</w:t>
            </w:r>
          </w:p>
        </w:tc>
        <w:tc>
          <w:tcPr>
            <w:tcW w:w="1766" w:type="dxa"/>
            <w:tcBorders>
              <w:top w:val="single" w:sz="4" w:space="0" w:color="auto"/>
              <w:left w:val="single" w:sz="4" w:space="0" w:color="auto"/>
              <w:bottom w:val="single" w:sz="4" w:space="0" w:color="auto"/>
              <w:right w:val="single" w:sz="4" w:space="0" w:color="auto"/>
            </w:tcBorders>
            <w:hideMark/>
          </w:tcPr>
          <w:p w14:paraId="6E6B8C1B" w14:textId="77777777" w:rsidR="00AB58B8" w:rsidRDefault="00AB58B8">
            <w:pPr>
              <w:jc w:val="center"/>
            </w:pPr>
            <w:r>
              <w:t>222</w:t>
            </w:r>
          </w:p>
        </w:tc>
      </w:tr>
      <w:tr w:rsidR="00AB58B8" w14:paraId="6E6B8C22" w14:textId="77777777" w:rsidTr="00AB58B8">
        <w:tc>
          <w:tcPr>
            <w:tcW w:w="1765" w:type="dxa"/>
            <w:tcBorders>
              <w:top w:val="single" w:sz="4" w:space="0" w:color="auto"/>
              <w:left w:val="single" w:sz="4" w:space="0" w:color="auto"/>
              <w:bottom w:val="single" w:sz="4" w:space="0" w:color="auto"/>
              <w:right w:val="single" w:sz="4" w:space="0" w:color="auto"/>
            </w:tcBorders>
            <w:hideMark/>
          </w:tcPr>
          <w:p w14:paraId="6E6B8C1D" w14:textId="77777777" w:rsidR="00AB58B8" w:rsidRDefault="00AB58B8">
            <w:pPr>
              <w:jc w:val="both"/>
              <w:rPr>
                <w:b/>
                <w:bCs/>
              </w:rPr>
            </w:pPr>
            <w:r>
              <w:rPr>
                <w:b/>
                <w:bCs/>
              </w:rPr>
              <w:t>Total General</w:t>
            </w:r>
          </w:p>
        </w:tc>
        <w:tc>
          <w:tcPr>
            <w:tcW w:w="1765" w:type="dxa"/>
            <w:tcBorders>
              <w:top w:val="single" w:sz="4" w:space="0" w:color="auto"/>
              <w:left w:val="single" w:sz="4" w:space="0" w:color="auto"/>
              <w:bottom w:val="single" w:sz="4" w:space="0" w:color="auto"/>
              <w:right w:val="single" w:sz="4" w:space="0" w:color="auto"/>
            </w:tcBorders>
            <w:hideMark/>
          </w:tcPr>
          <w:p w14:paraId="6E6B8C1E" w14:textId="77777777" w:rsidR="00AB58B8" w:rsidRDefault="00AB58B8">
            <w:pPr>
              <w:jc w:val="center"/>
              <w:rPr>
                <w:b/>
                <w:bCs/>
              </w:rPr>
            </w:pPr>
            <w:r>
              <w:rPr>
                <w:b/>
                <w:bCs/>
              </w:rPr>
              <w:t>1,923</w:t>
            </w:r>
          </w:p>
        </w:tc>
        <w:tc>
          <w:tcPr>
            <w:tcW w:w="1766" w:type="dxa"/>
            <w:tcBorders>
              <w:top w:val="single" w:sz="4" w:space="0" w:color="auto"/>
              <w:left w:val="single" w:sz="4" w:space="0" w:color="auto"/>
              <w:bottom w:val="single" w:sz="4" w:space="0" w:color="auto"/>
              <w:right w:val="single" w:sz="4" w:space="0" w:color="auto"/>
            </w:tcBorders>
            <w:hideMark/>
          </w:tcPr>
          <w:p w14:paraId="6E6B8C1F" w14:textId="77777777" w:rsidR="00AB58B8" w:rsidRDefault="00AB58B8">
            <w:pPr>
              <w:jc w:val="center"/>
              <w:rPr>
                <w:b/>
                <w:bCs/>
              </w:rPr>
            </w:pPr>
            <w:r>
              <w:rPr>
                <w:b/>
                <w:bCs/>
              </w:rPr>
              <w:t>734</w:t>
            </w:r>
          </w:p>
        </w:tc>
        <w:tc>
          <w:tcPr>
            <w:tcW w:w="1766" w:type="dxa"/>
            <w:tcBorders>
              <w:top w:val="single" w:sz="4" w:space="0" w:color="auto"/>
              <w:left w:val="single" w:sz="4" w:space="0" w:color="auto"/>
              <w:bottom w:val="single" w:sz="4" w:space="0" w:color="auto"/>
              <w:right w:val="single" w:sz="4" w:space="0" w:color="auto"/>
            </w:tcBorders>
            <w:hideMark/>
          </w:tcPr>
          <w:p w14:paraId="6E6B8C20" w14:textId="77777777" w:rsidR="00AB58B8" w:rsidRDefault="00AB58B8">
            <w:pPr>
              <w:jc w:val="center"/>
              <w:rPr>
                <w:b/>
                <w:bCs/>
              </w:rPr>
            </w:pPr>
            <w:r>
              <w:rPr>
                <w:b/>
                <w:bCs/>
              </w:rPr>
              <w:t>11</w:t>
            </w:r>
          </w:p>
        </w:tc>
        <w:tc>
          <w:tcPr>
            <w:tcW w:w="1766" w:type="dxa"/>
            <w:tcBorders>
              <w:top w:val="single" w:sz="4" w:space="0" w:color="auto"/>
              <w:left w:val="single" w:sz="4" w:space="0" w:color="auto"/>
              <w:bottom w:val="single" w:sz="4" w:space="0" w:color="auto"/>
              <w:right w:val="single" w:sz="4" w:space="0" w:color="auto"/>
            </w:tcBorders>
            <w:hideMark/>
          </w:tcPr>
          <w:p w14:paraId="6E6B8C21" w14:textId="77777777" w:rsidR="00AB58B8" w:rsidRDefault="00AB58B8">
            <w:pPr>
              <w:jc w:val="center"/>
              <w:rPr>
                <w:b/>
                <w:bCs/>
              </w:rPr>
            </w:pPr>
            <w:r>
              <w:rPr>
                <w:b/>
                <w:bCs/>
              </w:rPr>
              <w:t>2,668</w:t>
            </w:r>
          </w:p>
        </w:tc>
      </w:tr>
    </w:tbl>
    <w:p w14:paraId="6E6B8C23" w14:textId="77777777" w:rsidR="00AB58B8" w:rsidRDefault="00AB58B8" w:rsidP="00AB58B8">
      <w:pPr>
        <w:jc w:val="both"/>
        <w:rPr>
          <w:sz w:val="18"/>
          <w:szCs w:val="18"/>
        </w:rPr>
      </w:pPr>
      <w:r>
        <w:rPr>
          <w:sz w:val="18"/>
          <w:szCs w:val="18"/>
        </w:rPr>
        <w:t xml:space="preserve">*Total general incluye titulares de candidatos a la presidencia, así como de titulares y suplentes de diputados, senadores, y representantes de los organismos supraestatales. </w:t>
      </w:r>
    </w:p>
    <w:p w14:paraId="6E6B8C24" w14:textId="77777777" w:rsidR="00AB58B8" w:rsidRDefault="00AB58B8" w:rsidP="00AB58B8">
      <w:pPr>
        <w:jc w:val="both"/>
        <w:rPr>
          <w:sz w:val="18"/>
          <w:szCs w:val="18"/>
        </w:rPr>
      </w:pPr>
      <w:r>
        <w:rPr>
          <w:sz w:val="18"/>
          <w:szCs w:val="18"/>
        </w:rPr>
        <w:t>Fuente: Información concentrada proporcionada por la Secretaría de Cámara, TSE. Corte 15 octubre 2019.</w:t>
      </w:r>
    </w:p>
    <w:p w14:paraId="6E6B8C25" w14:textId="77777777" w:rsidR="00AB58B8" w:rsidRDefault="00AB58B8" w:rsidP="00AB58B8">
      <w:pPr>
        <w:jc w:val="both"/>
        <w:rPr>
          <w:sz w:val="22"/>
          <w:szCs w:val="22"/>
        </w:rPr>
      </w:pPr>
    </w:p>
    <w:p w14:paraId="6E6B8C26" w14:textId="77777777" w:rsidR="00AB58B8" w:rsidRDefault="00AB58B8" w:rsidP="00AB58B8">
      <w:pPr>
        <w:jc w:val="both"/>
        <w:rPr>
          <w:sz w:val="22"/>
          <w:szCs w:val="22"/>
        </w:rPr>
      </w:pPr>
      <w:r>
        <w:rPr>
          <w:sz w:val="22"/>
          <w:szCs w:val="22"/>
        </w:rPr>
        <w:lastRenderedPageBreak/>
        <w:t>Por último, al analizar los plazos fijados en el calendario, se observa que la lista final de candidaturas habilitadas se dio a conocer recién el 19 de octubre. Ello resulta problemático pues implica que los ciudadanos y ciudadanos no tuvieron certeza de quienes participarían de la elección sino hasta un día antes de los comicios.</w:t>
      </w:r>
    </w:p>
    <w:p w14:paraId="6E6B8C27" w14:textId="77777777" w:rsidR="00AB58B8" w:rsidRDefault="00AB58B8" w:rsidP="00AB58B8">
      <w:pPr>
        <w:jc w:val="both"/>
        <w:rPr>
          <w:sz w:val="22"/>
          <w:szCs w:val="22"/>
        </w:rPr>
      </w:pPr>
    </w:p>
    <w:p w14:paraId="6E6B8C28" w14:textId="77777777" w:rsidR="00AB58B8" w:rsidRDefault="00AB58B8" w:rsidP="00AB58B8">
      <w:pPr>
        <w:jc w:val="both"/>
        <w:rPr>
          <w:bCs/>
          <w:i/>
          <w:sz w:val="22"/>
          <w:szCs w:val="22"/>
          <w:u w:val="single"/>
        </w:rPr>
      </w:pPr>
      <w:r>
        <w:rPr>
          <w:bCs/>
          <w:i/>
          <w:sz w:val="22"/>
          <w:szCs w:val="22"/>
          <w:u w:val="single"/>
        </w:rPr>
        <w:t>Materiales Electorales</w:t>
      </w:r>
    </w:p>
    <w:p w14:paraId="6E6B8C29" w14:textId="77777777" w:rsidR="00AB58B8" w:rsidRDefault="00AB58B8" w:rsidP="00AB58B8">
      <w:pPr>
        <w:jc w:val="both"/>
        <w:rPr>
          <w:sz w:val="22"/>
          <w:szCs w:val="22"/>
        </w:rPr>
      </w:pPr>
    </w:p>
    <w:p w14:paraId="6E6B8C2A" w14:textId="77777777" w:rsidR="00AB58B8" w:rsidRDefault="00AB58B8" w:rsidP="00AB58B8">
      <w:pPr>
        <w:jc w:val="both"/>
        <w:rPr>
          <w:sz w:val="22"/>
          <w:szCs w:val="22"/>
        </w:rPr>
      </w:pPr>
      <w:r>
        <w:rPr>
          <w:sz w:val="22"/>
          <w:szCs w:val="22"/>
        </w:rPr>
        <w:t>La composición del material electoral está regulada por el artículo 138 de la Ley No. 026. Entre los materiales indispensables se consideran las papeletas de sufragio, las actas electorales, las ánforas de sufragio, los sobres de seguridad, los listados de electores y electoras habilitados y habilitadas, e inhabilitadas e inhabilitados y los útiles electorales. El TSE es responsable del diseño, licitación, impresión, adquisición y distribución del material electoral, para todos los procesos electorales, revocatorias de mandato y los referendos de alcance nacional.</w:t>
      </w:r>
    </w:p>
    <w:p w14:paraId="6E6B8C2B" w14:textId="77777777" w:rsidR="00AB58B8" w:rsidRDefault="00AB58B8" w:rsidP="00AB58B8">
      <w:pPr>
        <w:jc w:val="both"/>
        <w:rPr>
          <w:sz w:val="22"/>
          <w:szCs w:val="22"/>
        </w:rPr>
      </w:pPr>
    </w:p>
    <w:p w14:paraId="6E6B8C2C" w14:textId="77777777" w:rsidR="00AB58B8" w:rsidRDefault="00AB58B8" w:rsidP="00AB58B8">
      <w:pPr>
        <w:jc w:val="both"/>
        <w:rPr>
          <w:sz w:val="22"/>
          <w:szCs w:val="22"/>
        </w:rPr>
      </w:pPr>
      <w:r>
        <w:rPr>
          <w:sz w:val="22"/>
          <w:szCs w:val="22"/>
        </w:rPr>
        <w:t>Los encargados del armado de las maletas electorales son los Tribunales Electorales Departamentales, quienes deben seguir los criterios remitidos por la Dirección Nacional de Procesos Electorales</w:t>
      </w:r>
      <w:r>
        <w:rPr>
          <w:rStyle w:val="FootnoteReference"/>
          <w:sz w:val="22"/>
          <w:szCs w:val="22"/>
        </w:rPr>
        <w:footnoteReference w:id="13"/>
      </w:r>
      <w:r>
        <w:rPr>
          <w:sz w:val="22"/>
          <w:szCs w:val="22"/>
        </w:rPr>
        <w:t>.</w:t>
      </w:r>
      <w:r>
        <w:t xml:space="preserve"> </w:t>
      </w:r>
      <w:r>
        <w:rPr>
          <w:sz w:val="22"/>
          <w:szCs w:val="22"/>
        </w:rPr>
        <w:t xml:space="preserve">La Misión observó que, tanto en las zonas de almacenamiento como a lo largo de la cadena de distribución, la infraestructura de la que disponían los tribunales departamentales no era la adecuada. Se constató que la falta de espacios hacía difícil que el armado de las maletas se diera de forma constante y fluida. </w:t>
      </w:r>
    </w:p>
    <w:p w14:paraId="6E6B8C2D" w14:textId="77777777" w:rsidR="00AB58B8" w:rsidRDefault="00AB58B8" w:rsidP="00AB58B8">
      <w:pPr>
        <w:jc w:val="both"/>
        <w:rPr>
          <w:sz w:val="22"/>
          <w:szCs w:val="22"/>
        </w:rPr>
      </w:pPr>
    </w:p>
    <w:p w14:paraId="6E6B8C2E" w14:textId="77777777" w:rsidR="00AB58B8" w:rsidRDefault="00AB58B8" w:rsidP="00AB58B8">
      <w:pPr>
        <w:jc w:val="both"/>
        <w:rPr>
          <w:sz w:val="22"/>
          <w:szCs w:val="22"/>
        </w:rPr>
      </w:pPr>
      <w:r>
        <w:rPr>
          <w:sz w:val="22"/>
          <w:szCs w:val="22"/>
        </w:rPr>
        <w:t>Se observó, asimismo, que el personal del que se disponía no era suficiente y que no todos los operadores tenían calidad sobre las tareas que debían desempañar. Se destaca, sin embargo, el uso de Códigos de barras y códigos QR para el control automatizado de los elementos que eran introducidos en las maletas.</w:t>
      </w:r>
    </w:p>
    <w:p w14:paraId="6E6B8C2F" w14:textId="77777777" w:rsidR="00AB58B8" w:rsidRDefault="00AB58B8" w:rsidP="00AB58B8">
      <w:pPr>
        <w:jc w:val="both"/>
        <w:rPr>
          <w:sz w:val="22"/>
          <w:szCs w:val="22"/>
        </w:rPr>
      </w:pPr>
    </w:p>
    <w:p w14:paraId="6E6B8C30" w14:textId="77777777" w:rsidR="00AB58B8" w:rsidRDefault="00AB58B8" w:rsidP="00AB58B8">
      <w:pPr>
        <w:jc w:val="both"/>
        <w:rPr>
          <w:sz w:val="22"/>
          <w:szCs w:val="22"/>
        </w:rPr>
      </w:pPr>
      <w:r>
        <w:rPr>
          <w:sz w:val="22"/>
          <w:szCs w:val="22"/>
        </w:rPr>
        <w:t xml:space="preserve">Respecto a la seguridad, se observó que sólo un par de elementos de la policía reguardaban al interior de los edificios donde se almacenan las maletas y que los depósitos contaban con materiales altamente inflamables, como son alfombras, cortinas de tela y muchos espacios recubiertos de madera. </w:t>
      </w:r>
    </w:p>
    <w:p w14:paraId="6E6B8C31" w14:textId="77777777" w:rsidR="00AB58B8" w:rsidRDefault="00AB58B8" w:rsidP="00AB58B8">
      <w:pPr>
        <w:jc w:val="both"/>
        <w:rPr>
          <w:sz w:val="22"/>
          <w:szCs w:val="22"/>
        </w:rPr>
      </w:pPr>
      <w:r>
        <w:rPr>
          <w:sz w:val="22"/>
          <w:szCs w:val="22"/>
        </w:rPr>
        <w:t xml:space="preserve"> </w:t>
      </w:r>
    </w:p>
    <w:p w14:paraId="6E6B8C32" w14:textId="77777777" w:rsidR="00AB58B8" w:rsidRDefault="00AB58B8" w:rsidP="00AB58B8">
      <w:pPr>
        <w:jc w:val="both"/>
        <w:rPr>
          <w:sz w:val="22"/>
          <w:szCs w:val="22"/>
        </w:rPr>
      </w:pPr>
      <w:r>
        <w:rPr>
          <w:sz w:val="22"/>
          <w:szCs w:val="22"/>
        </w:rPr>
        <w:t>En relación con los plazos para el envío de las maletas desde los TED a los distintos distritos, se observó que estos no fueron homogéneos: cada tribunal elaboró su propio plan estratégico y realizó el reparto de acuerdo con la geografía de su departamento. Algunos TED optaron por iniciar de manera anticipada la distribución de las maletas hacia las zonas rurales. Ello redujo los riesgos de que los materiales no llegaran a las localidades más aisladas, pero, al mismo tiempo, implicó que las maletas quedaran bajo custodia de los notarios durante más de diez días. Si bien, en algunos casos, el material fue llevado a recintos o instalaciones deportivas, en otros fue resguardado en los domicilios particulares de los notarios sin las correspondientes medidas de seguridad.</w:t>
      </w:r>
    </w:p>
    <w:p w14:paraId="6E6B8C33" w14:textId="77777777" w:rsidR="00AB58B8" w:rsidRDefault="00AB58B8" w:rsidP="00AB58B8">
      <w:pPr>
        <w:jc w:val="both"/>
        <w:rPr>
          <w:sz w:val="22"/>
          <w:szCs w:val="22"/>
        </w:rPr>
      </w:pPr>
    </w:p>
    <w:p w14:paraId="6E6B8C34" w14:textId="77777777" w:rsidR="00AB58B8" w:rsidRDefault="00AB58B8" w:rsidP="00AB58B8">
      <w:pPr>
        <w:jc w:val="both"/>
        <w:rPr>
          <w:sz w:val="22"/>
          <w:szCs w:val="22"/>
        </w:rPr>
      </w:pPr>
      <w:r>
        <w:rPr>
          <w:sz w:val="22"/>
          <w:szCs w:val="22"/>
        </w:rPr>
        <w:t>Asimismo, en cuanto al repliegue de materiales tras los escrutinios en las mesas, la Misión constató que la cadena de custodia fue frágil, dado que los traslados se hicieron de manera heterogénea y que los espacios para el almacenaje del material no contaron con las medidas de seguridad correspondientes.</w:t>
      </w:r>
    </w:p>
    <w:p w14:paraId="6E6B8C35" w14:textId="77777777" w:rsidR="00AB58B8" w:rsidRDefault="00AB58B8" w:rsidP="00AB58B8">
      <w:pPr>
        <w:jc w:val="both"/>
        <w:rPr>
          <w:sz w:val="22"/>
          <w:szCs w:val="22"/>
        </w:rPr>
      </w:pPr>
    </w:p>
    <w:p w14:paraId="6E6B8C36" w14:textId="77777777" w:rsidR="00AB58B8" w:rsidRDefault="00AB58B8" w:rsidP="00AB58B8">
      <w:pPr>
        <w:jc w:val="both"/>
        <w:rPr>
          <w:bCs/>
          <w:i/>
          <w:sz w:val="22"/>
          <w:szCs w:val="22"/>
          <w:u w:val="single"/>
        </w:rPr>
      </w:pPr>
      <w:r>
        <w:rPr>
          <w:bCs/>
          <w:i/>
          <w:sz w:val="22"/>
          <w:szCs w:val="22"/>
          <w:u w:val="single"/>
        </w:rPr>
        <w:t>Capacitación Electoral</w:t>
      </w:r>
    </w:p>
    <w:p w14:paraId="6E6B8C37" w14:textId="77777777" w:rsidR="00AB58B8" w:rsidRDefault="00AB58B8" w:rsidP="00AB58B8">
      <w:pPr>
        <w:jc w:val="both"/>
        <w:rPr>
          <w:sz w:val="22"/>
          <w:szCs w:val="22"/>
        </w:rPr>
      </w:pPr>
    </w:p>
    <w:p w14:paraId="6E6B8C38" w14:textId="77777777" w:rsidR="00AB58B8" w:rsidRDefault="00AB58B8" w:rsidP="00AB58B8">
      <w:pPr>
        <w:jc w:val="both"/>
        <w:rPr>
          <w:sz w:val="22"/>
          <w:szCs w:val="22"/>
        </w:rPr>
      </w:pPr>
      <w:r>
        <w:rPr>
          <w:sz w:val="22"/>
          <w:szCs w:val="22"/>
        </w:rPr>
        <w:t xml:space="preserve">La capacitación al personal de planta, temporal y de los facilitadores estuvo a cargo del Servicio Intercultural de Fortalecimiento Democrático (SIFDE) del OEP. Según la información proporcionada por </w:t>
      </w:r>
      <w:r>
        <w:rPr>
          <w:sz w:val="22"/>
          <w:szCs w:val="22"/>
        </w:rPr>
        <w:lastRenderedPageBreak/>
        <w:t xml:space="preserve">el SIFDE, se contrataron 652 facilitadoras/es y capacitadoras/es, que tuvieron a su cargo la capacitación de 8.131 notarios y 207.322 jurados. </w:t>
      </w:r>
    </w:p>
    <w:p w14:paraId="6E6B8C39" w14:textId="77777777" w:rsidR="00AB58B8" w:rsidRDefault="00AB58B8" w:rsidP="00AB58B8">
      <w:pPr>
        <w:jc w:val="both"/>
        <w:rPr>
          <w:sz w:val="22"/>
          <w:szCs w:val="22"/>
        </w:rPr>
      </w:pPr>
    </w:p>
    <w:p w14:paraId="6E6B8C3A" w14:textId="77777777" w:rsidR="00AB58B8" w:rsidRDefault="00AB58B8" w:rsidP="00AB58B8">
      <w:pPr>
        <w:jc w:val="both"/>
        <w:rPr>
          <w:sz w:val="22"/>
          <w:szCs w:val="22"/>
        </w:rPr>
      </w:pPr>
      <w:r>
        <w:rPr>
          <w:sz w:val="22"/>
          <w:szCs w:val="22"/>
        </w:rPr>
        <w:t xml:space="preserve">Las capacitaciones se realizaron en centros de votación y contaron con la presencia del personal departamental. Se describieron paso a paso lo que tenían que realizar, y de manera muy esquemática se les explicó a los jurados como iba a realizarse la apertura, jornada y cierre de la mesa de sufragio. </w:t>
      </w:r>
    </w:p>
    <w:p w14:paraId="6E6B8C3B" w14:textId="77777777" w:rsidR="00AB58B8" w:rsidRDefault="00AB58B8" w:rsidP="00AB58B8">
      <w:pPr>
        <w:jc w:val="both"/>
        <w:rPr>
          <w:sz w:val="22"/>
          <w:szCs w:val="22"/>
        </w:rPr>
      </w:pPr>
    </w:p>
    <w:p w14:paraId="6E6B8C3C" w14:textId="77777777" w:rsidR="00AB58B8" w:rsidRDefault="00AB58B8" w:rsidP="00AB58B8">
      <w:pPr>
        <w:jc w:val="both"/>
        <w:rPr>
          <w:sz w:val="22"/>
          <w:szCs w:val="22"/>
        </w:rPr>
      </w:pPr>
      <w:r>
        <w:rPr>
          <w:sz w:val="22"/>
          <w:szCs w:val="22"/>
        </w:rPr>
        <w:t xml:space="preserve">A pesar de los esfuerzos de la autoridad electoral, a tres días de la elección se había logrado capacitar únicamente a 117.932 jurados, es decir, a un 59.4% del total. La Misión fue informada de que, en pos de que todos los integrantes de las mesas conocieran mínimamente los procedimientos que debían ejecutar, se autorizó a los notarios electorales a capacitar a los jurados inclusive el mismo día de la elección. </w:t>
      </w:r>
    </w:p>
    <w:p w14:paraId="6E6B8C3D" w14:textId="77777777" w:rsidR="00AB58B8" w:rsidRDefault="00AB58B8" w:rsidP="00AB58B8">
      <w:pPr>
        <w:jc w:val="both"/>
        <w:rPr>
          <w:sz w:val="22"/>
          <w:szCs w:val="22"/>
        </w:rPr>
      </w:pPr>
    </w:p>
    <w:p w14:paraId="6E6B8C3E" w14:textId="77777777" w:rsidR="00AB58B8" w:rsidRDefault="00AB58B8" w:rsidP="00AB58B8">
      <w:pPr>
        <w:jc w:val="both"/>
        <w:rPr>
          <w:sz w:val="22"/>
          <w:szCs w:val="22"/>
        </w:rPr>
      </w:pPr>
      <w:r>
        <w:rPr>
          <w:sz w:val="22"/>
          <w:szCs w:val="22"/>
        </w:rPr>
        <w:t>En relación con los materiales de capacitación, la MOE constató que las guías para capacitadores y facilitadores, juradas y jurados electorales, notarias y notarios, y la cartilla para guías electorales eran de fácil comprensión y contribuían a fortalecer los conocimientos de los participantes en el proceso electoral. Estos documentos contenían una descripción de las tres etapas en las que se divide el trabajo durante la jornada electoral, detallando las orientaciones sobre las funciones, responsabilidades y actividades que los jurados debían cumplir. Se destaca el hecho de que las guías y capacitaciones en zonas o comunidades indígenas fueron elaboradas en los idiomas originarios.</w:t>
      </w:r>
    </w:p>
    <w:p w14:paraId="6E6B8C3F" w14:textId="77777777" w:rsidR="00AB58B8" w:rsidRDefault="00AB58B8" w:rsidP="00AB58B8">
      <w:pPr>
        <w:jc w:val="both"/>
        <w:rPr>
          <w:sz w:val="22"/>
          <w:szCs w:val="22"/>
        </w:rPr>
      </w:pPr>
    </w:p>
    <w:p w14:paraId="6E6B8C40" w14:textId="77777777" w:rsidR="00AB58B8" w:rsidRDefault="00AB58B8" w:rsidP="00AB58B8">
      <w:pPr>
        <w:jc w:val="both"/>
        <w:rPr>
          <w:b/>
          <w:bCs/>
          <w:i/>
          <w:iCs/>
          <w:sz w:val="22"/>
          <w:szCs w:val="22"/>
        </w:rPr>
      </w:pPr>
      <w:r>
        <w:rPr>
          <w:bCs/>
          <w:i/>
          <w:sz w:val="22"/>
          <w:szCs w:val="22"/>
          <w:u w:val="single"/>
        </w:rPr>
        <w:t>Sistema de Monitoreo Electoral del TSE</w:t>
      </w:r>
    </w:p>
    <w:p w14:paraId="6E6B8C41" w14:textId="77777777" w:rsidR="00AB58B8" w:rsidRDefault="00AB58B8" w:rsidP="00AB58B8">
      <w:pPr>
        <w:jc w:val="both"/>
        <w:rPr>
          <w:sz w:val="22"/>
          <w:szCs w:val="22"/>
        </w:rPr>
      </w:pPr>
    </w:p>
    <w:p w14:paraId="6E6B8C42" w14:textId="77777777" w:rsidR="00AB58B8" w:rsidRDefault="00AB58B8" w:rsidP="00AB58B8">
      <w:pPr>
        <w:jc w:val="both"/>
        <w:rPr>
          <w:sz w:val="22"/>
          <w:szCs w:val="22"/>
        </w:rPr>
      </w:pPr>
      <w:r>
        <w:rPr>
          <w:sz w:val="22"/>
          <w:szCs w:val="22"/>
        </w:rPr>
        <w:t>Para un control más efectivo de la ejecución de las distintas etapas del proceso electoral, el  OEP,  utilizó un Sistema de Monitoreo, elaborado por la Dirección Nacional de Tecnologías de las Información y Comunicación (DNTIC). El sistema se alimentó con la información que los notarios subieron a través de una aplicación en sus teléfonos móviles. Entre otros aspectos, se reportó: a) avance en la notificación a jurados, b) avance en la capacitación a jurados, c) entrega de maleta electoral a notarios, d) entrega de maleta electoral a jurados, e) apertura de mesa de votación, f) cierre de mesa de votación, g) pago de estipendio a jurados, así como por primera vez, poder identificar previo al día de la elección, las mesas criticas (aquellas mesas que reportan que no han recibido la notificación ni la capacitación a por lo menos tres jurados electorales), así como las actividades relativas al voto en el exterior.</w:t>
      </w:r>
    </w:p>
    <w:p w14:paraId="6E6B8C43" w14:textId="77777777" w:rsidR="00AB58B8" w:rsidRDefault="00AB58B8" w:rsidP="00AB58B8">
      <w:pPr>
        <w:jc w:val="both"/>
        <w:rPr>
          <w:sz w:val="22"/>
          <w:szCs w:val="22"/>
        </w:rPr>
      </w:pPr>
    </w:p>
    <w:p w14:paraId="6E6B8C44" w14:textId="77777777" w:rsidR="00AB58B8" w:rsidRDefault="00AB58B8" w:rsidP="00AB58B8">
      <w:pPr>
        <w:jc w:val="both"/>
        <w:rPr>
          <w:sz w:val="22"/>
          <w:szCs w:val="22"/>
        </w:rPr>
      </w:pPr>
      <w:r>
        <w:rPr>
          <w:sz w:val="22"/>
          <w:szCs w:val="22"/>
        </w:rPr>
        <w:t>Esta fue la primera vez que se utilizó este sistema para dar seguimiento al proceso electoral en el exterior. Se destaca, asimismo, que- a diferencia de las primarias- cada TED contrató personal abocado específicamente a dar seguimiento a los notarios para que estos reportaran los avances a tiempo.</w:t>
      </w:r>
    </w:p>
    <w:p w14:paraId="6E6B8C45" w14:textId="77777777" w:rsidR="00AB58B8" w:rsidRDefault="00AB58B8" w:rsidP="00AB58B8">
      <w:pPr>
        <w:jc w:val="both"/>
        <w:rPr>
          <w:sz w:val="22"/>
          <w:szCs w:val="22"/>
        </w:rPr>
      </w:pPr>
    </w:p>
    <w:p w14:paraId="6E6B8C46" w14:textId="77777777" w:rsidR="00AB58B8" w:rsidRDefault="00AB58B8" w:rsidP="00AB58B8">
      <w:pPr>
        <w:jc w:val="both"/>
        <w:rPr>
          <w:sz w:val="22"/>
          <w:szCs w:val="22"/>
        </w:rPr>
      </w:pPr>
      <w:r>
        <w:rPr>
          <w:sz w:val="22"/>
          <w:szCs w:val="22"/>
        </w:rPr>
        <w:t xml:space="preserve">A pesar de ellos, la Misión observó que, en algunas zonas rurales, la información ingresó al sistema con retraso debido, en algunos casos, a problemas de conectividad y, en otros, a que los notarios no estaban bien capacitados en el uso de la correspondiente aplicación. En las zonas urbanas también se dieron retrasos debido a la sobrecarga de actividades de los notarios, quienes no reportaron a tiempo por estar ocupados en otras tareas propias de su función. Por lo anterior, el sistema de monitoreo no reflejaba con exactitud el progreso real de cada etapa del proceso. </w:t>
      </w:r>
    </w:p>
    <w:p w14:paraId="6E6B8C47" w14:textId="77777777" w:rsidR="00AB58B8" w:rsidRDefault="00AB58B8" w:rsidP="00AB58B8">
      <w:pPr>
        <w:jc w:val="both"/>
        <w:rPr>
          <w:sz w:val="22"/>
          <w:szCs w:val="22"/>
        </w:rPr>
      </w:pPr>
    </w:p>
    <w:p w14:paraId="6E6B8C48" w14:textId="77777777" w:rsidR="00AB58B8" w:rsidRDefault="00AB58B8" w:rsidP="00AB58B8">
      <w:pPr>
        <w:jc w:val="both"/>
        <w:rPr>
          <w:bCs/>
          <w:i/>
          <w:sz w:val="22"/>
          <w:szCs w:val="22"/>
          <w:u w:val="single"/>
        </w:rPr>
      </w:pPr>
      <w:r>
        <w:rPr>
          <w:bCs/>
          <w:i/>
          <w:sz w:val="22"/>
          <w:szCs w:val="22"/>
          <w:u w:val="single"/>
        </w:rPr>
        <w:t>Padrón Electoral</w:t>
      </w:r>
    </w:p>
    <w:p w14:paraId="6E6B8C49" w14:textId="77777777" w:rsidR="00AB58B8" w:rsidRDefault="00AB58B8" w:rsidP="00AB58B8">
      <w:pPr>
        <w:jc w:val="both"/>
        <w:rPr>
          <w:sz w:val="22"/>
          <w:szCs w:val="22"/>
        </w:rPr>
      </w:pPr>
    </w:p>
    <w:p w14:paraId="6E6B8C4A" w14:textId="77777777" w:rsidR="00AB58B8" w:rsidRDefault="00AB58B8" w:rsidP="00AB58B8">
      <w:pPr>
        <w:jc w:val="both"/>
        <w:rPr>
          <w:sz w:val="22"/>
          <w:szCs w:val="22"/>
        </w:rPr>
      </w:pPr>
      <w:r>
        <w:rPr>
          <w:sz w:val="22"/>
          <w:szCs w:val="22"/>
        </w:rPr>
        <w:t xml:space="preserve">El Padrón Electoral es el registro de todos los bolivianos y bolivianas en edad de votar, y de los extranjeros que cumplen los requisitos para hacerlo. Para cada proceso electoral, referendo o </w:t>
      </w:r>
      <w:r>
        <w:rPr>
          <w:sz w:val="22"/>
          <w:szCs w:val="22"/>
        </w:rPr>
        <w:lastRenderedPageBreak/>
        <w:t>revocatoria de mandato, el Servicio de Registro Cívico (SERECÍ) remite oficialmente al Tribunal Electoral competente, dentro del plazo establecido en el Calendario Electoral, el Padrón con la Lista de personas habilitadas y la Lista de personas inhabilitadas por cada mesa de sufragio</w:t>
      </w:r>
      <w:r>
        <w:rPr>
          <w:rStyle w:val="FootnoteReference"/>
          <w:sz w:val="22"/>
          <w:szCs w:val="22"/>
        </w:rPr>
        <w:footnoteReference w:id="14"/>
      </w:r>
      <w:r>
        <w:rPr>
          <w:sz w:val="22"/>
          <w:szCs w:val="22"/>
        </w:rPr>
        <w:t>.</w:t>
      </w:r>
    </w:p>
    <w:p w14:paraId="6E6B8C4B" w14:textId="77777777" w:rsidR="00AB58B8" w:rsidRDefault="00AB58B8" w:rsidP="00AB58B8">
      <w:pPr>
        <w:jc w:val="both"/>
        <w:rPr>
          <w:sz w:val="22"/>
          <w:szCs w:val="22"/>
        </w:rPr>
      </w:pPr>
    </w:p>
    <w:p w14:paraId="6E6B8C4C" w14:textId="77777777" w:rsidR="00AB58B8" w:rsidRDefault="00AB58B8" w:rsidP="00AB58B8">
      <w:pPr>
        <w:jc w:val="both"/>
        <w:rPr>
          <w:sz w:val="22"/>
          <w:szCs w:val="22"/>
        </w:rPr>
      </w:pPr>
      <w:r>
        <w:rPr>
          <w:sz w:val="22"/>
          <w:szCs w:val="22"/>
        </w:rPr>
        <w:t>El Padrón Electoral es actualizado de manera permanente por el Servicio de Registro Cívico (SERECÍ) mediante</w:t>
      </w:r>
      <w:r>
        <w:rPr>
          <w:rStyle w:val="FootnoteReference"/>
          <w:sz w:val="22"/>
          <w:szCs w:val="22"/>
        </w:rPr>
        <w:footnoteReference w:id="15"/>
      </w:r>
      <w:r>
        <w:rPr>
          <w:sz w:val="22"/>
          <w:szCs w:val="22"/>
        </w:rPr>
        <w:t>:</w:t>
      </w:r>
    </w:p>
    <w:p w14:paraId="6E6B8C4D" w14:textId="77777777" w:rsidR="00AB58B8" w:rsidRDefault="00AB58B8" w:rsidP="00AB58B8">
      <w:pPr>
        <w:ind w:left="708"/>
        <w:jc w:val="both"/>
        <w:rPr>
          <w:sz w:val="22"/>
          <w:szCs w:val="22"/>
        </w:rPr>
      </w:pPr>
      <w:r>
        <w:rPr>
          <w:sz w:val="22"/>
          <w:szCs w:val="22"/>
        </w:rPr>
        <w:t>a) La inclusión de las personas mayores de 18 años de edad;</w:t>
      </w:r>
    </w:p>
    <w:p w14:paraId="6E6B8C4E" w14:textId="77777777" w:rsidR="00AB58B8" w:rsidRDefault="00AB58B8" w:rsidP="00AB58B8">
      <w:pPr>
        <w:ind w:left="708"/>
        <w:jc w:val="both"/>
        <w:rPr>
          <w:sz w:val="22"/>
          <w:szCs w:val="22"/>
        </w:rPr>
      </w:pPr>
      <w:r>
        <w:rPr>
          <w:sz w:val="22"/>
          <w:szCs w:val="22"/>
        </w:rPr>
        <w:t>b) La depuración de las personas fallecidas;</w:t>
      </w:r>
    </w:p>
    <w:p w14:paraId="6E6B8C4F" w14:textId="77777777" w:rsidR="00AB58B8" w:rsidRDefault="00AB58B8" w:rsidP="00AB58B8">
      <w:pPr>
        <w:ind w:left="708"/>
        <w:jc w:val="both"/>
        <w:rPr>
          <w:sz w:val="22"/>
          <w:szCs w:val="22"/>
        </w:rPr>
      </w:pPr>
      <w:r>
        <w:rPr>
          <w:sz w:val="22"/>
          <w:szCs w:val="22"/>
        </w:rPr>
        <w:t>c) El cambio de domicilio;</w:t>
      </w:r>
    </w:p>
    <w:p w14:paraId="6E6B8C50" w14:textId="77777777" w:rsidR="00AB58B8" w:rsidRDefault="00AB58B8" w:rsidP="00AB58B8">
      <w:pPr>
        <w:ind w:left="708"/>
        <w:jc w:val="both"/>
        <w:rPr>
          <w:sz w:val="22"/>
          <w:szCs w:val="22"/>
        </w:rPr>
      </w:pPr>
      <w:r>
        <w:rPr>
          <w:sz w:val="22"/>
          <w:szCs w:val="22"/>
        </w:rPr>
        <w:t>d) La suspensión o rehabilitación de los derechos de ciudadanía a efectos electorales;</w:t>
      </w:r>
    </w:p>
    <w:p w14:paraId="6E6B8C51" w14:textId="77777777" w:rsidR="00AB58B8" w:rsidRDefault="00AB58B8" w:rsidP="00AB58B8">
      <w:pPr>
        <w:ind w:left="708"/>
        <w:jc w:val="both"/>
        <w:rPr>
          <w:sz w:val="22"/>
          <w:szCs w:val="22"/>
        </w:rPr>
      </w:pPr>
      <w:r>
        <w:rPr>
          <w:sz w:val="22"/>
          <w:szCs w:val="22"/>
        </w:rPr>
        <w:t>e) El registro de personas naturalizadas.</w:t>
      </w:r>
    </w:p>
    <w:p w14:paraId="6E6B8C52" w14:textId="77777777" w:rsidR="00AB58B8" w:rsidRDefault="00AB58B8" w:rsidP="00AB58B8">
      <w:pPr>
        <w:jc w:val="both"/>
        <w:rPr>
          <w:sz w:val="22"/>
          <w:szCs w:val="22"/>
        </w:rPr>
      </w:pPr>
    </w:p>
    <w:p w14:paraId="6E6B8C53" w14:textId="77777777" w:rsidR="00AB58B8" w:rsidRDefault="00AB58B8" w:rsidP="00AB58B8">
      <w:pPr>
        <w:jc w:val="both"/>
        <w:rPr>
          <w:sz w:val="22"/>
          <w:szCs w:val="22"/>
        </w:rPr>
      </w:pPr>
      <w:r>
        <w:rPr>
          <w:sz w:val="22"/>
          <w:szCs w:val="22"/>
        </w:rPr>
        <w:t>La comunicación del cambio de domicilio, para efectos electorales, es de carácter obligatorio y constituye una responsabilidad de las ciudadanas y los ciudadanos.</w:t>
      </w:r>
    </w:p>
    <w:p w14:paraId="6E6B8C54" w14:textId="77777777" w:rsidR="00AB58B8" w:rsidRDefault="00AB58B8" w:rsidP="00AB58B8">
      <w:pPr>
        <w:jc w:val="both"/>
        <w:rPr>
          <w:sz w:val="22"/>
          <w:szCs w:val="22"/>
        </w:rPr>
      </w:pPr>
    </w:p>
    <w:p w14:paraId="6E6B8C55" w14:textId="77777777" w:rsidR="00AB58B8" w:rsidRDefault="00AB58B8" w:rsidP="00AB58B8">
      <w:pPr>
        <w:jc w:val="both"/>
        <w:rPr>
          <w:sz w:val="22"/>
          <w:szCs w:val="22"/>
        </w:rPr>
      </w:pPr>
      <w:r>
        <w:rPr>
          <w:sz w:val="22"/>
          <w:szCs w:val="22"/>
        </w:rPr>
        <w:t>En Bolivia, el padrón es biométrico por lo que además de los datos personales de cada ciudadano/a se registran las características biométricas de cada votante y las huellas dactilares de los 10 dedos de las manos. De esta manera se obtienen los   datos completos que permiten una mejor y más segura identificación de cada votante.</w:t>
      </w:r>
    </w:p>
    <w:p w14:paraId="6E6B8C56" w14:textId="77777777" w:rsidR="00AB58B8" w:rsidRDefault="00AB58B8" w:rsidP="00AB58B8">
      <w:pPr>
        <w:jc w:val="both"/>
        <w:rPr>
          <w:sz w:val="22"/>
          <w:szCs w:val="22"/>
        </w:rPr>
      </w:pPr>
    </w:p>
    <w:p w14:paraId="6E6B8C57" w14:textId="77777777" w:rsidR="00AB58B8" w:rsidRDefault="00AB58B8" w:rsidP="00AB58B8">
      <w:pPr>
        <w:jc w:val="both"/>
        <w:rPr>
          <w:sz w:val="22"/>
          <w:szCs w:val="22"/>
        </w:rPr>
      </w:pPr>
      <w:r>
        <w:rPr>
          <w:sz w:val="22"/>
          <w:szCs w:val="22"/>
        </w:rPr>
        <w:t xml:space="preserve">De acuerdo con la información proporcionada por el Serecí, para las elecciones generales de 2019, los habilitados para votar fueron 7.315.364. En el ámbito nacional, se contó con un padrón de 6.974.363 personas, mientras que en el exterior los habilitados fueron 341,001. </w:t>
      </w:r>
    </w:p>
    <w:p w14:paraId="6E6B8C58" w14:textId="77777777" w:rsidR="00AB58B8" w:rsidRDefault="00AB58B8" w:rsidP="00AB58B8">
      <w:pPr>
        <w:jc w:val="both"/>
        <w:rPr>
          <w:sz w:val="22"/>
          <w:szCs w:val="22"/>
        </w:rPr>
      </w:pPr>
    </w:p>
    <w:p w14:paraId="6E6B8C59" w14:textId="77777777" w:rsidR="00AB58B8" w:rsidRDefault="00AB58B8" w:rsidP="00AB58B8">
      <w:pPr>
        <w:jc w:val="center"/>
        <w:rPr>
          <w:b/>
          <w:bCs/>
          <w:sz w:val="22"/>
          <w:szCs w:val="22"/>
          <w:lang w:val="es-BO"/>
        </w:rPr>
      </w:pPr>
      <w:r>
        <w:rPr>
          <w:b/>
          <w:bCs/>
          <w:sz w:val="22"/>
          <w:szCs w:val="22"/>
          <w:lang w:val="es-BO"/>
        </w:rPr>
        <w:t xml:space="preserve">Padrón Electoral 2019 </w:t>
      </w:r>
    </w:p>
    <w:p w14:paraId="6E6B8C5A" w14:textId="77777777" w:rsidR="00AB58B8" w:rsidRDefault="00AB58B8" w:rsidP="00AB58B8">
      <w:pPr>
        <w:jc w:val="center"/>
        <w:rPr>
          <w:sz w:val="22"/>
          <w:szCs w:val="22"/>
        </w:rPr>
      </w:pPr>
      <w:r>
        <w:rPr>
          <w:b/>
          <w:bCs/>
          <w:sz w:val="22"/>
          <w:szCs w:val="22"/>
          <w:lang w:val="es-BO"/>
        </w:rPr>
        <w:t>Consolidado</w:t>
      </w:r>
    </w:p>
    <w:p w14:paraId="6E6B8C5B" w14:textId="77777777" w:rsidR="00AB58B8" w:rsidRDefault="00AB58B8" w:rsidP="00AB58B8">
      <w:pPr>
        <w:jc w:val="both"/>
        <w:rPr>
          <w:sz w:val="22"/>
          <w:szCs w:val="22"/>
        </w:rPr>
      </w:pPr>
    </w:p>
    <w:tbl>
      <w:tblPr>
        <w:tblW w:w="4989" w:type="dxa"/>
        <w:jc w:val="center"/>
        <w:tblCellMar>
          <w:left w:w="0" w:type="dxa"/>
          <w:right w:w="0" w:type="dxa"/>
        </w:tblCellMar>
        <w:tblLook w:val="0600" w:firstRow="0" w:lastRow="0" w:firstColumn="0" w:lastColumn="0" w:noHBand="1" w:noVBand="1"/>
      </w:tblPr>
      <w:tblGrid>
        <w:gridCol w:w="562"/>
        <w:gridCol w:w="1978"/>
        <w:gridCol w:w="36"/>
        <w:gridCol w:w="2377"/>
        <w:gridCol w:w="36"/>
      </w:tblGrid>
      <w:tr w:rsidR="00AB58B8" w14:paraId="6E6B8C5F" w14:textId="77777777" w:rsidTr="00AB58B8">
        <w:trPr>
          <w:trHeight w:val="300"/>
          <w:jc w:val="center"/>
        </w:trPr>
        <w:tc>
          <w:tcPr>
            <w:tcW w:w="56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15" w:type="dxa"/>
              <w:left w:w="15" w:type="dxa"/>
              <w:bottom w:w="0" w:type="dxa"/>
              <w:right w:w="15" w:type="dxa"/>
            </w:tcMar>
            <w:vAlign w:val="bottom"/>
            <w:hideMark/>
          </w:tcPr>
          <w:p w14:paraId="6E6B8C5C" w14:textId="77777777" w:rsidR="00AB58B8" w:rsidRDefault="00AB58B8">
            <w:pPr>
              <w:rPr>
                <w:sz w:val="22"/>
                <w:szCs w:val="22"/>
              </w:rPr>
            </w:pPr>
          </w:p>
        </w:tc>
        <w:tc>
          <w:tcPr>
            <w:tcW w:w="2014"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15" w:type="dxa"/>
              <w:left w:w="15" w:type="dxa"/>
              <w:bottom w:w="0" w:type="dxa"/>
              <w:right w:w="15" w:type="dxa"/>
            </w:tcMar>
            <w:vAlign w:val="bottom"/>
            <w:hideMark/>
          </w:tcPr>
          <w:p w14:paraId="6E6B8C5D" w14:textId="77777777" w:rsidR="00AB58B8" w:rsidRDefault="00AB58B8">
            <w:pPr>
              <w:jc w:val="center"/>
              <w:rPr>
                <w:b/>
                <w:bCs/>
                <w:sz w:val="20"/>
                <w:szCs w:val="20"/>
                <w:lang w:val="es-MX"/>
              </w:rPr>
            </w:pPr>
            <w:r>
              <w:rPr>
                <w:b/>
                <w:bCs/>
                <w:sz w:val="20"/>
                <w:szCs w:val="20"/>
                <w:lang w:val="es-MX"/>
              </w:rPr>
              <w:t>Departamento</w:t>
            </w:r>
          </w:p>
        </w:tc>
        <w:tc>
          <w:tcPr>
            <w:tcW w:w="2413"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15" w:type="dxa"/>
              <w:left w:w="15" w:type="dxa"/>
              <w:bottom w:w="0" w:type="dxa"/>
              <w:right w:w="15" w:type="dxa"/>
            </w:tcMar>
            <w:vAlign w:val="bottom"/>
            <w:hideMark/>
          </w:tcPr>
          <w:p w14:paraId="6E6B8C5E" w14:textId="77777777" w:rsidR="00AB58B8" w:rsidRDefault="00AB58B8">
            <w:pPr>
              <w:jc w:val="center"/>
              <w:rPr>
                <w:b/>
                <w:bCs/>
                <w:sz w:val="20"/>
                <w:szCs w:val="20"/>
                <w:lang w:val="es-MX"/>
              </w:rPr>
            </w:pPr>
            <w:r>
              <w:rPr>
                <w:b/>
                <w:bCs/>
                <w:sz w:val="20"/>
                <w:szCs w:val="20"/>
                <w:lang w:val="es-BO"/>
              </w:rPr>
              <w:t>Habilitados EG 2019</w:t>
            </w:r>
          </w:p>
        </w:tc>
      </w:tr>
      <w:tr w:rsidR="00AB58B8" w14:paraId="6E6B8C63" w14:textId="77777777" w:rsidTr="00AB58B8">
        <w:trPr>
          <w:trHeight w:val="300"/>
          <w:jc w:val="center"/>
        </w:trPr>
        <w:tc>
          <w:tcPr>
            <w:tcW w:w="56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60" w14:textId="77777777" w:rsidR="00AB58B8" w:rsidRDefault="00AB58B8">
            <w:pPr>
              <w:jc w:val="both"/>
              <w:rPr>
                <w:sz w:val="20"/>
                <w:szCs w:val="20"/>
                <w:lang w:val="es-MX"/>
              </w:rPr>
            </w:pPr>
            <w:r>
              <w:rPr>
                <w:sz w:val="20"/>
                <w:szCs w:val="20"/>
                <w:lang w:val="es-BO"/>
              </w:rPr>
              <w:t>1</w:t>
            </w:r>
          </w:p>
        </w:tc>
        <w:tc>
          <w:tcPr>
            <w:tcW w:w="2014"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61" w14:textId="77777777" w:rsidR="00AB58B8" w:rsidRDefault="00AB58B8">
            <w:pPr>
              <w:jc w:val="both"/>
              <w:rPr>
                <w:sz w:val="20"/>
                <w:szCs w:val="20"/>
                <w:lang w:val="es-MX"/>
              </w:rPr>
            </w:pPr>
            <w:r>
              <w:rPr>
                <w:sz w:val="20"/>
                <w:szCs w:val="20"/>
                <w:lang w:val="es-BO"/>
              </w:rPr>
              <w:t xml:space="preserve">Chuquisaca     </w:t>
            </w:r>
          </w:p>
        </w:tc>
        <w:tc>
          <w:tcPr>
            <w:tcW w:w="2413"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62" w14:textId="77777777" w:rsidR="00AB58B8" w:rsidRDefault="00AB58B8">
            <w:pPr>
              <w:jc w:val="center"/>
              <w:rPr>
                <w:sz w:val="20"/>
                <w:szCs w:val="20"/>
                <w:lang w:val="es-MX"/>
              </w:rPr>
            </w:pPr>
            <w:r>
              <w:rPr>
                <w:sz w:val="20"/>
                <w:szCs w:val="20"/>
                <w:lang w:val="es-BO"/>
              </w:rPr>
              <w:t>370.680</w:t>
            </w:r>
          </w:p>
        </w:tc>
      </w:tr>
      <w:tr w:rsidR="00AB58B8" w14:paraId="6E6B8C67" w14:textId="77777777" w:rsidTr="00AB58B8">
        <w:trPr>
          <w:trHeight w:val="300"/>
          <w:jc w:val="center"/>
        </w:trPr>
        <w:tc>
          <w:tcPr>
            <w:tcW w:w="56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64" w14:textId="77777777" w:rsidR="00AB58B8" w:rsidRDefault="00AB58B8">
            <w:pPr>
              <w:jc w:val="both"/>
              <w:rPr>
                <w:sz w:val="20"/>
                <w:szCs w:val="20"/>
                <w:lang w:val="es-MX"/>
              </w:rPr>
            </w:pPr>
            <w:r>
              <w:rPr>
                <w:sz w:val="20"/>
                <w:szCs w:val="20"/>
                <w:lang w:val="es-BO"/>
              </w:rPr>
              <w:t>2</w:t>
            </w:r>
          </w:p>
        </w:tc>
        <w:tc>
          <w:tcPr>
            <w:tcW w:w="2014"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65" w14:textId="77777777" w:rsidR="00AB58B8" w:rsidRDefault="00AB58B8">
            <w:pPr>
              <w:jc w:val="both"/>
              <w:rPr>
                <w:sz w:val="20"/>
                <w:szCs w:val="20"/>
                <w:lang w:val="es-MX"/>
              </w:rPr>
            </w:pPr>
            <w:r>
              <w:rPr>
                <w:sz w:val="20"/>
                <w:szCs w:val="20"/>
                <w:lang w:val="es-BO"/>
              </w:rPr>
              <w:t xml:space="preserve">La Paz         </w:t>
            </w:r>
          </w:p>
        </w:tc>
        <w:tc>
          <w:tcPr>
            <w:tcW w:w="2413"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66" w14:textId="77777777" w:rsidR="00AB58B8" w:rsidRDefault="00AB58B8">
            <w:pPr>
              <w:jc w:val="center"/>
              <w:rPr>
                <w:sz w:val="20"/>
                <w:szCs w:val="20"/>
                <w:lang w:val="es-MX"/>
              </w:rPr>
            </w:pPr>
            <w:r>
              <w:rPr>
                <w:sz w:val="20"/>
                <w:szCs w:val="20"/>
                <w:lang w:val="es-BO"/>
              </w:rPr>
              <w:t>1.910.654</w:t>
            </w:r>
          </w:p>
        </w:tc>
      </w:tr>
      <w:tr w:rsidR="00AB58B8" w14:paraId="6E6B8C6B" w14:textId="77777777" w:rsidTr="00AB58B8">
        <w:trPr>
          <w:trHeight w:val="300"/>
          <w:jc w:val="center"/>
        </w:trPr>
        <w:tc>
          <w:tcPr>
            <w:tcW w:w="56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68" w14:textId="77777777" w:rsidR="00AB58B8" w:rsidRDefault="00AB58B8">
            <w:pPr>
              <w:jc w:val="both"/>
              <w:rPr>
                <w:sz w:val="20"/>
                <w:szCs w:val="20"/>
                <w:lang w:val="es-MX"/>
              </w:rPr>
            </w:pPr>
            <w:r>
              <w:rPr>
                <w:sz w:val="20"/>
                <w:szCs w:val="20"/>
                <w:lang w:val="es-BO"/>
              </w:rPr>
              <w:t>3</w:t>
            </w:r>
          </w:p>
        </w:tc>
        <w:tc>
          <w:tcPr>
            <w:tcW w:w="2014"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69" w14:textId="77777777" w:rsidR="00AB58B8" w:rsidRDefault="00AB58B8">
            <w:pPr>
              <w:jc w:val="both"/>
              <w:rPr>
                <w:sz w:val="20"/>
                <w:szCs w:val="20"/>
                <w:lang w:val="es-MX"/>
              </w:rPr>
            </w:pPr>
            <w:r>
              <w:rPr>
                <w:sz w:val="20"/>
                <w:szCs w:val="20"/>
                <w:lang w:val="es-BO"/>
              </w:rPr>
              <w:t xml:space="preserve">Cochabamba     </w:t>
            </w:r>
          </w:p>
        </w:tc>
        <w:tc>
          <w:tcPr>
            <w:tcW w:w="2413"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6A" w14:textId="77777777" w:rsidR="00AB58B8" w:rsidRDefault="00AB58B8">
            <w:pPr>
              <w:jc w:val="center"/>
              <w:rPr>
                <w:sz w:val="20"/>
                <w:szCs w:val="20"/>
                <w:lang w:val="es-MX"/>
              </w:rPr>
            </w:pPr>
            <w:r>
              <w:rPr>
                <w:sz w:val="20"/>
                <w:szCs w:val="20"/>
                <w:lang w:val="es-BO"/>
              </w:rPr>
              <w:t>1.325.896</w:t>
            </w:r>
          </w:p>
        </w:tc>
      </w:tr>
      <w:tr w:rsidR="00AB58B8" w14:paraId="6E6B8C6F" w14:textId="77777777" w:rsidTr="00AB58B8">
        <w:trPr>
          <w:trHeight w:val="300"/>
          <w:jc w:val="center"/>
        </w:trPr>
        <w:tc>
          <w:tcPr>
            <w:tcW w:w="56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6C" w14:textId="77777777" w:rsidR="00AB58B8" w:rsidRDefault="00AB58B8">
            <w:pPr>
              <w:jc w:val="both"/>
              <w:rPr>
                <w:sz w:val="20"/>
                <w:szCs w:val="20"/>
                <w:lang w:val="es-MX"/>
              </w:rPr>
            </w:pPr>
            <w:r>
              <w:rPr>
                <w:sz w:val="20"/>
                <w:szCs w:val="20"/>
                <w:lang w:val="es-BO"/>
              </w:rPr>
              <w:t>4</w:t>
            </w:r>
          </w:p>
        </w:tc>
        <w:tc>
          <w:tcPr>
            <w:tcW w:w="2014"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6D" w14:textId="77777777" w:rsidR="00AB58B8" w:rsidRDefault="00AB58B8">
            <w:pPr>
              <w:jc w:val="both"/>
              <w:rPr>
                <w:sz w:val="20"/>
                <w:szCs w:val="20"/>
                <w:lang w:val="es-MX"/>
              </w:rPr>
            </w:pPr>
            <w:r>
              <w:rPr>
                <w:sz w:val="20"/>
                <w:szCs w:val="20"/>
                <w:lang w:val="es-BO"/>
              </w:rPr>
              <w:t xml:space="preserve">Oruro          </w:t>
            </w:r>
          </w:p>
        </w:tc>
        <w:tc>
          <w:tcPr>
            <w:tcW w:w="2413"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6E" w14:textId="77777777" w:rsidR="00AB58B8" w:rsidRDefault="00AB58B8">
            <w:pPr>
              <w:jc w:val="center"/>
              <w:rPr>
                <w:sz w:val="20"/>
                <w:szCs w:val="20"/>
                <w:lang w:val="es-MX"/>
              </w:rPr>
            </w:pPr>
            <w:r>
              <w:rPr>
                <w:sz w:val="20"/>
                <w:szCs w:val="20"/>
                <w:lang w:val="es-BO"/>
              </w:rPr>
              <w:t>335.777</w:t>
            </w:r>
          </w:p>
        </w:tc>
      </w:tr>
      <w:tr w:rsidR="00AB58B8" w14:paraId="6E6B8C73" w14:textId="77777777" w:rsidTr="00AB58B8">
        <w:trPr>
          <w:trHeight w:val="300"/>
          <w:jc w:val="center"/>
        </w:trPr>
        <w:tc>
          <w:tcPr>
            <w:tcW w:w="56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70" w14:textId="77777777" w:rsidR="00AB58B8" w:rsidRDefault="00AB58B8">
            <w:pPr>
              <w:jc w:val="both"/>
              <w:rPr>
                <w:sz w:val="20"/>
                <w:szCs w:val="20"/>
                <w:lang w:val="es-MX"/>
              </w:rPr>
            </w:pPr>
            <w:r>
              <w:rPr>
                <w:sz w:val="20"/>
                <w:szCs w:val="20"/>
                <w:lang w:val="es-BO"/>
              </w:rPr>
              <w:t>5</w:t>
            </w:r>
          </w:p>
        </w:tc>
        <w:tc>
          <w:tcPr>
            <w:tcW w:w="2014"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71" w14:textId="77777777" w:rsidR="00AB58B8" w:rsidRDefault="00AB58B8">
            <w:pPr>
              <w:jc w:val="both"/>
              <w:rPr>
                <w:sz w:val="20"/>
                <w:szCs w:val="20"/>
                <w:lang w:val="es-MX"/>
              </w:rPr>
            </w:pPr>
            <w:r>
              <w:rPr>
                <w:sz w:val="20"/>
                <w:szCs w:val="20"/>
                <w:lang w:val="es-BO"/>
              </w:rPr>
              <w:t xml:space="preserve">Potosí         </w:t>
            </w:r>
          </w:p>
        </w:tc>
        <w:tc>
          <w:tcPr>
            <w:tcW w:w="2413"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72" w14:textId="77777777" w:rsidR="00AB58B8" w:rsidRDefault="00AB58B8">
            <w:pPr>
              <w:jc w:val="center"/>
              <w:rPr>
                <w:sz w:val="20"/>
                <w:szCs w:val="20"/>
                <w:lang w:val="es-MX"/>
              </w:rPr>
            </w:pPr>
            <w:r>
              <w:rPr>
                <w:sz w:val="20"/>
                <w:szCs w:val="20"/>
                <w:lang w:val="es-BO"/>
              </w:rPr>
              <w:t>452.047</w:t>
            </w:r>
          </w:p>
        </w:tc>
      </w:tr>
      <w:tr w:rsidR="00AB58B8" w14:paraId="6E6B8C77" w14:textId="77777777" w:rsidTr="00AB58B8">
        <w:trPr>
          <w:trHeight w:val="300"/>
          <w:jc w:val="center"/>
        </w:trPr>
        <w:tc>
          <w:tcPr>
            <w:tcW w:w="56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74" w14:textId="77777777" w:rsidR="00AB58B8" w:rsidRDefault="00AB58B8">
            <w:pPr>
              <w:jc w:val="both"/>
              <w:rPr>
                <w:sz w:val="20"/>
                <w:szCs w:val="20"/>
                <w:lang w:val="es-MX"/>
              </w:rPr>
            </w:pPr>
            <w:r>
              <w:rPr>
                <w:sz w:val="20"/>
                <w:szCs w:val="20"/>
                <w:lang w:val="es-BO"/>
              </w:rPr>
              <w:t>6</w:t>
            </w:r>
          </w:p>
        </w:tc>
        <w:tc>
          <w:tcPr>
            <w:tcW w:w="2014"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75" w14:textId="77777777" w:rsidR="00AB58B8" w:rsidRDefault="00AB58B8">
            <w:pPr>
              <w:jc w:val="both"/>
              <w:rPr>
                <w:sz w:val="20"/>
                <w:szCs w:val="20"/>
                <w:lang w:val="es-MX"/>
              </w:rPr>
            </w:pPr>
            <w:r>
              <w:rPr>
                <w:sz w:val="20"/>
                <w:szCs w:val="20"/>
                <w:lang w:val="es-BO"/>
              </w:rPr>
              <w:t xml:space="preserve">Tarija         </w:t>
            </w:r>
          </w:p>
        </w:tc>
        <w:tc>
          <w:tcPr>
            <w:tcW w:w="2413"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76" w14:textId="77777777" w:rsidR="00AB58B8" w:rsidRDefault="00AB58B8">
            <w:pPr>
              <w:jc w:val="center"/>
              <w:rPr>
                <w:sz w:val="20"/>
                <w:szCs w:val="20"/>
                <w:lang w:val="es-MX"/>
              </w:rPr>
            </w:pPr>
            <w:r>
              <w:rPr>
                <w:sz w:val="20"/>
                <w:szCs w:val="20"/>
                <w:lang w:val="es-BO"/>
              </w:rPr>
              <w:t>377.600</w:t>
            </w:r>
          </w:p>
        </w:tc>
      </w:tr>
      <w:tr w:rsidR="00AB58B8" w14:paraId="6E6B8C7B" w14:textId="77777777" w:rsidTr="00AB58B8">
        <w:trPr>
          <w:trHeight w:val="300"/>
          <w:jc w:val="center"/>
        </w:trPr>
        <w:tc>
          <w:tcPr>
            <w:tcW w:w="56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78" w14:textId="77777777" w:rsidR="00AB58B8" w:rsidRDefault="00AB58B8">
            <w:pPr>
              <w:jc w:val="both"/>
              <w:rPr>
                <w:sz w:val="20"/>
                <w:szCs w:val="20"/>
                <w:lang w:val="es-MX"/>
              </w:rPr>
            </w:pPr>
            <w:r>
              <w:rPr>
                <w:sz w:val="20"/>
                <w:szCs w:val="20"/>
                <w:lang w:val="es-BO"/>
              </w:rPr>
              <w:t>7</w:t>
            </w:r>
          </w:p>
        </w:tc>
        <w:tc>
          <w:tcPr>
            <w:tcW w:w="2014"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79" w14:textId="77777777" w:rsidR="00AB58B8" w:rsidRDefault="00AB58B8">
            <w:pPr>
              <w:jc w:val="both"/>
              <w:rPr>
                <w:sz w:val="20"/>
                <w:szCs w:val="20"/>
                <w:lang w:val="es-MX"/>
              </w:rPr>
            </w:pPr>
            <w:r>
              <w:rPr>
                <w:sz w:val="20"/>
                <w:szCs w:val="20"/>
                <w:lang w:val="es-BO"/>
              </w:rPr>
              <w:t xml:space="preserve">Santa Cruz     </w:t>
            </w:r>
          </w:p>
        </w:tc>
        <w:tc>
          <w:tcPr>
            <w:tcW w:w="2413"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7A" w14:textId="77777777" w:rsidR="00AB58B8" w:rsidRDefault="00AB58B8">
            <w:pPr>
              <w:jc w:val="center"/>
              <w:rPr>
                <w:sz w:val="20"/>
                <w:szCs w:val="20"/>
                <w:lang w:val="es-MX"/>
              </w:rPr>
            </w:pPr>
            <w:r>
              <w:rPr>
                <w:sz w:val="20"/>
                <w:szCs w:val="20"/>
                <w:lang w:val="es-BO"/>
              </w:rPr>
              <w:t>1.863.543</w:t>
            </w:r>
          </w:p>
        </w:tc>
      </w:tr>
      <w:tr w:rsidR="00AB58B8" w14:paraId="6E6B8C7F" w14:textId="77777777" w:rsidTr="00AB58B8">
        <w:trPr>
          <w:trHeight w:val="300"/>
          <w:jc w:val="center"/>
        </w:trPr>
        <w:tc>
          <w:tcPr>
            <w:tcW w:w="56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7C" w14:textId="77777777" w:rsidR="00AB58B8" w:rsidRDefault="00AB58B8">
            <w:pPr>
              <w:jc w:val="both"/>
              <w:rPr>
                <w:sz w:val="20"/>
                <w:szCs w:val="20"/>
                <w:lang w:val="es-MX"/>
              </w:rPr>
            </w:pPr>
            <w:r>
              <w:rPr>
                <w:sz w:val="20"/>
                <w:szCs w:val="20"/>
                <w:lang w:val="es-BO"/>
              </w:rPr>
              <w:t>8</w:t>
            </w:r>
          </w:p>
        </w:tc>
        <w:tc>
          <w:tcPr>
            <w:tcW w:w="2014"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7D" w14:textId="77777777" w:rsidR="00AB58B8" w:rsidRDefault="00AB58B8">
            <w:pPr>
              <w:jc w:val="both"/>
              <w:rPr>
                <w:sz w:val="20"/>
                <w:szCs w:val="20"/>
                <w:lang w:val="es-MX"/>
              </w:rPr>
            </w:pPr>
            <w:r>
              <w:rPr>
                <w:sz w:val="20"/>
                <w:szCs w:val="20"/>
                <w:lang w:val="es-BO"/>
              </w:rPr>
              <w:t xml:space="preserve">Beni           </w:t>
            </w:r>
          </w:p>
        </w:tc>
        <w:tc>
          <w:tcPr>
            <w:tcW w:w="2413"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7E" w14:textId="77777777" w:rsidR="00AB58B8" w:rsidRDefault="00AB58B8">
            <w:pPr>
              <w:jc w:val="center"/>
              <w:rPr>
                <w:sz w:val="20"/>
                <w:szCs w:val="20"/>
                <w:lang w:val="es-MX"/>
              </w:rPr>
            </w:pPr>
            <w:r>
              <w:rPr>
                <w:sz w:val="20"/>
                <w:szCs w:val="20"/>
                <w:lang w:val="es-BO"/>
              </w:rPr>
              <w:t>265.586</w:t>
            </w:r>
          </w:p>
        </w:tc>
      </w:tr>
      <w:tr w:rsidR="00AB58B8" w14:paraId="6E6B8C83" w14:textId="77777777" w:rsidTr="00AB58B8">
        <w:trPr>
          <w:trHeight w:val="300"/>
          <w:jc w:val="center"/>
        </w:trPr>
        <w:tc>
          <w:tcPr>
            <w:tcW w:w="56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80" w14:textId="77777777" w:rsidR="00AB58B8" w:rsidRDefault="00AB58B8">
            <w:pPr>
              <w:jc w:val="both"/>
              <w:rPr>
                <w:sz w:val="20"/>
                <w:szCs w:val="20"/>
                <w:lang w:val="es-MX"/>
              </w:rPr>
            </w:pPr>
            <w:r>
              <w:rPr>
                <w:sz w:val="20"/>
                <w:szCs w:val="20"/>
                <w:lang w:val="es-BO"/>
              </w:rPr>
              <w:t>9</w:t>
            </w:r>
          </w:p>
        </w:tc>
        <w:tc>
          <w:tcPr>
            <w:tcW w:w="2014"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81" w14:textId="77777777" w:rsidR="00AB58B8" w:rsidRDefault="00AB58B8">
            <w:pPr>
              <w:jc w:val="both"/>
              <w:rPr>
                <w:sz w:val="20"/>
                <w:szCs w:val="20"/>
                <w:lang w:val="es-MX"/>
              </w:rPr>
            </w:pPr>
            <w:r>
              <w:rPr>
                <w:sz w:val="20"/>
                <w:szCs w:val="20"/>
                <w:lang w:val="es-BO"/>
              </w:rPr>
              <w:t xml:space="preserve">Pando          </w:t>
            </w:r>
          </w:p>
        </w:tc>
        <w:tc>
          <w:tcPr>
            <w:tcW w:w="2413"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82" w14:textId="77777777" w:rsidR="00AB58B8" w:rsidRDefault="00AB58B8">
            <w:pPr>
              <w:jc w:val="center"/>
              <w:rPr>
                <w:sz w:val="20"/>
                <w:szCs w:val="20"/>
                <w:lang w:val="es-MX"/>
              </w:rPr>
            </w:pPr>
            <w:r>
              <w:rPr>
                <w:sz w:val="20"/>
                <w:szCs w:val="20"/>
                <w:lang w:val="es-BO"/>
              </w:rPr>
              <w:t>72.580</w:t>
            </w:r>
          </w:p>
        </w:tc>
      </w:tr>
      <w:tr w:rsidR="00AB58B8" w14:paraId="6E6B8C87" w14:textId="77777777" w:rsidTr="00AB58B8">
        <w:trPr>
          <w:trHeight w:val="300"/>
          <w:jc w:val="center"/>
        </w:trPr>
        <w:tc>
          <w:tcPr>
            <w:tcW w:w="562"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84" w14:textId="77777777" w:rsidR="00AB58B8" w:rsidRDefault="00AB58B8">
            <w:pPr>
              <w:jc w:val="both"/>
              <w:rPr>
                <w:sz w:val="20"/>
                <w:szCs w:val="20"/>
                <w:lang w:val="es-MX"/>
              </w:rPr>
            </w:pPr>
            <w:r>
              <w:rPr>
                <w:sz w:val="20"/>
                <w:szCs w:val="20"/>
                <w:lang w:val="es-BO"/>
              </w:rPr>
              <w:t>10</w:t>
            </w:r>
          </w:p>
        </w:tc>
        <w:tc>
          <w:tcPr>
            <w:tcW w:w="2014"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85" w14:textId="77777777" w:rsidR="00AB58B8" w:rsidRDefault="00AB58B8">
            <w:pPr>
              <w:jc w:val="both"/>
              <w:rPr>
                <w:sz w:val="20"/>
                <w:szCs w:val="20"/>
                <w:lang w:val="es-MX"/>
              </w:rPr>
            </w:pPr>
            <w:r>
              <w:rPr>
                <w:sz w:val="20"/>
                <w:szCs w:val="20"/>
                <w:lang w:val="es-BO"/>
              </w:rPr>
              <w:t>Exterior</w:t>
            </w:r>
          </w:p>
        </w:tc>
        <w:tc>
          <w:tcPr>
            <w:tcW w:w="2413" w:type="dxa"/>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86" w14:textId="77777777" w:rsidR="00AB58B8" w:rsidRDefault="00AB58B8">
            <w:pPr>
              <w:jc w:val="center"/>
              <w:rPr>
                <w:sz w:val="20"/>
                <w:szCs w:val="20"/>
                <w:lang w:val="es-MX"/>
              </w:rPr>
            </w:pPr>
            <w:r>
              <w:rPr>
                <w:sz w:val="20"/>
                <w:szCs w:val="20"/>
                <w:lang w:val="es-BO"/>
              </w:rPr>
              <w:t>341.001</w:t>
            </w:r>
          </w:p>
        </w:tc>
      </w:tr>
      <w:tr w:rsidR="00AB58B8" w14:paraId="6E6B8C8B" w14:textId="77777777" w:rsidTr="00AB58B8">
        <w:trPr>
          <w:gridAfter w:val="1"/>
          <w:wAfter w:w="36" w:type="dxa"/>
          <w:trHeight w:val="300"/>
          <w:jc w:val="center"/>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15" w:type="dxa"/>
              <w:left w:w="15" w:type="dxa"/>
              <w:bottom w:w="0" w:type="dxa"/>
              <w:right w:w="15" w:type="dxa"/>
            </w:tcMar>
            <w:vAlign w:val="bottom"/>
            <w:hideMark/>
          </w:tcPr>
          <w:p w14:paraId="6E6B8C88" w14:textId="77777777" w:rsidR="00AB58B8" w:rsidRDefault="00AB58B8">
            <w:pPr>
              <w:jc w:val="both"/>
              <w:rPr>
                <w:sz w:val="20"/>
                <w:szCs w:val="20"/>
                <w:lang w:val="es-MX"/>
              </w:rPr>
            </w:pPr>
            <w:r>
              <w:rPr>
                <w:b/>
                <w:bCs/>
                <w:sz w:val="20"/>
                <w:szCs w:val="20"/>
                <w:lang w:val="es-BO"/>
              </w:rPr>
              <w:t>TOTALES</w:t>
            </w:r>
          </w:p>
          <w:p w14:paraId="6E6B8C89" w14:textId="77777777" w:rsidR="00AB58B8" w:rsidRDefault="00AB58B8">
            <w:pPr>
              <w:jc w:val="both"/>
              <w:rPr>
                <w:sz w:val="20"/>
                <w:szCs w:val="20"/>
                <w:lang w:val="es-MX"/>
              </w:rPr>
            </w:pPr>
            <w:r>
              <w:rPr>
                <w:b/>
                <w:bCs/>
                <w:sz w:val="20"/>
                <w:szCs w:val="20"/>
                <w:lang w:val="es-BO"/>
              </w:rPr>
              <w:t> </w:t>
            </w:r>
          </w:p>
        </w:tc>
        <w:tc>
          <w:tcPr>
            <w:tcW w:w="2413"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15" w:type="dxa"/>
              <w:left w:w="15" w:type="dxa"/>
              <w:bottom w:w="0" w:type="dxa"/>
              <w:right w:w="15" w:type="dxa"/>
            </w:tcMar>
            <w:vAlign w:val="bottom"/>
            <w:hideMark/>
          </w:tcPr>
          <w:p w14:paraId="6E6B8C8A" w14:textId="77777777" w:rsidR="00AB58B8" w:rsidRDefault="00AB58B8">
            <w:pPr>
              <w:jc w:val="center"/>
              <w:rPr>
                <w:sz w:val="20"/>
                <w:szCs w:val="20"/>
                <w:lang w:val="es-MX"/>
              </w:rPr>
            </w:pPr>
            <w:r>
              <w:rPr>
                <w:b/>
                <w:bCs/>
                <w:sz w:val="20"/>
                <w:szCs w:val="20"/>
                <w:lang w:val="es-BO"/>
              </w:rPr>
              <w:t>7.315.364</w:t>
            </w:r>
          </w:p>
        </w:tc>
      </w:tr>
    </w:tbl>
    <w:p w14:paraId="6E6B8C8C" w14:textId="77777777" w:rsidR="00AB58B8" w:rsidRDefault="00AB58B8" w:rsidP="00AB58B8">
      <w:pPr>
        <w:ind w:left="708" w:firstLine="708"/>
        <w:jc w:val="both"/>
        <w:rPr>
          <w:sz w:val="20"/>
          <w:szCs w:val="20"/>
        </w:rPr>
      </w:pPr>
      <w:r>
        <w:rPr>
          <w:sz w:val="20"/>
          <w:szCs w:val="20"/>
        </w:rPr>
        <w:t>Fuente: Información proporcionada por la Dirección Nacional del SERECÍ.</w:t>
      </w:r>
    </w:p>
    <w:p w14:paraId="6E6B8C8D" w14:textId="77777777" w:rsidR="00AB58B8" w:rsidRDefault="00AB58B8" w:rsidP="00AB58B8">
      <w:pPr>
        <w:ind w:left="708" w:firstLine="708"/>
        <w:jc w:val="both"/>
        <w:rPr>
          <w:sz w:val="20"/>
          <w:szCs w:val="20"/>
        </w:rPr>
      </w:pPr>
    </w:p>
    <w:p w14:paraId="6E6B8C8E" w14:textId="77777777" w:rsidR="00AB58B8" w:rsidRDefault="00AB58B8" w:rsidP="00AB58B8">
      <w:pPr>
        <w:jc w:val="both"/>
        <w:rPr>
          <w:sz w:val="22"/>
          <w:szCs w:val="22"/>
        </w:rPr>
      </w:pPr>
      <w:r>
        <w:rPr>
          <w:sz w:val="22"/>
          <w:szCs w:val="22"/>
        </w:rPr>
        <w:lastRenderedPageBreak/>
        <w:t>Por otra parte, de acuerdo con la información recibida, hubo 34,536 personas</w:t>
      </w:r>
      <w:r>
        <w:rPr>
          <w:rStyle w:val="FootnoteReference"/>
          <w:sz w:val="22"/>
          <w:szCs w:val="22"/>
        </w:rPr>
        <w:footnoteReference w:id="16"/>
      </w:r>
      <w:r>
        <w:rPr>
          <w:sz w:val="22"/>
          <w:szCs w:val="22"/>
        </w:rPr>
        <w:t xml:space="preserve"> inhabilitadas. En su mayoría, estas fueron excluidas del padrón por no cumplir con su deber de jurados de mesa en las elecciones anteriores.</w:t>
      </w:r>
    </w:p>
    <w:p w14:paraId="6E6B8C8F" w14:textId="77777777" w:rsidR="00AB58B8" w:rsidRDefault="00AB58B8" w:rsidP="00AB58B8">
      <w:pPr>
        <w:jc w:val="both"/>
        <w:rPr>
          <w:sz w:val="22"/>
          <w:szCs w:val="22"/>
        </w:rPr>
      </w:pPr>
    </w:p>
    <w:p w14:paraId="6E6B8C90" w14:textId="77777777" w:rsidR="00AB58B8" w:rsidRDefault="00AB58B8" w:rsidP="00AB58B8">
      <w:pPr>
        <w:jc w:val="center"/>
        <w:rPr>
          <w:b/>
          <w:bCs/>
          <w:sz w:val="22"/>
          <w:szCs w:val="22"/>
        </w:rPr>
      </w:pPr>
      <w:r>
        <w:rPr>
          <w:b/>
          <w:bCs/>
          <w:sz w:val="22"/>
          <w:szCs w:val="22"/>
        </w:rPr>
        <w:t>Total de Inhabilitados por Departamento</w:t>
      </w:r>
    </w:p>
    <w:p w14:paraId="6E6B8C91" w14:textId="77777777" w:rsidR="00AB58B8" w:rsidRDefault="00AB58B8" w:rsidP="00AB58B8">
      <w:pPr>
        <w:jc w:val="both"/>
        <w:rPr>
          <w:sz w:val="22"/>
          <w:szCs w:val="22"/>
        </w:rPr>
      </w:pPr>
    </w:p>
    <w:tbl>
      <w:tblPr>
        <w:tblW w:w="4540" w:type="dxa"/>
        <w:jc w:val="center"/>
        <w:tblCellMar>
          <w:left w:w="0" w:type="dxa"/>
          <w:right w:w="0" w:type="dxa"/>
        </w:tblCellMar>
        <w:tblLook w:val="0600" w:firstRow="0" w:lastRow="0" w:firstColumn="0" w:lastColumn="0" w:noHBand="1" w:noVBand="1"/>
      </w:tblPr>
      <w:tblGrid>
        <w:gridCol w:w="2250"/>
        <w:gridCol w:w="2290"/>
      </w:tblGrid>
      <w:tr w:rsidR="00AB58B8" w14:paraId="6E6B8C94" w14:textId="77777777" w:rsidTr="00AB58B8">
        <w:trPr>
          <w:trHeight w:val="113"/>
          <w:jc w:val="center"/>
        </w:trPr>
        <w:tc>
          <w:tcPr>
            <w:tcW w:w="2250" w:type="dxa"/>
            <w:tcBorders>
              <w:top w:val="single" w:sz="8" w:space="0" w:color="4F81BD"/>
              <w:left w:val="single" w:sz="8" w:space="0" w:color="4F81BD"/>
              <w:bottom w:val="single" w:sz="8" w:space="0" w:color="4F81BD"/>
              <w:right w:val="single" w:sz="8" w:space="0" w:color="4F81BD"/>
            </w:tcBorders>
            <w:shd w:val="clear" w:color="auto" w:fill="D9D9D9" w:themeFill="background1" w:themeFillShade="D9"/>
            <w:tcMar>
              <w:top w:w="15" w:type="dxa"/>
              <w:left w:w="15" w:type="dxa"/>
              <w:bottom w:w="0" w:type="dxa"/>
              <w:right w:w="15" w:type="dxa"/>
            </w:tcMar>
            <w:vAlign w:val="bottom"/>
            <w:hideMark/>
          </w:tcPr>
          <w:p w14:paraId="6E6B8C92" w14:textId="77777777" w:rsidR="00AB58B8" w:rsidRDefault="00AB58B8">
            <w:pPr>
              <w:jc w:val="both"/>
              <w:rPr>
                <w:b/>
                <w:bCs/>
                <w:sz w:val="20"/>
                <w:szCs w:val="20"/>
                <w:lang w:val="es-MX"/>
              </w:rPr>
            </w:pPr>
            <w:r>
              <w:rPr>
                <w:b/>
                <w:bCs/>
                <w:sz w:val="20"/>
                <w:szCs w:val="20"/>
                <w:lang w:val="es-BO"/>
              </w:rPr>
              <w:t>CIUDAD</w:t>
            </w:r>
          </w:p>
        </w:tc>
        <w:tc>
          <w:tcPr>
            <w:tcW w:w="2290" w:type="dxa"/>
            <w:tcBorders>
              <w:top w:val="single" w:sz="8" w:space="0" w:color="4F81BD"/>
              <w:left w:val="single" w:sz="8" w:space="0" w:color="4F81BD"/>
              <w:bottom w:val="single" w:sz="8" w:space="0" w:color="4F81BD"/>
              <w:right w:val="single" w:sz="8" w:space="0" w:color="4F81BD"/>
            </w:tcBorders>
            <w:shd w:val="clear" w:color="auto" w:fill="D9D9D9" w:themeFill="background1" w:themeFillShade="D9"/>
            <w:tcMar>
              <w:top w:w="15" w:type="dxa"/>
              <w:left w:w="15" w:type="dxa"/>
              <w:bottom w:w="0" w:type="dxa"/>
              <w:right w:w="15" w:type="dxa"/>
            </w:tcMar>
            <w:vAlign w:val="bottom"/>
            <w:hideMark/>
          </w:tcPr>
          <w:p w14:paraId="6E6B8C93" w14:textId="77777777" w:rsidR="00AB58B8" w:rsidRDefault="00AB58B8">
            <w:pPr>
              <w:jc w:val="center"/>
              <w:rPr>
                <w:b/>
                <w:bCs/>
                <w:sz w:val="20"/>
                <w:szCs w:val="20"/>
                <w:lang w:val="es-MX"/>
              </w:rPr>
            </w:pPr>
            <w:r>
              <w:rPr>
                <w:b/>
                <w:bCs/>
                <w:sz w:val="20"/>
                <w:szCs w:val="20"/>
                <w:lang w:val="es-BO"/>
              </w:rPr>
              <w:t>INHABILITADOS</w:t>
            </w:r>
          </w:p>
        </w:tc>
      </w:tr>
      <w:tr w:rsidR="00AB58B8" w14:paraId="6E6B8C97" w14:textId="77777777" w:rsidTr="00AB58B8">
        <w:trPr>
          <w:trHeight w:val="113"/>
          <w:jc w:val="center"/>
        </w:trPr>
        <w:tc>
          <w:tcPr>
            <w:tcW w:w="225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95" w14:textId="77777777" w:rsidR="00AB58B8" w:rsidRDefault="00AB58B8">
            <w:pPr>
              <w:jc w:val="both"/>
              <w:rPr>
                <w:sz w:val="20"/>
                <w:szCs w:val="20"/>
                <w:lang w:val="es-MX"/>
              </w:rPr>
            </w:pPr>
            <w:r>
              <w:rPr>
                <w:sz w:val="20"/>
                <w:szCs w:val="20"/>
                <w:lang w:val="es-BO"/>
              </w:rPr>
              <w:t>Chuquisaca</w:t>
            </w:r>
          </w:p>
        </w:tc>
        <w:tc>
          <w:tcPr>
            <w:tcW w:w="229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96" w14:textId="77777777" w:rsidR="00AB58B8" w:rsidRDefault="00AB58B8">
            <w:pPr>
              <w:jc w:val="center"/>
              <w:rPr>
                <w:sz w:val="20"/>
                <w:szCs w:val="20"/>
                <w:lang w:val="es-MX"/>
              </w:rPr>
            </w:pPr>
            <w:r>
              <w:rPr>
                <w:sz w:val="20"/>
                <w:szCs w:val="20"/>
                <w:lang w:val="es-BO"/>
              </w:rPr>
              <w:t>1.629</w:t>
            </w:r>
          </w:p>
        </w:tc>
      </w:tr>
      <w:tr w:rsidR="00AB58B8" w14:paraId="6E6B8C9A" w14:textId="77777777" w:rsidTr="00AB58B8">
        <w:trPr>
          <w:trHeight w:val="113"/>
          <w:jc w:val="center"/>
        </w:trPr>
        <w:tc>
          <w:tcPr>
            <w:tcW w:w="225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98" w14:textId="77777777" w:rsidR="00AB58B8" w:rsidRDefault="00AB58B8">
            <w:pPr>
              <w:jc w:val="both"/>
              <w:rPr>
                <w:sz w:val="20"/>
                <w:szCs w:val="20"/>
                <w:lang w:val="es-MX"/>
              </w:rPr>
            </w:pPr>
            <w:r>
              <w:rPr>
                <w:sz w:val="20"/>
                <w:szCs w:val="20"/>
                <w:lang w:val="es-BO"/>
              </w:rPr>
              <w:t>La Paz</w:t>
            </w:r>
          </w:p>
        </w:tc>
        <w:tc>
          <w:tcPr>
            <w:tcW w:w="229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99" w14:textId="77777777" w:rsidR="00AB58B8" w:rsidRDefault="00AB58B8">
            <w:pPr>
              <w:jc w:val="center"/>
              <w:rPr>
                <w:sz w:val="20"/>
                <w:szCs w:val="20"/>
                <w:lang w:val="es-MX"/>
              </w:rPr>
            </w:pPr>
            <w:r>
              <w:rPr>
                <w:sz w:val="20"/>
                <w:szCs w:val="20"/>
                <w:lang w:val="es-BO"/>
              </w:rPr>
              <w:t>7.803</w:t>
            </w:r>
          </w:p>
        </w:tc>
      </w:tr>
      <w:tr w:rsidR="00AB58B8" w14:paraId="6E6B8C9D" w14:textId="77777777" w:rsidTr="00AB58B8">
        <w:trPr>
          <w:trHeight w:val="113"/>
          <w:jc w:val="center"/>
        </w:trPr>
        <w:tc>
          <w:tcPr>
            <w:tcW w:w="225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9B" w14:textId="77777777" w:rsidR="00AB58B8" w:rsidRDefault="00AB58B8">
            <w:pPr>
              <w:jc w:val="both"/>
              <w:rPr>
                <w:sz w:val="20"/>
                <w:szCs w:val="20"/>
                <w:lang w:val="es-MX"/>
              </w:rPr>
            </w:pPr>
            <w:r>
              <w:rPr>
                <w:sz w:val="20"/>
                <w:szCs w:val="20"/>
                <w:lang w:val="es-BO"/>
              </w:rPr>
              <w:t>Cochabamba</w:t>
            </w:r>
          </w:p>
        </w:tc>
        <w:tc>
          <w:tcPr>
            <w:tcW w:w="229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9C" w14:textId="77777777" w:rsidR="00AB58B8" w:rsidRDefault="00AB58B8">
            <w:pPr>
              <w:jc w:val="center"/>
              <w:rPr>
                <w:sz w:val="20"/>
                <w:szCs w:val="20"/>
                <w:lang w:val="es-MX"/>
              </w:rPr>
            </w:pPr>
            <w:r>
              <w:rPr>
                <w:sz w:val="20"/>
                <w:szCs w:val="20"/>
                <w:lang w:val="es-BO"/>
              </w:rPr>
              <w:t>4.983</w:t>
            </w:r>
          </w:p>
        </w:tc>
      </w:tr>
      <w:tr w:rsidR="00AB58B8" w14:paraId="6E6B8CA0" w14:textId="77777777" w:rsidTr="00AB58B8">
        <w:trPr>
          <w:trHeight w:val="113"/>
          <w:jc w:val="center"/>
        </w:trPr>
        <w:tc>
          <w:tcPr>
            <w:tcW w:w="225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9E" w14:textId="77777777" w:rsidR="00AB58B8" w:rsidRDefault="00AB58B8">
            <w:pPr>
              <w:jc w:val="both"/>
              <w:rPr>
                <w:sz w:val="20"/>
                <w:szCs w:val="20"/>
                <w:lang w:val="es-MX"/>
              </w:rPr>
            </w:pPr>
            <w:r>
              <w:rPr>
                <w:sz w:val="20"/>
                <w:szCs w:val="20"/>
                <w:lang w:val="es-BO"/>
              </w:rPr>
              <w:t>Oruro</w:t>
            </w:r>
          </w:p>
        </w:tc>
        <w:tc>
          <w:tcPr>
            <w:tcW w:w="229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9F" w14:textId="77777777" w:rsidR="00AB58B8" w:rsidRDefault="00AB58B8">
            <w:pPr>
              <w:jc w:val="center"/>
              <w:rPr>
                <w:sz w:val="20"/>
                <w:szCs w:val="20"/>
                <w:lang w:val="es-MX"/>
              </w:rPr>
            </w:pPr>
            <w:r>
              <w:rPr>
                <w:sz w:val="20"/>
                <w:szCs w:val="20"/>
                <w:lang w:val="es-BO"/>
              </w:rPr>
              <w:t>1.143</w:t>
            </w:r>
          </w:p>
        </w:tc>
      </w:tr>
      <w:tr w:rsidR="00AB58B8" w14:paraId="6E6B8CA3" w14:textId="77777777" w:rsidTr="00AB58B8">
        <w:trPr>
          <w:trHeight w:val="113"/>
          <w:jc w:val="center"/>
        </w:trPr>
        <w:tc>
          <w:tcPr>
            <w:tcW w:w="225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A1" w14:textId="77777777" w:rsidR="00AB58B8" w:rsidRDefault="00AB58B8">
            <w:pPr>
              <w:jc w:val="both"/>
              <w:rPr>
                <w:sz w:val="20"/>
                <w:szCs w:val="20"/>
                <w:lang w:val="es-MX"/>
              </w:rPr>
            </w:pPr>
            <w:r>
              <w:rPr>
                <w:sz w:val="20"/>
                <w:szCs w:val="20"/>
                <w:lang w:val="es-BO"/>
              </w:rPr>
              <w:t>Potosí</w:t>
            </w:r>
          </w:p>
        </w:tc>
        <w:tc>
          <w:tcPr>
            <w:tcW w:w="229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A2" w14:textId="77777777" w:rsidR="00AB58B8" w:rsidRDefault="00AB58B8">
            <w:pPr>
              <w:jc w:val="center"/>
              <w:rPr>
                <w:sz w:val="20"/>
                <w:szCs w:val="20"/>
                <w:lang w:val="es-MX"/>
              </w:rPr>
            </w:pPr>
            <w:r>
              <w:rPr>
                <w:sz w:val="20"/>
                <w:szCs w:val="20"/>
                <w:lang w:val="es-BO"/>
              </w:rPr>
              <w:t>2.226</w:t>
            </w:r>
          </w:p>
        </w:tc>
      </w:tr>
      <w:tr w:rsidR="00AB58B8" w14:paraId="6E6B8CA6" w14:textId="77777777" w:rsidTr="00AB58B8">
        <w:trPr>
          <w:trHeight w:val="113"/>
          <w:jc w:val="center"/>
        </w:trPr>
        <w:tc>
          <w:tcPr>
            <w:tcW w:w="225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A4" w14:textId="77777777" w:rsidR="00AB58B8" w:rsidRDefault="00AB58B8">
            <w:pPr>
              <w:jc w:val="both"/>
              <w:rPr>
                <w:sz w:val="20"/>
                <w:szCs w:val="20"/>
                <w:lang w:val="es-MX"/>
              </w:rPr>
            </w:pPr>
            <w:r>
              <w:rPr>
                <w:sz w:val="20"/>
                <w:szCs w:val="20"/>
                <w:lang w:val="es-BO"/>
              </w:rPr>
              <w:t>Tarija</w:t>
            </w:r>
          </w:p>
        </w:tc>
        <w:tc>
          <w:tcPr>
            <w:tcW w:w="229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A5" w14:textId="77777777" w:rsidR="00AB58B8" w:rsidRDefault="00AB58B8">
            <w:pPr>
              <w:jc w:val="center"/>
              <w:rPr>
                <w:sz w:val="20"/>
                <w:szCs w:val="20"/>
                <w:lang w:val="es-MX"/>
              </w:rPr>
            </w:pPr>
            <w:r>
              <w:rPr>
                <w:sz w:val="20"/>
                <w:szCs w:val="20"/>
                <w:lang w:val="es-BO"/>
              </w:rPr>
              <w:t>1.885</w:t>
            </w:r>
          </w:p>
        </w:tc>
      </w:tr>
      <w:tr w:rsidR="00AB58B8" w14:paraId="6E6B8CA9" w14:textId="77777777" w:rsidTr="00AB58B8">
        <w:trPr>
          <w:trHeight w:val="113"/>
          <w:jc w:val="center"/>
        </w:trPr>
        <w:tc>
          <w:tcPr>
            <w:tcW w:w="225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A7" w14:textId="77777777" w:rsidR="00AB58B8" w:rsidRDefault="00AB58B8">
            <w:pPr>
              <w:jc w:val="both"/>
              <w:rPr>
                <w:sz w:val="20"/>
                <w:szCs w:val="20"/>
                <w:lang w:val="es-MX"/>
              </w:rPr>
            </w:pPr>
            <w:r>
              <w:rPr>
                <w:sz w:val="20"/>
                <w:szCs w:val="20"/>
                <w:lang w:val="es-BO"/>
              </w:rPr>
              <w:t>Santa Cruz</w:t>
            </w:r>
          </w:p>
        </w:tc>
        <w:tc>
          <w:tcPr>
            <w:tcW w:w="229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A8" w14:textId="77777777" w:rsidR="00AB58B8" w:rsidRDefault="00AB58B8">
            <w:pPr>
              <w:jc w:val="center"/>
              <w:rPr>
                <w:sz w:val="20"/>
                <w:szCs w:val="20"/>
                <w:lang w:val="es-MX"/>
              </w:rPr>
            </w:pPr>
            <w:r>
              <w:rPr>
                <w:sz w:val="20"/>
                <w:szCs w:val="20"/>
                <w:lang w:val="es-BO"/>
              </w:rPr>
              <w:t>12.632</w:t>
            </w:r>
          </w:p>
        </w:tc>
      </w:tr>
      <w:tr w:rsidR="00AB58B8" w14:paraId="6E6B8CAC" w14:textId="77777777" w:rsidTr="00AB58B8">
        <w:trPr>
          <w:trHeight w:val="113"/>
          <w:jc w:val="center"/>
        </w:trPr>
        <w:tc>
          <w:tcPr>
            <w:tcW w:w="225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AA" w14:textId="77777777" w:rsidR="00AB58B8" w:rsidRDefault="00AB58B8">
            <w:pPr>
              <w:jc w:val="both"/>
              <w:rPr>
                <w:sz w:val="20"/>
                <w:szCs w:val="20"/>
                <w:lang w:val="es-MX"/>
              </w:rPr>
            </w:pPr>
            <w:r>
              <w:rPr>
                <w:sz w:val="20"/>
                <w:szCs w:val="20"/>
                <w:lang w:val="es-BO"/>
              </w:rPr>
              <w:t>Beni</w:t>
            </w:r>
          </w:p>
        </w:tc>
        <w:tc>
          <w:tcPr>
            <w:tcW w:w="229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AB" w14:textId="77777777" w:rsidR="00AB58B8" w:rsidRDefault="00AB58B8">
            <w:pPr>
              <w:jc w:val="center"/>
              <w:rPr>
                <w:sz w:val="20"/>
                <w:szCs w:val="20"/>
                <w:lang w:val="es-MX"/>
              </w:rPr>
            </w:pPr>
            <w:r>
              <w:rPr>
                <w:sz w:val="20"/>
                <w:szCs w:val="20"/>
                <w:lang w:val="es-BO"/>
              </w:rPr>
              <w:t>1.746</w:t>
            </w:r>
          </w:p>
        </w:tc>
      </w:tr>
      <w:tr w:rsidR="00AB58B8" w14:paraId="6E6B8CAF" w14:textId="77777777" w:rsidTr="00AB58B8">
        <w:trPr>
          <w:trHeight w:val="113"/>
          <w:jc w:val="center"/>
        </w:trPr>
        <w:tc>
          <w:tcPr>
            <w:tcW w:w="225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AD" w14:textId="77777777" w:rsidR="00AB58B8" w:rsidRDefault="00AB58B8">
            <w:pPr>
              <w:jc w:val="both"/>
              <w:rPr>
                <w:sz w:val="20"/>
                <w:szCs w:val="20"/>
                <w:lang w:val="es-MX"/>
              </w:rPr>
            </w:pPr>
            <w:r>
              <w:rPr>
                <w:sz w:val="20"/>
                <w:szCs w:val="20"/>
                <w:lang w:val="es-BO"/>
              </w:rPr>
              <w:t>Pando</w:t>
            </w:r>
          </w:p>
        </w:tc>
        <w:tc>
          <w:tcPr>
            <w:tcW w:w="229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AE" w14:textId="77777777" w:rsidR="00AB58B8" w:rsidRDefault="00AB58B8">
            <w:pPr>
              <w:jc w:val="center"/>
              <w:rPr>
                <w:sz w:val="20"/>
                <w:szCs w:val="20"/>
                <w:lang w:val="es-MX"/>
              </w:rPr>
            </w:pPr>
            <w:r>
              <w:rPr>
                <w:sz w:val="20"/>
                <w:szCs w:val="20"/>
                <w:lang w:val="es-BO"/>
              </w:rPr>
              <w:t>489</w:t>
            </w:r>
          </w:p>
        </w:tc>
      </w:tr>
      <w:tr w:rsidR="00AB58B8" w14:paraId="6E6B8CB2" w14:textId="77777777" w:rsidTr="00AB58B8">
        <w:trPr>
          <w:trHeight w:val="113"/>
          <w:jc w:val="center"/>
        </w:trPr>
        <w:tc>
          <w:tcPr>
            <w:tcW w:w="225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B0" w14:textId="77777777" w:rsidR="00AB58B8" w:rsidRDefault="00AB58B8">
            <w:pPr>
              <w:jc w:val="both"/>
              <w:rPr>
                <w:sz w:val="20"/>
                <w:szCs w:val="20"/>
                <w:lang w:val="es-MX"/>
              </w:rPr>
            </w:pPr>
            <w:r>
              <w:rPr>
                <w:sz w:val="20"/>
                <w:szCs w:val="20"/>
                <w:lang w:val="es-BO"/>
              </w:rPr>
              <w:t>TOTAL</w:t>
            </w:r>
          </w:p>
        </w:tc>
        <w:tc>
          <w:tcPr>
            <w:tcW w:w="2290" w:type="dxa"/>
            <w:tcBorders>
              <w:top w:val="single" w:sz="8" w:space="0" w:color="4F81BD"/>
              <w:left w:val="single" w:sz="8" w:space="0" w:color="4F81BD"/>
              <w:bottom w:val="single" w:sz="8" w:space="0" w:color="4F81BD"/>
              <w:right w:val="single" w:sz="8" w:space="0" w:color="4F81BD"/>
            </w:tcBorders>
            <w:tcMar>
              <w:top w:w="15" w:type="dxa"/>
              <w:left w:w="15" w:type="dxa"/>
              <w:bottom w:w="0" w:type="dxa"/>
              <w:right w:w="15" w:type="dxa"/>
            </w:tcMar>
            <w:vAlign w:val="bottom"/>
            <w:hideMark/>
          </w:tcPr>
          <w:p w14:paraId="6E6B8CB1" w14:textId="77777777" w:rsidR="00AB58B8" w:rsidRDefault="00AB58B8">
            <w:pPr>
              <w:jc w:val="center"/>
              <w:rPr>
                <w:sz w:val="20"/>
                <w:szCs w:val="20"/>
                <w:lang w:val="es-MX"/>
              </w:rPr>
            </w:pPr>
            <w:r>
              <w:rPr>
                <w:sz w:val="20"/>
                <w:szCs w:val="20"/>
                <w:lang w:val="es-BO"/>
              </w:rPr>
              <w:t>34.536</w:t>
            </w:r>
          </w:p>
        </w:tc>
      </w:tr>
    </w:tbl>
    <w:p w14:paraId="6E6B8CB3" w14:textId="77777777" w:rsidR="00AB58B8" w:rsidRDefault="00AB58B8" w:rsidP="00AB58B8">
      <w:pPr>
        <w:ind w:left="708" w:firstLine="708"/>
        <w:jc w:val="both"/>
        <w:rPr>
          <w:sz w:val="20"/>
          <w:szCs w:val="20"/>
        </w:rPr>
      </w:pPr>
      <w:r>
        <w:rPr>
          <w:sz w:val="20"/>
          <w:szCs w:val="20"/>
        </w:rPr>
        <w:t>Fuente: Información proporcionada por la Dirección Nacional del SERECÍ.</w:t>
      </w:r>
    </w:p>
    <w:p w14:paraId="6E6B8CB4" w14:textId="77777777" w:rsidR="00AB58B8" w:rsidRDefault="00AB58B8" w:rsidP="00AB58B8">
      <w:pPr>
        <w:jc w:val="both"/>
        <w:rPr>
          <w:sz w:val="22"/>
          <w:szCs w:val="22"/>
        </w:rPr>
      </w:pPr>
    </w:p>
    <w:p w14:paraId="6E6B8CB5" w14:textId="77777777" w:rsidR="00AB58B8" w:rsidRDefault="00AB58B8" w:rsidP="00AB58B8">
      <w:pPr>
        <w:jc w:val="center"/>
        <w:rPr>
          <w:b/>
          <w:bCs/>
          <w:sz w:val="22"/>
          <w:szCs w:val="22"/>
        </w:rPr>
      </w:pPr>
      <w:r>
        <w:rPr>
          <w:b/>
          <w:bCs/>
          <w:sz w:val="22"/>
          <w:szCs w:val="22"/>
        </w:rPr>
        <w:t>Motivos de Inhabilitación en el Padrón Electoral</w:t>
      </w:r>
    </w:p>
    <w:p w14:paraId="6E6B8CB6" w14:textId="77777777" w:rsidR="00AB58B8" w:rsidRDefault="00AB58B8" w:rsidP="00AB58B8">
      <w:pPr>
        <w:jc w:val="both"/>
        <w:rPr>
          <w:sz w:val="22"/>
          <w:szCs w:val="22"/>
        </w:rPr>
      </w:pPr>
    </w:p>
    <w:tbl>
      <w:tblPr>
        <w:tblW w:w="70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4380"/>
        <w:gridCol w:w="1520"/>
        <w:gridCol w:w="1140"/>
      </w:tblGrid>
      <w:tr w:rsidR="00AB58B8" w14:paraId="6E6B8CBA" w14:textId="77777777" w:rsidTr="00AB58B8">
        <w:trPr>
          <w:trHeight w:val="20"/>
          <w:jc w:val="center"/>
        </w:trPr>
        <w:tc>
          <w:tcPr>
            <w:tcW w:w="43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center"/>
            <w:hideMark/>
          </w:tcPr>
          <w:p w14:paraId="6E6B8CB7" w14:textId="77777777" w:rsidR="00AB58B8" w:rsidRDefault="00AB58B8">
            <w:pPr>
              <w:jc w:val="center"/>
              <w:rPr>
                <w:b/>
                <w:bCs/>
                <w:sz w:val="20"/>
                <w:szCs w:val="20"/>
                <w:lang w:val="es-MX"/>
              </w:rPr>
            </w:pPr>
            <w:r>
              <w:rPr>
                <w:b/>
                <w:bCs/>
                <w:sz w:val="20"/>
                <w:szCs w:val="20"/>
                <w:lang w:val="es-BO"/>
              </w:rPr>
              <w:t>Descripción</w:t>
            </w:r>
          </w:p>
        </w:tc>
        <w:tc>
          <w:tcPr>
            <w:tcW w:w="15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bottom"/>
            <w:hideMark/>
          </w:tcPr>
          <w:p w14:paraId="6E6B8CB8" w14:textId="77777777" w:rsidR="00AB58B8" w:rsidRDefault="00AB58B8">
            <w:pPr>
              <w:jc w:val="center"/>
              <w:rPr>
                <w:b/>
                <w:bCs/>
                <w:sz w:val="20"/>
                <w:szCs w:val="20"/>
                <w:lang w:val="es-MX"/>
              </w:rPr>
            </w:pPr>
            <w:r>
              <w:rPr>
                <w:b/>
                <w:bCs/>
                <w:sz w:val="20"/>
                <w:szCs w:val="20"/>
                <w:lang w:val="es-BO"/>
              </w:rPr>
              <w:t>Cantidad Inhabilitados</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bottom"/>
            <w:hideMark/>
          </w:tcPr>
          <w:p w14:paraId="6E6B8CB9" w14:textId="77777777" w:rsidR="00AB58B8" w:rsidRDefault="00AB58B8">
            <w:pPr>
              <w:jc w:val="center"/>
              <w:rPr>
                <w:b/>
                <w:bCs/>
                <w:sz w:val="20"/>
                <w:szCs w:val="20"/>
                <w:lang w:val="es-MX"/>
              </w:rPr>
            </w:pPr>
            <w:r>
              <w:rPr>
                <w:b/>
                <w:bCs/>
                <w:sz w:val="20"/>
                <w:szCs w:val="20"/>
                <w:lang w:val="es-BO"/>
              </w:rPr>
              <w:t>%</w:t>
            </w:r>
          </w:p>
        </w:tc>
      </w:tr>
      <w:tr w:rsidR="00AB58B8" w14:paraId="6E6B8CBE" w14:textId="77777777" w:rsidTr="00AB58B8">
        <w:trPr>
          <w:trHeight w:val="20"/>
          <w:jc w:val="center"/>
        </w:trPr>
        <w:tc>
          <w:tcPr>
            <w:tcW w:w="43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BB" w14:textId="77777777" w:rsidR="00AB58B8" w:rsidRDefault="00AB58B8">
            <w:pPr>
              <w:jc w:val="both"/>
              <w:rPr>
                <w:sz w:val="20"/>
                <w:szCs w:val="20"/>
                <w:lang w:val="es-MX"/>
              </w:rPr>
            </w:pPr>
            <w:r>
              <w:rPr>
                <w:sz w:val="20"/>
                <w:szCs w:val="20"/>
                <w:lang w:val="es-BO"/>
              </w:rPr>
              <w:t>Documento inválido</w:t>
            </w:r>
          </w:p>
        </w:tc>
        <w:tc>
          <w:tcPr>
            <w:tcW w:w="15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BC" w14:textId="77777777" w:rsidR="00AB58B8" w:rsidRDefault="00AB58B8">
            <w:pPr>
              <w:jc w:val="center"/>
              <w:rPr>
                <w:sz w:val="20"/>
                <w:szCs w:val="20"/>
                <w:lang w:val="es-MX"/>
              </w:rPr>
            </w:pPr>
            <w:r>
              <w:rPr>
                <w:sz w:val="20"/>
                <w:szCs w:val="20"/>
                <w:lang w:val="es-BO"/>
              </w:rPr>
              <w:t>998</w:t>
            </w:r>
          </w:p>
        </w:tc>
        <w:tc>
          <w:tcPr>
            <w:tcW w:w="1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BD" w14:textId="77777777" w:rsidR="00AB58B8" w:rsidRDefault="00AB58B8">
            <w:pPr>
              <w:jc w:val="center"/>
              <w:rPr>
                <w:sz w:val="20"/>
                <w:szCs w:val="20"/>
                <w:lang w:val="es-MX"/>
              </w:rPr>
            </w:pPr>
            <w:r>
              <w:rPr>
                <w:sz w:val="20"/>
                <w:szCs w:val="20"/>
                <w:lang w:val="es-BO"/>
              </w:rPr>
              <w:t>2.89</w:t>
            </w:r>
          </w:p>
        </w:tc>
      </w:tr>
      <w:tr w:rsidR="00AB58B8" w14:paraId="6E6B8CC2" w14:textId="77777777" w:rsidTr="00AB58B8">
        <w:trPr>
          <w:trHeight w:val="20"/>
          <w:jc w:val="center"/>
        </w:trPr>
        <w:tc>
          <w:tcPr>
            <w:tcW w:w="43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BF" w14:textId="77777777" w:rsidR="00AB58B8" w:rsidRDefault="00AB58B8">
            <w:pPr>
              <w:jc w:val="both"/>
              <w:rPr>
                <w:sz w:val="20"/>
                <w:szCs w:val="20"/>
                <w:lang w:val="es-MX"/>
              </w:rPr>
            </w:pPr>
            <w:r>
              <w:rPr>
                <w:sz w:val="20"/>
                <w:szCs w:val="20"/>
                <w:lang w:val="es-BO"/>
              </w:rPr>
              <w:t>Error de captura</w:t>
            </w:r>
          </w:p>
        </w:tc>
        <w:tc>
          <w:tcPr>
            <w:tcW w:w="15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C0" w14:textId="77777777" w:rsidR="00AB58B8" w:rsidRDefault="00AB58B8">
            <w:pPr>
              <w:jc w:val="center"/>
              <w:rPr>
                <w:sz w:val="20"/>
                <w:szCs w:val="20"/>
                <w:lang w:val="es-MX"/>
              </w:rPr>
            </w:pPr>
            <w:r>
              <w:rPr>
                <w:sz w:val="20"/>
                <w:szCs w:val="20"/>
                <w:lang w:val="es-BO"/>
              </w:rPr>
              <w:t>355</w:t>
            </w:r>
          </w:p>
        </w:tc>
        <w:tc>
          <w:tcPr>
            <w:tcW w:w="1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C1" w14:textId="77777777" w:rsidR="00AB58B8" w:rsidRDefault="00AB58B8">
            <w:pPr>
              <w:jc w:val="center"/>
              <w:rPr>
                <w:sz w:val="20"/>
                <w:szCs w:val="20"/>
                <w:lang w:val="es-MX"/>
              </w:rPr>
            </w:pPr>
            <w:r>
              <w:rPr>
                <w:sz w:val="20"/>
                <w:szCs w:val="20"/>
                <w:lang w:val="es-BO"/>
              </w:rPr>
              <w:t>1.03</w:t>
            </w:r>
          </w:p>
        </w:tc>
      </w:tr>
      <w:tr w:rsidR="00AB58B8" w14:paraId="6E6B8CC6" w14:textId="77777777" w:rsidTr="00AB58B8">
        <w:trPr>
          <w:trHeight w:val="20"/>
          <w:jc w:val="center"/>
        </w:trPr>
        <w:tc>
          <w:tcPr>
            <w:tcW w:w="43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C3" w14:textId="77777777" w:rsidR="00AB58B8" w:rsidRDefault="00AB58B8">
            <w:pPr>
              <w:jc w:val="both"/>
              <w:rPr>
                <w:sz w:val="20"/>
                <w:szCs w:val="20"/>
                <w:lang w:val="es-MX"/>
              </w:rPr>
            </w:pPr>
            <w:r>
              <w:rPr>
                <w:sz w:val="20"/>
                <w:szCs w:val="20"/>
                <w:lang w:val="es-BO"/>
              </w:rPr>
              <w:t>Inscripción Interdepartamental</w:t>
            </w:r>
          </w:p>
        </w:tc>
        <w:tc>
          <w:tcPr>
            <w:tcW w:w="15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C4" w14:textId="77777777" w:rsidR="00AB58B8" w:rsidRDefault="00AB58B8">
            <w:pPr>
              <w:jc w:val="center"/>
              <w:rPr>
                <w:sz w:val="20"/>
                <w:szCs w:val="20"/>
                <w:lang w:val="es-MX"/>
              </w:rPr>
            </w:pPr>
            <w:r>
              <w:rPr>
                <w:sz w:val="20"/>
                <w:szCs w:val="20"/>
                <w:lang w:val="es-BO"/>
              </w:rPr>
              <w:t>208</w:t>
            </w:r>
          </w:p>
        </w:tc>
        <w:tc>
          <w:tcPr>
            <w:tcW w:w="1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C5" w14:textId="77777777" w:rsidR="00AB58B8" w:rsidRDefault="00AB58B8">
            <w:pPr>
              <w:jc w:val="center"/>
              <w:rPr>
                <w:sz w:val="20"/>
                <w:szCs w:val="20"/>
                <w:lang w:val="es-MX"/>
              </w:rPr>
            </w:pPr>
            <w:r>
              <w:rPr>
                <w:sz w:val="20"/>
                <w:szCs w:val="20"/>
                <w:lang w:val="es-BO"/>
              </w:rPr>
              <w:t>0.60</w:t>
            </w:r>
          </w:p>
        </w:tc>
      </w:tr>
      <w:tr w:rsidR="00AB58B8" w14:paraId="6E6B8CCA" w14:textId="77777777" w:rsidTr="00AB58B8">
        <w:trPr>
          <w:trHeight w:val="20"/>
          <w:jc w:val="center"/>
        </w:trPr>
        <w:tc>
          <w:tcPr>
            <w:tcW w:w="43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C7" w14:textId="77777777" w:rsidR="00AB58B8" w:rsidRDefault="00AB58B8">
            <w:pPr>
              <w:jc w:val="both"/>
              <w:rPr>
                <w:sz w:val="20"/>
                <w:szCs w:val="20"/>
                <w:lang w:val="es-MX"/>
              </w:rPr>
            </w:pPr>
            <w:r>
              <w:rPr>
                <w:sz w:val="20"/>
                <w:szCs w:val="20"/>
                <w:lang w:val="es-BO"/>
              </w:rPr>
              <w:t>Jurado NO Asistente</w:t>
            </w:r>
          </w:p>
        </w:tc>
        <w:tc>
          <w:tcPr>
            <w:tcW w:w="15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C8" w14:textId="77777777" w:rsidR="00AB58B8" w:rsidRDefault="00AB58B8">
            <w:pPr>
              <w:jc w:val="center"/>
              <w:rPr>
                <w:sz w:val="20"/>
                <w:szCs w:val="20"/>
                <w:lang w:val="es-MX"/>
              </w:rPr>
            </w:pPr>
            <w:r>
              <w:rPr>
                <w:sz w:val="20"/>
                <w:szCs w:val="20"/>
                <w:lang w:val="es-BO"/>
              </w:rPr>
              <w:t>30,088</w:t>
            </w:r>
          </w:p>
        </w:tc>
        <w:tc>
          <w:tcPr>
            <w:tcW w:w="1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C9" w14:textId="77777777" w:rsidR="00AB58B8" w:rsidRDefault="00AB58B8">
            <w:pPr>
              <w:jc w:val="center"/>
              <w:rPr>
                <w:sz w:val="20"/>
                <w:szCs w:val="20"/>
                <w:lang w:val="es-MX"/>
              </w:rPr>
            </w:pPr>
            <w:r>
              <w:rPr>
                <w:sz w:val="20"/>
                <w:szCs w:val="20"/>
                <w:lang w:val="es-BO"/>
              </w:rPr>
              <w:t>87.12</w:t>
            </w:r>
          </w:p>
        </w:tc>
      </w:tr>
      <w:tr w:rsidR="00AB58B8" w14:paraId="6E6B8CCE" w14:textId="77777777" w:rsidTr="00AB58B8">
        <w:trPr>
          <w:trHeight w:val="20"/>
          <w:jc w:val="center"/>
        </w:trPr>
        <w:tc>
          <w:tcPr>
            <w:tcW w:w="43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CB" w14:textId="77777777" w:rsidR="00AB58B8" w:rsidRDefault="00AB58B8">
            <w:pPr>
              <w:jc w:val="both"/>
              <w:rPr>
                <w:sz w:val="20"/>
                <w:szCs w:val="20"/>
                <w:lang w:val="es-MX"/>
              </w:rPr>
            </w:pPr>
            <w:r>
              <w:rPr>
                <w:sz w:val="20"/>
                <w:szCs w:val="20"/>
                <w:lang w:val="es-BO"/>
              </w:rPr>
              <w:t>Menor de Edad</w:t>
            </w:r>
          </w:p>
        </w:tc>
        <w:tc>
          <w:tcPr>
            <w:tcW w:w="15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CC" w14:textId="77777777" w:rsidR="00AB58B8" w:rsidRDefault="00AB58B8">
            <w:pPr>
              <w:jc w:val="center"/>
              <w:rPr>
                <w:sz w:val="20"/>
                <w:szCs w:val="20"/>
                <w:lang w:val="es-MX"/>
              </w:rPr>
            </w:pPr>
            <w:r>
              <w:rPr>
                <w:sz w:val="20"/>
                <w:szCs w:val="20"/>
                <w:lang w:val="es-BO"/>
              </w:rPr>
              <w:t>31</w:t>
            </w:r>
          </w:p>
        </w:tc>
        <w:tc>
          <w:tcPr>
            <w:tcW w:w="1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CD" w14:textId="77777777" w:rsidR="00AB58B8" w:rsidRDefault="00AB58B8">
            <w:pPr>
              <w:jc w:val="center"/>
              <w:rPr>
                <w:sz w:val="20"/>
                <w:szCs w:val="20"/>
                <w:lang w:val="es-MX"/>
              </w:rPr>
            </w:pPr>
            <w:r>
              <w:rPr>
                <w:sz w:val="20"/>
                <w:szCs w:val="20"/>
                <w:lang w:val="es-BO"/>
              </w:rPr>
              <w:t>0.09</w:t>
            </w:r>
          </w:p>
        </w:tc>
      </w:tr>
      <w:tr w:rsidR="00AB58B8" w14:paraId="6E6B8CD2" w14:textId="77777777" w:rsidTr="00AB58B8">
        <w:trPr>
          <w:trHeight w:val="20"/>
          <w:jc w:val="center"/>
        </w:trPr>
        <w:tc>
          <w:tcPr>
            <w:tcW w:w="43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CF" w14:textId="77777777" w:rsidR="00AB58B8" w:rsidRDefault="00AB58B8">
            <w:pPr>
              <w:jc w:val="both"/>
              <w:rPr>
                <w:sz w:val="20"/>
                <w:szCs w:val="20"/>
                <w:lang w:val="es-MX"/>
              </w:rPr>
            </w:pPr>
            <w:r>
              <w:rPr>
                <w:sz w:val="20"/>
                <w:szCs w:val="20"/>
                <w:lang w:val="es-BO"/>
              </w:rPr>
              <w:t>Perdida o suspensión de la nacionalidad</w:t>
            </w:r>
          </w:p>
        </w:tc>
        <w:tc>
          <w:tcPr>
            <w:tcW w:w="15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D0" w14:textId="77777777" w:rsidR="00AB58B8" w:rsidRDefault="00AB58B8">
            <w:pPr>
              <w:jc w:val="center"/>
              <w:rPr>
                <w:sz w:val="20"/>
                <w:szCs w:val="20"/>
                <w:lang w:val="es-MX"/>
              </w:rPr>
            </w:pPr>
            <w:r>
              <w:rPr>
                <w:sz w:val="20"/>
                <w:szCs w:val="20"/>
                <w:lang w:val="es-BO"/>
              </w:rPr>
              <w:t>3</w:t>
            </w:r>
          </w:p>
        </w:tc>
        <w:tc>
          <w:tcPr>
            <w:tcW w:w="1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D1" w14:textId="77777777" w:rsidR="00AB58B8" w:rsidRDefault="00AB58B8">
            <w:pPr>
              <w:jc w:val="center"/>
              <w:rPr>
                <w:sz w:val="20"/>
                <w:szCs w:val="20"/>
                <w:lang w:val="es-MX"/>
              </w:rPr>
            </w:pPr>
            <w:r>
              <w:rPr>
                <w:sz w:val="20"/>
                <w:szCs w:val="20"/>
                <w:lang w:val="es-BO"/>
              </w:rPr>
              <w:t>0.01</w:t>
            </w:r>
          </w:p>
        </w:tc>
      </w:tr>
      <w:tr w:rsidR="00AB58B8" w14:paraId="6E6B8CD6" w14:textId="77777777" w:rsidTr="00AB58B8">
        <w:trPr>
          <w:trHeight w:val="20"/>
          <w:jc w:val="center"/>
        </w:trPr>
        <w:tc>
          <w:tcPr>
            <w:tcW w:w="43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D3" w14:textId="77777777" w:rsidR="00AB58B8" w:rsidRDefault="00AB58B8">
            <w:pPr>
              <w:jc w:val="both"/>
              <w:rPr>
                <w:sz w:val="20"/>
                <w:szCs w:val="20"/>
                <w:lang w:val="es-MX"/>
              </w:rPr>
            </w:pPr>
            <w:r>
              <w:rPr>
                <w:sz w:val="20"/>
                <w:szCs w:val="20"/>
                <w:lang w:val="es-BO"/>
              </w:rPr>
              <w:t>Posible doble identidad</w:t>
            </w:r>
          </w:p>
        </w:tc>
        <w:tc>
          <w:tcPr>
            <w:tcW w:w="15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D4" w14:textId="77777777" w:rsidR="00AB58B8" w:rsidRDefault="00AB58B8">
            <w:pPr>
              <w:jc w:val="center"/>
              <w:rPr>
                <w:sz w:val="20"/>
                <w:szCs w:val="20"/>
                <w:lang w:val="es-MX"/>
              </w:rPr>
            </w:pPr>
            <w:r>
              <w:rPr>
                <w:sz w:val="20"/>
                <w:szCs w:val="20"/>
                <w:lang w:val="es-BO"/>
              </w:rPr>
              <w:t>2,653</w:t>
            </w:r>
          </w:p>
        </w:tc>
        <w:tc>
          <w:tcPr>
            <w:tcW w:w="1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D5" w14:textId="77777777" w:rsidR="00AB58B8" w:rsidRDefault="00AB58B8">
            <w:pPr>
              <w:jc w:val="center"/>
              <w:rPr>
                <w:sz w:val="20"/>
                <w:szCs w:val="20"/>
                <w:lang w:val="es-MX"/>
              </w:rPr>
            </w:pPr>
            <w:r>
              <w:rPr>
                <w:sz w:val="20"/>
                <w:szCs w:val="20"/>
                <w:lang w:val="es-BO"/>
              </w:rPr>
              <w:t>7.68</w:t>
            </w:r>
          </w:p>
        </w:tc>
      </w:tr>
      <w:tr w:rsidR="00AB58B8" w14:paraId="6E6B8CDA" w14:textId="77777777" w:rsidTr="00AB58B8">
        <w:trPr>
          <w:trHeight w:val="20"/>
          <w:jc w:val="center"/>
        </w:trPr>
        <w:tc>
          <w:tcPr>
            <w:tcW w:w="43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D7" w14:textId="77777777" w:rsidR="00AB58B8" w:rsidRDefault="00AB58B8">
            <w:pPr>
              <w:jc w:val="both"/>
              <w:rPr>
                <w:sz w:val="20"/>
                <w:szCs w:val="20"/>
                <w:lang w:val="es-MX"/>
              </w:rPr>
            </w:pPr>
            <w:r>
              <w:rPr>
                <w:sz w:val="20"/>
                <w:szCs w:val="20"/>
                <w:lang w:val="es-BO"/>
              </w:rPr>
              <w:t>Posible suplantacion de identidad</w:t>
            </w:r>
          </w:p>
        </w:tc>
        <w:tc>
          <w:tcPr>
            <w:tcW w:w="15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D8" w14:textId="77777777" w:rsidR="00AB58B8" w:rsidRDefault="00AB58B8">
            <w:pPr>
              <w:jc w:val="center"/>
              <w:rPr>
                <w:sz w:val="20"/>
                <w:szCs w:val="20"/>
                <w:lang w:val="es-MX"/>
              </w:rPr>
            </w:pPr>
            <w:r>
              <w:rPr>
                <w:sz w:val="20"/>
                <w:szCs w:val="20"/>
                <w:lang w:val="es-BO"/>
              </w:rPr>
              <w:t>161</w:t>
            </w:r>
          </w:p>
        </w:tc>
        <w:tc>
          <w:tcPr>
            <w:tcW w:w="1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D9" w14:textId="77777777" w:rsidR="00AB58B8" w:rsidRDefault="00AB58B8">
            <w:pPr>
              <w:jc w:val="center"/>
              <w:rPr>
                <w:sz w:val="20"/>
                <w:szCs w:val="20"/>
                <w:lang w:val="es-MX"/>
              </w:rPr>
            </w:pPr>
            <w:r>
              <w:rPr>
                <w:sz w:val="20"/>
                <w:szCs w:val="20"/>
                <w:lang w:val="es-BO"/>
              </w:rPr>
              <w:t>0.47</w:t>
            </w:r>
          </w:p>
        </w:tc>
      </w:tr>
      <w:tr w:rsidR="00AB58B8" w14:paraId="6E6B8CDE" w14:textId="77777777" w:rsidTr="00AB58B8">
        <w:trPr>
          <w:trHeight w:val="20"/>
          <w:jc w:val="center"/>
        </w:trPr>
        <w:tc>
          <w:tcPr>
            <w:tcW w:w="43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DB" w14:textId="77777777" w:rsidR="00AB58B8" w:rsidRDefault="00AB58B8">
            <w:pPr>
              <w:jc w:val="both"/>
              <w:rPr>
                <w:sz w:val="20"/>
                <w:szCs w:val="20"/>
                <w:lang w:val="es-MX"/>
              </w:rPr>
            </w:pPr>
            <w:r>
              <w:rPr>
                <w:sz w:val="20"/>
                <w:szCs w:val="20"/>
                <w:lang w:val="es-BO"/>
              </w:rPr>
              <w:t xml:space="preserve">Suspendido por recinto inhabilitado TED La Paz </w:t>
            </w:r>
          </w:p>
        </w:tc>
        <w:tc>
          <w:tcPr>
            <w:tcW w:w="15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DC" w14:textId="77777777" w:rsidR="00AB58B8" w:rsidRDefault="00AB58B8">
            <w:pPr>
              <w:jc w:val="center"/>
              <w:rPr>
                <w:sz w:val="20"/>
                <w:szCs w:val="20"/>
                <w:lang w:val="es-MX"/>
              </w:rPr>
            </w:pPr>
            <w:r>
              <w:rPr>
                <w:sz w:val="20"/>
                <w:szCs w:val="20"/>
                <w:lang w:val="es-BO"/>
              </w:rPr>
              <w:t>39</w:t>
            </w:r>
          </w:p>
        </w:tc>
        <w:tc>
          <w:tcPr>
            <w:tcW w:w="1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DD" w14:textId="77777777" w:rsidR="00AB58B8" w:rsidRDefault="00AB58B8">
            <w:pPr>
              <w:jc w:val="center"/>
              <w:rPr>
                <w:sz w:val="20"/>
                <w:szCs w:val="20"/>
                <w:lang w:val="es-MX"/>
              </w:rPr>
            </w:pPr>
            <w:r>
              <w:rPr>
                <w:sz w:val="20"/>
                <w:szCs w:val="20"/>
                <w:lang w:val="es-BO"/>
              </w:rPr>
              <w:t>0.11</w:t>
            </w:r>
          </w:p>
        </w:tc>
      </w:tr>
      <w:tr w:rsidR="00AB58B8" w14:paraId="6E6B8CE2" w14:textId="77777777" w:rsidTr="00AB58B8">
        <w:trPr>
          <w:trHeight w:val="20"/>
          <w:jc w:val="center"/>
        </w:trPr>
        <w:tc>
          <w:tcPr>
            <w:tcW w:w="43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DF" w14:textId="77777777" w:rsidR="00AB58B8" w:rsidRDefault="00AB58B8">
            <w:pPr>
              <w:jc w:val="both"/>
              <w:rPr>
                <w:b/>
                <w:bCs/>
                <w:sz w:val="20"/>
                <w:szCs w:val="20"/>
                <w:lang w:val="es-MX"/>
              </w:rPr>
            </w:pPr>
            <w:r>
              <w:rPr>
                <w:b/>
                <w:bCs/>
                <w:sz w:val="20"/>
                <w:szCs w:val="20"/>
                <w:lang w:val="es-BO"/>
              </w:rPr>
              <w:t>TOTAL</w:t>
            </w:r>
          </w:p>
        </w:tc>
        <w:tc>
          <w:tcPr>
            <w:tcW w:w="152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E0" w14:textId="77777777" w:rsidR="00AB58B8" w:rsidRDefault="00AB58B8">
            <w:pPr>
              <w:jc w:val="center"/>
              <w:rPr>
                <w:b/>
                <w:bCs/>
                <w:sz w:val="20"/>
                <w:szCs w:val="20"/>
                <w:lang w:val="es-MX"/>
              </w:rPr>
            </w:pPr>
            <w:r>
              <w:rPr>
                <w:b/>
                <w:bCs/>
                <w:sz w:val="20"/>
                <w:szCs w:val="20"/>
                <w:lang w:val="es-BO"/>
              </w:rPr>
              <w:t>34,536</w:t>
            </w:r>
          </w:p>
        </w:tc>
        <w:tc>
          <w:tcPr>
            <w:tcW w:w="1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E1" w14:textId="77777777" w:rsidR="00AB58B8" w:rsidRDefault="00AB58B8">
            <w:pPr>
              <w:jc w:val="center"/>
              <w:rPr>
                <w:b/>
                <w:bCs/>
                <w:sz w:val="20"/>
                <w:szCs w:val="20"/>
                <w:lang w:val="es-MX"/>
              </w:rPr>
            </w:pPr>
            <w:r>
              <w:rPr>
                <w:b/>
                <w:bCs/>
                <w:sz w:val="20"/>
                <w:szCs w:val="20"/>
                <w:lang w:val="es-BO"/>
              </w:rPr>
              <w:t>100</w:t>
            </w:r>
          </w:p>
        </w:tc>
      </w:tr>
    </w:tbl>
    <w:p w14:paraId="6E6B8CE3" w14:textId="77777777" w:rsidR="00AB58B8" w:rsidRDefault="00AB58B8" w:rsidP="00AB58B8">
      <w:pPr>
        <w:ind w:firstLine="708"/>
        <w:jc w:val="both"/>
        <w:rPr>
          <w:sz w:val="20"/>
          <w:szCs w:val="20"/>
        </w:rPr>
      </w:pPr>
      <w:r>
        <w:rPr>
          <w:sz w:val="20"/>
          <w:szCs w:val="20"/>
        </w:rPr>
        <w:t>Fuente: Información proporcionada por la Dirección Nacional del SERECÍ.</w:t>
      </w:r>
    </w:p>
    <w:p w14:paraId="6E6B8CE4" w14:textId="77777777" w:rsidR="00AB58B8" w:rsidRDefault="00AB58B8" w:rsidP="00AB58B8">
      <w:pPr>
        <w:jc w:val="both"/>
        <w:rPr>
          <w:sz w:val="22"/>
          <w:szCs w:val="22"/>
        </w:rPr>
      </w:pPr>
    </w:p>
    <w:p w14:paraId="6E6B8CE5" w14:textId="77777777" w:rsidR="00AB58B8" w:rsidRDefault="00AB58B8" w:rsidP="00AB58B8">
      <w:pPr>
        <w:jc w:val="both"/>
        <w:rPr>
          <w:sz w:val="22"/>
          <w:szCs w:val="22"/>
        </w:rPr>
      </w:pPr>
      <w:r>
        <w:rPr>
          <w:sz w:val="22"/>
          <w:szCs w:val="22"/>
        </w:rPr>
        <w:t>Como se observa en la siguiente tabla,  el número de empadronados ha ido en aumento en los últimos anos:</w:t>
      </w:r>
    </w:p>
    <w:p w14:paraId="6E6B8CE6" w14:textId="77777777" w:rsidR="00AB58B8" w:rsidRDefault="00AB58B8" w:rsidP="00AB58B8">
      <w:pPr>
        <w:jc w:val="both"/>
        <w:rPr>
          <w:sz w:val="22"/>
          <w:szCs w:val="22"/>
        </w:rPr>
      </w:pPr>
    </w:p>
    <w:p w14:paraId="6E6B8CE7" w14:textId="77777777" w:rsidR="00AB58B8" w:rsidRDefault="00AB58B8" w:rsidP="00AB58B8">
      <w:pPr>
        <w:jc w:val="center"/>
        <w:rPr>
          <w:b/>
          <w:bCs/>
          <w:sz w:val="22"/>
          <w:szCs w:val="22"/>
        </w:rPr>
      </w:pPr>
      <w:r>
        <w:rPr>
          <w:b/>
          <w:bCs/>
          <w:sz w:val="22"/>
          <w:szCs w:val="22"/>
        </w:rPr>
        <w:t>Padrón Electoral Consolidado</w:t>
      </w:r>
    </w:p>
    <w:p w14:paraId="6E6B8CE8" w14:textId="77777777" w:rsidR="00AB58B8" w:rsidRDefault="00AB58B8" w:rsidP="00AB58B8">
      <w:pPr>
        <w:jc w:val="center"/>
        <w:rPr>
          <w:b/>
          <w:bCs/>
          <w:sz w:val="20"/>
          <w:szCs w:val="20"/>
        </w:rPr>
      </w:pPr>
      <w:r>
        <w:rPr>
          <w:b/>
          <w:bCs/>
          <w:sz w:val="20"/>
          <w:szCs w:val="20"/>
        </w:rPr>
        <w:t>Comparado Referéndum 2016, Elecciones Judiciales 2017 y Generales 2019</w:t>
      </w:r>
    </w:p>
    <w:p w14:paraId="6E6B8CE9" w14:textId="77777777" w:rsidR="00AB58B8" w:rsidRDefault="00AB58B8" w:rsidP="00AB58B8">
      <w:pPr>
        <w:jc w:val="both"/>
        <w:rPr>
          <w:sz w:val="22"/>
          <w:szCs w:val="22"/>
        </w:rPr>
      </w:pPr>
    </w:p>
    <w:tbl>
      <w:tblPr>
        <w:tblW w:w="4726" w:type="pct"/>
        <w:jc w:val="center"/>
        <w:tblCellMar>
          <w:left w:w="0" w:type="dxa"/>
          <w:right w:w="0" w:type="dxa"/>
        </w:tblCellMar>
        <w:tblLook w:val="0600" w:firstRow="0" w:lastRow="0" w:firstColumn="0" w:lastColumn="0" w:noHBand="1" w:noVBand="1"/>
      </w:tblPr>
      <w:tblGrid>
        <w:gridCol w:w="402"/>
        <w:gridCol w:w="1562"/>
        <w:gridCol w:w="2142"/>
        <w:gridCol w:w="2744"/>
        <w:gridCol w:w="2025"/>
      </w:tblGrid>
      <w:tr w:rsidR="00AB58B8" w14:paraId="6E6B8CF2" w14:textId="77777777" w:rsidTr="00AB58B8">
        <w:trPr>
          <w:trHeight w:val="300"/>
          <w:jc w:val="center"/>
        </w:trPr>
        <w:tc>
          <w:tcPr>
            <w:tcW w:w="22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bottom"/>
            <w:hideMark/>
          </w:tcPr>
          <w:p w14:paraId="6E6B8CEA" w14:textId="77777777" w:rsidR="00AB58B8" w:rsidRDefault="00AB58B8">
            <w:pPr>
              <w:rPr>
                <w:sz w:val="22"/>
                <w:szCs w:val="22"/>
              </w:rPr>
            </w:pPr>
          </w:p>
        </w:tc>
        <w:tc>
          <w:tcPr>
            <w:tcW w:w="88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bottom"/>
            <w:hideMark/>
          </w:tcPr>
          <w:p w14:paraId="6E6B8CEB" w14:textId="77777777" w:rsidR="00AB58B8" w:rsidRDefault="00AB58B8">
            <w:pPr>
              <w:jc w:val="center"/>
              <w:rPr>
                <w:b/>
                <w:bCs/>
                <w:sz w:val="20"/>
                <w:szCs w:val="20"/>
                <w:lang w:val="es-MX"/>
              </w:rPr>
            </w:pPr>
            <w:r>
              <w:rPr>
                <w:b/>
                <w:bCs/>
                <w:sz w:val="20"/>
                <w:szCs w:val="20"/>
                <w:lang w:val="es-MX"/>
              </w:rPr>
              <w:t>Departamento</w:t>
            </w:r>
          </w:p>
        </w:tc>
        <w:tc>
          <w:tcPr>
            <w:tcW w:w="120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bottom"/>
            <w:hideMark/>
          </w:tcPr>
          <w:p w14:paraId="6E6B8CEC" w14:textId="77777777" w:rsidR="00AB58B8" w:rsidRDefault="00AB58B8">
            <w:pPr>
              <w:jc w:val="center"/>
              <w:rPr>
                <w:b/>
                <w:bCs/>
                <w:sz w:val="20"/>
                <w:szCs w:val="20"/>
                <w:lang w:val="es-BO"/>
              </w:rPr>
            </w:pPr>
            <w:r>
              <w:rPr>
                <w:b/>
                <w:bCs/>
                <w:sz w:val="20"/>
                <w:szCs w:val="20"/>
                <w:lang w:val="es-BO"/>
              </w:rPr>
              <w:t>Habilitados</w:t>
            </w:r>
          </w:p>
          <w:p w14:paraId="6E6B8CED" w14:textId="77777777" w:rsidR="00AB58B8" w:rsidRDefault="00AB58B8">
            <w:pPr>
              <w:jc w:val="center"/>
              <w:rPr>
                <w:b/>
                <w:bCs/>
                <w:sz w:val="20"/>
                <w:szCs w:val="20"/>
                <w:lang w:val="es-MX"/>
              </w:rPr>
            </w:pPr>
            <w:r>
              <w:rPr>
                <w:b/>
                <w:bCs/>
                <w:sz w:val="20"/>
                <w:szCs w:val="20"/>
                <w:lang w:val="es-BO"/>
              </w:rPr>
              <w:t>Ref. 2016</w:t>
            </w:r>
          </w:p>
        </w:tc>
        <w:tc>
          <w:tcPr>
            <w:tcW w:w="154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bottom"/>
            <w:hideMark/>
          </w:tcPr>
          <w:p w14:paraId="6E6B8CEE" w14:textId="77777777" w:rsidR="00AB58B8" w:rsidRDefault="00AB58B8">
            <w:pPr>
              <w:jc w:val="center"/>
              <w:rPr>
                <w:b/>
                <w:bCs/>
                <w:sz w:val="20"/>
                <w:szCs w:val="20"/>
                <w:lang w:val="es-BO"/>
              </w:rPr>
            </w:pPr>
            <w:r>
              <w:rPr>
                <w:b/>
                <w:bCs/>
                <w:sz w:val="20"/>
                <w:szCs w:val="20"/>
                <w:lang w:val="es-BO"/>
              </w:rPr>
              <w:t>Habilitados</w:t>
            </w:r>
          </w:p>
          <w:p w14:paraId="6E6B8CEF" w14:textId="77777777" w:rsidR="00AB58B8" w:rsidRDefault="00AB58B8">
            <w:pPr>
              <w:jc w:val="center"/>
              <w:rPr>
                <w:b/>
                <w:bCs/>
                <w:sz w:val="20"/>
                <w:szCs w:val="20"/>
                <w:lang w:val="es-MX"/>
              </w:rPr>
            </w:pPr>
            <w:r>
              <w:rPr>
                <w:b/>
                <w:bCs/>
                <w:sz w:val="20"/>
                <w:szCs w:val="20"/>
                <w:lang w:val="es-BO"/>
              </w:rPr>
              <w:t>Judiciales 2017</w:t>
            </w:r>
          </w:p>
        </w:tc>
        <w:tc>
          <w:tcPr>
            <w:tcW w:w="114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bottom"/>
            <w:hideMark/>
          </w:tcPr>
          <w:p w14:paraId="6E6B8CF0" w14:textId="77777777" w:rsidR="00AB58B8" w:rsidRDefault="00AB58B8">
            <w:pPr>
              <w:jc w:val="center"/>
              <w:rPr>
                <w:b/>
                <w:bCs/>
                <w:sz w:val="20"/>
                <w:szCs w:val="20"/>
                <w:lang w:val="es-BO"/>
              </w:rPr>
            </w:pPr>
            <w:r>
              <w:rPr>
                <w:b/>
                <w:bCs/>
                <w:sz w:val="20"/>
                <w:szCs w:val="20"/>
                <w:lang w:val="es-BO"/>
              </w:rPr>
              <w:t>Habilitados</w:t>
            </w:r>
          </w:p>
          <w:p w14:paraId="6E6B8CF1" w14:textId="77777777" w:rsidR="00AB58B8" w:rsidRDefault="00AB58B8">
            <w:pPr>
              <w:jc w:val="center"/>
              <w:rPr>
                <w:b/>
                <w:bCs/>
                <w:sz w:val="20"/>
                <w:szCs w:val="20"/>
                <w:lang w:val="es-MX"/>
              </w:rPr>
            </w:pPr>
            <w:r>
              <w:rPr>
                <w:b/>
                <w:bCs/>
                <w:sz w:val="20"/>
                <w:szCs w:val="20"/>
                <w:lang w:val="es-BO"/>
              </w:rPr>
              <w:t>EG 2019</w:t>
            </w:r>
          </w:p>
        </w:tc>
      </w:tr>
      <w:tr w:rsidR="00AB58B8" w14:paraId="6E6B8CF8" w14:textId="77777777" w:rsidTr="00AB58B8">
        <w:trPr>
          <w:trHeight w:val="300"/>
          <w:jc w:val="center"/>
        </w:trPr>
        <w:tc>
          <w:tcPr>
            <w:tcW w:w="22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F3" w14:textId="77777777" w:rsidR="00AB58B8" w:rsidRDefault="00AB58B8">
            <w:pPr>
              <w:jc w:val="both"/>
              <w:rPr>
                <w:sz w:val="20"/>
                <w:szCs w:val="20"/>
                <w:lang w:val="es-MX"/>
              </w:rPr>
            </w:pPr>
            <w:r>
              <w:rPr>
                <w:sz w:val="20"/>
                <w:szCs w:val="20"/>
                <w:lang w:val="es-BO"/>
              </w:rPr>
              <w:t>1</w:t>
            </w:r>
          </w:p>
        </w:tc>
        <w:tc>
          <w:tcPr>
            <w:tcW w:w="880"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F4" w14:textId="77777777" w:rsidR="00AB58B8" w:rsidRDefault="00AB58B8">
            <w:pPr>
              <w:jc w:val="both"/>
              <w:rPr>
                <w:sz w:val="20"/>
                <w:szCs w:val="20"/>
                <w:lang w:val="es-MX"/>
              </w:rPr>
            </w:pPr>
            <w:r>
              <w:rPr>
                <w:sz w:val="20"/>
                <w:szCs w:val="20"/>
                <w:lang w:val="es-BO"/>
              </w:rPr>
              <w:t xml:space="preserve">Chuquisaca     </w:t>
            </w:r>
          </w:p>
        </w:tc>
        <w:tc>
          <w:tcPr>
            <w:tcW w:w="1207"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F5" w14:textId="77777777" w:rsidR="00AB58B8" w:rsidRDefault="00AB58B8">
            <w:pPr>
              <w:jc w:val="center"/>
              <w:rPr>
                <w:sz w:val="20"/>
                <w:szCs w:val="20"/>
                <w:lang w:val="es-MX"/>
              </w:rPr>
            </w:pPr>
            <w:r>
              <w:rPr>
                <w:sz w:val="20"/>
                <w:szCs w:val="20"/>
                <w:lang w:val="es-BO"/>
              </w:rPr>
              <w:t>336.615</w:t>
            </w:r>
          </w:p>
        </w:tc>
        <w:tc>
          <w:tcPr>
            <w:tcW w:w="154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F6" w14:textId="77777777" w:rsidR="00AB58B8" w:rsidRDefault="00AB58B8">
            <w:pPr>
              <w:jc w:val="center"/>
              <w:rPr>
                <w:sz w:val="20"/>
                <w:szCs w:val="20"/>
                <w:lang w:val="es-MX"/>
              </w:rPr>
            </w:pPr>
            <w:r>
              <w:rPr>
                <w:sz w:val="20"/>
                <w:szCs w:val="20"/>
                <w:lang w:val="es-BO"/>
              </w:rPr>
              <w:t>348.421</w:t>
            </w:r>
          </w:p>
        </w:tc>
        <w:tc>
          <w:tcPr>
            <w:tcW w:w="1141"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F7" w14:textId="77777777" w:rsidR="00AB58B8" w:rsidRDefault="00AB58B8">
            <w:pPr>
              <w:jc w:val="center"/>
              <w:rPr>
                <w:sz w:val="20"/>
                <w:szCs w:val="20"/>
                <w:lang w:val="es-MX"/>
              </w:rPr>
            </w:pPr>
            <w:r>
              <w:rPr>
                <w:sz w:val="20"/>
                <w:szCs w:val="20"/>
                <w:lang w:val="es-BO"/>
              </w:rPr>
              <w:t>370.680</w:t>
            </w:r>
          </w:p>
        </w:tc>
      </w:tr>
      <w:tr w:rsidR="00AB58B8" w14:paraId="6E6B8CFE" w14:textId="77777777" w:rsidTr="00AB58B8">
        <w:trPr>
          <w:trHeight w:val="300"/>
          <w:jc w:val="center"/>
        </w:trPr>
        <w:tc>
          <w:tcPr>
            <w:tcW w:w="22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F9" w14:textId="77777777" w:rsidR="00AB58B8" w:rsidRDefault="00AB58B8">
            <w:pPr>
              <w:jc w:val="both"/>
              <w:rPr>
                <w:sz w:val="20"/>
                <w:szCs w:val="20"/>
                <w:lang w:val="es-MX"/>
              </w:rPr>
            </w:pPr>
            <w:r>
              <w:rPr>
                <w:sz w:val="20"/>
                <w:szCs w:val="20"/>
                <w:lang w:val="es-BO"/>
              </w:rPr>
              <w:lastRenderedPageBreak/>
              <w:t>2</w:t>
            </w:r>
          </w:p>
        </w:tc>
        <w:tc>
          <w:tcPr>
            <w:tcW w:w="880"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FA" w14:textId="77777777" w:rsidR="00AB58B8" w:rsidRDefault="00AB58B8">
            <w:pPr>
              <w:jc w:val="both"/>
              <w:rPr>
                <w:sz w:val="20"/>
                <w:szCs w:val="20"/>
                <w:lang w:val="es-MX"/>
              </w:rPr>
            </w:pPr>
            <w:r>
              <w:rPr>
                <w:sz w:val="20"/>
                <w:szCs w:val="20"/>
                <w:lang w:val="es-BO"/>
              </w:rPr>
              <w:t xml:space="preserve">La Paz         </w:t>
            </w:r>
          </w:p>
        </w:tc>
        <w:tc>
          <w:tcPr>
            <w:tcW w:w="1207"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FB" w14:textId="77777777" w:rsidR="00AB58B8" w:rsidRDefault="00AB58B8">
            <w:pPr>
              <w:jc w:val="center"/>
              <w:rPr>
                <w:sz w:val="20"/>
                <w:szCs w:val="20"/>
                <w:lang w:val="es-MX"/>
              </w:rPr>
            </w:pPr>
            <w:r>
              <w:rPr>
                <w:sz w:val="20"/>
                <w:szCs w:val="20"/>
                <w:lang w:val="es-BO"/>
              </w:rPr>
              <w:t>1.753.073</w:t>
            </w:r>
          </w:p>
        </w:tc>
        <w:tc>
          <w:tcPr>
            <w:tcW w:w="154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FC" w14:textId="77777777" w:rsidR="00AB58B8" w:rsidRDefault="00AB58B8">
            <w:pPr>
              <w:jc w:val="center"/>
              <w:rPr>
                <w:sz w:val="20"/>
                <w:szCs w:val="20"/>
                <w:lang w:val="es-MX"/>
              </w:rPr>
            </w:pPr>
            <w:r>
              <w:rPr>
                <w:sz w:val="20"/>
                <w:szCs w:val="20"/>
                <w:lang w:val="es-BO"/>
              </w:rPr>
              <w:t>1.792.978</w:t>
            </w:r>
          </w:p>
        </w:tc>
        <w:tc>
          <w:tcPr>
            <w:tcW w:w="1141"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FD" w14:textId="77777777" w:rsidR="00AB58B8" w:rsidRDefault="00AB58B8">
            <w:pPr>
              <w:jc w:val="center"/>
              <w:rPr>
                <w:sz w:val="20"/>
                <w:szCs w:val="20"/>
                <w:lang w:val="es-MX"/>
              </w:rPr>
            </w:pPr>
            <w:r>
              <w:rPr>
                <w:sz w:val="20"/>
                <w:szCs w:val="20"/>
                <w:lang w:val="es-BO"/>
              </w:rPr>
              <w:t>1.910.654</w:t>
            </w:r>
          </w:p>
        </w:tc>
      </w:tr>
      <w:tr w:rsidR="00AB58B8" w14:paraId="6E6B8D04" w14:textId="77777777" w:rsidTr="00AB58B8">
        <w:trPr>
          <w:trHeight w:val="300"/>
          <w:jc w:val="center"/>
        </w:trPr>
        <w:tc>
          <w:tcPr>
            <w:tcW w:w="22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CFF" w14:textId="77777777" w:rsidR="00AB58B8" w:rsidRDefault="00AB58B8">
            <w:pPr>
              <w:jc w:val="both"/>
              <w:rPr>
                <w:sz w:val="20"/>
                <w:szCs w:val="20"/>
                <w:lang w:val="es-MX"/>
              </w:rPr>
            </w:pPr>
            <w:r>
              <w:rPr>
                <w:sz w:val="20"/>
                <w:szCs w:val="20"/>
                <w:lang w:val="es-BO"/>
              </w:rPr>
              <w:t>3</w:t>
            </w:r>
          </w:p>
        </w:tc>
        <w:tc>
          <w:tcPr>
            <w:tcW w:w="880"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00" w14:textId="77777777" w:rsidR="00AB58B8" w:rsidRDefault="00AB58B8">
            <w:pPr>
              <w:jc w:val="both"/>
              <w:rPr>
                <w:sz w:val="20"/>
                <w:szCs w:val="20"/>
                <w:lang w:val="es-MX"/>
              </w:rPr>
            </w:pPr>
            <w:r>
              <w:rPr>
                <w:sz w:val="20"/>
                <w:szCs w:val="20"/>
                <w:lang w:val="es-BO"/>
              </w:rPr>
              <w:t xml:space="preserve">Cochabamba     </w:t>
            </w:r>
          </w:p>
        </w:tc>
        <w:tc>
          <w:tcPr>
            <w:tcW w:w="1207"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01" w14:textId="77777777" w:rsidR="00AB58B8" w:rsidRDefault="00AB58B8">
            <w:pPr>
              <w:jc w:val="center"/>
              <w:rPr>
                <w:sz w:val="20"/>
                <w:szCs w:val="20"/>
                <w:lang w:val="es-MX"/>
              </w:rPr>
            </w:pPr>
            <w:r>
              <w:rPr>
                <w:sz w:val="20"/>
                <w:szCs w:val="20"/>
                <w:lang w:val="es-BO"/>
              </w:rPr>
              <w:t>1.180.598</w:t>
            </w:r>
          </w:p>
        </w:tc>
        <w:tc>
          <w:tcPr>
            <w:tcW w:w="154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02" w14:textId="77777777" w:rsidR="00AB58B8" w:rsidRDefault="00AB58B8">
            <w:pPr>
              <w:jc w:val="center"/>
              <w:rPr>
                <w:sz w:val="20"/>
                <w:szCs w:val="20"/>
                <w:lang w:val="es-MX"/>
              </w:rPr>
            </w:pPr>
            <w:r>
              <w:rPr>
                <w:sz w:val="20"/>
                <w:szCs w:val="20"/>
                <w:lang w:val="es-BO"/>
              </w:rPr>
              <w:t>1.216.294</w:t>
            </w:r>
          </w:p>
        </w:tc>
        <w:tc>
          <w:tcPr>
            <w:tcW w:w="1141"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03" w14:textId="77777777" w:rsidR="00AB58B8" w:rsidRDefault="00AB58B8">
            <w:pPr>
              <w:jc w:val="center"/>
              <w:rPr>
                <w:sz w:val="20"/>
                <w:szCs w:val="20"/>
                <w:lang w:val="es-MX"/>
              </w:rPr>
            </w:pPr>
            <w:r>
              <w:rPr>
                <w:sz w:val="20"/>
                <w:szCs w:val="20"/>
                <w:lang w:val="es-BO"/>
              </w:rPr>
              <w:t>1.325.896</w:t>
            </w:r>
          </w:p>
        </w:tc>
      </w:tr>
      <w:tr w:rsidR="00AB58B8" w14:paraId="6E6B8D0A" w14:textId="77777777" w:rsidTr="00AB58B8">
        <w:trPr>
          <w:trHeight w:val="300"/>
          <w:jc w:val="center"/>
        </w:trPr>
        <w:tc>
          <w:tcPr>
            <w:tcW w:w="22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05" w14:textId="77777777" w:rsidR="00AB58B8" w:rsidRDefault="00AB58B8">
            <w:pPr>
              <w:jc w:val="both"/>
              <w:rPr>
                <w:sz w:val="20"/>
                <w:szCs w:val="20"/>
                <w:lang w:val="es-MX"/>
              </w:rPr>
            </w:pPr>
            <w:r>
              <w:rPr>
                <w:sz w:val="20"/>
                <w:szCs w:val="20"/>
                <w:lang w:val="es-BO"/>
              </w:rPr>
              <w:t>4</w:t>
            </w:r>
          </w:p>
        </w:tc>
        <w:tc>
          <w:tcPr>
            <w:tcW w:w="880"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06" w14:textId="77777777" w:rsidR="00AB58B8" w:rsidRDefault="00AB58B8">
            <w:pPr>
              <w:jc w:val="both"/>
              <w:rPr>
                <w:sz w:val="20"/>
                <w:szCs w:val="20"/>
                <w:lang w:val="es-MX"/>
              </w:rPr>
            </w:pPr>
            <w:r>
              <w:rPr>
                <w:sz w:val="20"/>
                <w:szCs w:val="20"/>
                <w:lang w:val="es-BO"/>
              </w:rPr>
              <w:t xml:space="preserve">Oruro          </w:t>
            </w:r>
          </w:p>
        </w:tc>
        <w:tc>
          <w:tcPr>
            <w:tcW w:w="1207"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07" w14:textId="77777777" w:rsidR="00AB58B8" w:rsidRDefault="00AB58B8">
            <w:pPr>
              <w:jc w:val="center"/>
              <w:rPr>
                <w:sz w:val="20"/>
                <w:szCs w:val="20"/>
                <w:lang w:val="es-MX"/>
              </w:rPr>
            </w:pPr>
            <w:r>
              <w:rPr>
                <w:sz w:val="20"/>
                <w:szCs w:val="20"/>
                <w:lang w:val="es-BO"/>
              </w:rPr>
              <w:t>305.116</w:t>
            </w:r>
          </w:p>
        </w:tc>
        <w:tc>
          <w:tcPr>
            <w:tcW w:w="154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08" w14:textId="77777777" w:rsidR="00AB58B8" w:rsidRDefault="00AB58B8">
            <w:pPr>
              <w:jc w:val="center"/>
              <w:rPr>
                <w:sz w:val="20"/>
                <w:szCs w:val="20"/>
                <w:lang w:val="es-MX"/>
              </w:rPr>
            </w:pPr>
            <w:r>
              <w:rPr>
                <w:sz w:val="20"/>
                <w:szCs w:val="20"/>
                <w:lang w:val="es-BO"/>
              </w:rPr>
              <w:t>314.747</w:t>
            </w:r>
          </w:p>
        </w:tc>
        <w:tc>
          <w:tcPr>
            <w:tcW w:w="1141"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09" w14:textId="77777777" w:rsidR="00AB58B8" w:rsidRDefault="00AB58B8">
            <w:pPr>
              <w:jc w:val="center"/>
              <w:rPr>
                <w:sz w:val="20"/>
                <w:szCs w:val="20"/>
                <w:lang w:val="es-MX"/>
              </w:rPr>
            </w:pPr>
            <w:r>
              <w:rPr>
                <w:sz w:val="20"/>
                <w:szCs w:val="20"/>
                <w:lang w:val="es-BO"/>
              </w:rPr>
              <w:t>335.777</w:t>
            </w:r>
          </w:p>
        </w:tc>
      </w:tr>
      <w:tr w:rsidR="00AB58B8" w14:paraId="6E6B8D10" w14:textId="77777777" w:rsidTr="00AB58B8">
        <w:trPr>
          <w:trHeight w:val="300"/>
          <w:jc w:val="center"/>
        </w:trPr>
        <w:tc>
          <w:tcPr>
            <w:tcW w:w="22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0B" w14:textId="77777777" w:rsidR="00AB58B8" w:rsidRDefault="00AB58B8">
            <w:pPr>
              <w:jc w:val="both"/>
              <w:rPr>
                <w:sz w:val="20"/>
                <w:szCs w:val="20"/>
                <w:lang w:val="es-MX"/>
              </w:rPr>
            </w:pPr>
            <w:r>
              <w:rPr>
                <w:sz w:val="20"/>
                <w:szCs w:val="20"/>
                <w:lang w:val="es-BO"/>
              </w:rPr>
              <w:t>5</w:t>
            </w:r>
          </w:p>
        </w:tc>
        <w:tc>
          <w:tcPr>
            <w:tcW w:w="880"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0C" w14:textId="77777777" w:rsidR="00AB58B8" w:rsidRDefault="00AB58B8">
            <w:pPr>
              <w:jc w:val="both"/>
              <w:rPr>
                <w:sz w:val="20"/>
                <w:szCs w:val="20"/>
                <w:lang w:val="es-MX"/>
              </w:rPr>
            </w:pPr>
            <w:r>
              <w:rPr>
                <w:sz w:val="20"/>
                <w:szCs w:val="20"/>
                <w:lang w:val="es-BO"/>
              </w:rPr>
              <w:t xml:space="preserve">Potosí         </w:t>
            </w:r>
          </w:p>
        </w:tc>
        <w:tc>
          <w:tcPr>
            <w:tcW w:w="1207"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0D" w14:textId="77777777" w:rsidR="00AB58B8" w:rsidRDefault="00AB58B8">
            <w:pPr>
              <w:jc w:val="center"/>
              <w:rPr>
                <w:sz w:val="20"/>
                <w:szCs w:val="20"/>
                <w:lang w:val="es-MX"/>
              </w:rPr>
            </w:pPr>
            <w:r>
              <w:rPr>
                <w:sz w:val="20"/>
                <w:szCs w:val="20"/>
                <w:lang w:val="es-BO"/>
              </w:rPr>
              <w:t>421.020</w:t>
            </w:r>
          </w:p>
        </w:tc>
        <w:tc>
          <w:tcPr>
            <w:tcW w:w="154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0E" w14:textId="77777777" w:rsidR="00AB58B8" w:rsidRDefault="00AB58B8">
            <w:pPr>
              <w:jc w:val="center"/>
              <w:rPr>
                <w:sz w:val="20"/>
                <w:szCs w:val="20"/>
                <w:lang w:val="es-MX"/>
              </w:rPr>
            </w:pPr>
            <w:r>
              <w:rPr>
                <w:sz w:val="20"/>
                <w:szCs w:val="20"/>
                <w:lang w:val="es-BO"/>
              </w:rPr>
              <w:t>428.683</w:t>
            </w:r>
          </w:p>
        </w:tc>
        <w:tc>
          <w:tcPr>
            <w:tcW w:w="1141"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0F" w14:textId="77777777" w:rsidR="00AB58B8" w:rsidRDefault="00AB58B8">
            <w:pPr>
              <w:jc w:val="center"/>
              <w:rPr>
                <w:sz w:val="20"/>
                <w:szCs w:val="20"/>
                <w:lang w:val="es-MX"/>
              </w:rPr>
            </w:pPr>
            <w:r>
              <w:rPr>
                <w:sz w:val="20"/>
                <w:szCs w:val="20"/>
                <w:lang w:val="es-BO"/>
              </w:rPr>
              <w:t>452.047</w:t>
            </w:r>
          </w:p>
        </w:tc>
      </w:tr>
      <w:tr w:rsidR="00AB58B8" w14:paraId="6E6B8D16" w14:textId="77777777" w:rsidTr="00AB58B8">
        <w:trPr>
          <w:trHeight w:val="300"/>
          <w:jc w:val="center"/>
        </w:trPr>
        <w:tc>
          <w:tcPr>
            <w:tcW w:w="22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11" w14:textId="77777777" w:rsidR="00AB58B8" w:rsidRDefault="00AB58B8">
            <w:pPr>
              <w:jc w:val="both"/>
              <w:rPr>
                <w:sz w:val="20"/>
                <w:szCs w:val="20"/>
                <w:lang w:val="es-MX"/>
              </w:rPr>
            </w:pPr>
            <w:r>
              <w:rPr>
                <w:sz w:val="20"/>
                <w:szCs w:val="20"/>
                <w:lang w:val="es-BO"/>
              </w:rPr>
              <w:t>6</w:t>
            </w:r>
          </w:p>
        </w:tc>
        <w:tc>
          <w:tcPr>
            <w:tcW w:w="880"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12" w14:textId="77777777" w:rsidR="00AB58B8" w:rsidRDefault="00AB58B8">
            <w:pPr>
              <w:jc w:val="both"/>
              <w:rPr>
                <w:sz w:val="20"/>
                <w:szCs w:val="20"/>
                <w:lang w:val="es-MX"/>
              </w:rPr>
            </w:pPr>
            <w:r>
              <w:rPr>
                <w:sz w:val="20"/>
                <w:szCs w:val="20"/>
                <w:lang w:val="es-BO"/>
              </w:rPr>
              <w:t xml:space="preserve">Tarija         </w:t>
            </w:r>
          </w:p>
        </w:tc>
        <w:tc>
          <w:tcPr>
            <w:tcW w:w="1207"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13" w14:textId="77777777" w:rsidR="00AB58B8" w:rsidRDefault="00AB58B8">
            <w:pPr>
              <w:jc w:val="center"/>
              <w:rPr>
                <w:sz w:val="20"/>
                <w:szCs w:val="20"/>
                <w:lang w:val="es-MX"/>
              </w:rPr>
            </w:pPr>
            <w:r>
              <w:rPr>
                <w:sz w:val="20"/>
                <w:szCs w:val="20"/>
                <w:lang w:val="es-BO"/>
              </w:rPr>
              <w:t>336.247</w:t>
            </w:r>
          </w:p>
        </w:tc>
        <w:tc>
          <w:tcPr>
            <w:tcW w:w="154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14" w14:textId="77777777" w:rsidR="00AB58B8" w:rsidRDefault="00AB58B8">
            <w:pPr>
              <w:jc w:val="center"/>
              <w:rPr>
                <w:sz w:val="20"/>
                <w:szCs w:val="20"/>
                <w:lang w:val="es-MX"/>
              </w:rPr>
            </w:pPr>
            <w:r>
              <w:rPr>
                <w:sz w:val="20"/>
                <w:szCs w:val="20"/>
                <w:lang w:val="es-BO"/>
              </w:rPr>
              <w:t>352.474</w:t>
            </w:r>
          </w:p>
        </w:tc>
        <w:tc>
          <w:tcPr>
            <w:tcW w:w="1141"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15" w14:textId="77777777" w:rsidR="00AB58B8" w:rsidRDefault="00AB58B8">
            <w:pPr>
              <w:jc w:val="center"/>
              <w:rPr>
                <w:sz w:val="20"/>
                <w:szCs w:val="20"/>
                <w:lang w:val="es-MX"/>
              </w:rPr>
            </w:pPr>
            <w:r>
              <w:rPr>
                <w:sz w:val="20"/>
                <w:szCs w:val="20"/>
                <w:lang w:val="es-BO"/>
              </w:rPr>
              <w:t>377.600</w:t>
            </w:r>
          </w:p>
        </w:tc>
      </w:tr>
      <w:tr w:rsidR="00AB58B8" w14:paraId="6E6B8D1C" w14:textId="77777777" w:rsidTr="00AB58B8">
        <w:trPr>
          <w:trHeight w:val="300"/>
          <w:jc w:val="center"/>
        </w:trPr>
        <w:tc>
          <w:tcPr>
            <w:tcW w:w="22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17" w14:textId="77777777" w:rsidR="00AB58B8" w:rsidRDefault="00AB58B8">
            <w:pPr>
              <w:jc w:val="both"/>
              <w:rPr>
                <w:sz w:val="20"/>
                <w:szCs w:val="20"/>
                <w:lang w:val="es-MX"/>
              </w:rPr>
            </w:pPr>
            <w:r>
              <w:rPr>
                <w:sz w:val="20"/>
                <w:szCs w:val="20"/>
                <w:lang w:val="es-BO"/>
              </w:rPr>
              <w:t>7</w:t>
            </w:r>
          </w:p>
        </w:tc>
        <w:tc>
          <w:tcPr>
            <w:tcW w:w="880"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18" w14:textId="77777777" w:rsidR="00AB58B8" w:rsidRDefault="00AB58B8">
            <w:pPr>
              <w:jc w:val="both"/>
              <w:rPr>
                <w:sz w:val="20"/>
                <w:szCs w:val="20"/>
                <w:lang w:val="es-MX"/>
              </w:rPr>
            </w:pPr>
            <w:r>
              <w:rPr>
                <w:sz w:val="20"/>
                <w:szCs w:val="20"/>
                <w:lang w:val="es-BO"/>
              </w:rPr>
              <w:t xml:space="preserve">Santa Cruz     </w:t>
            </w:r>
          </w:p>
        </w:tc>
        <w:tc>
          <w:tcPr>
            <w:tcW w:w="1207"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19" w14:textId="77777777" w:rsidR="00AB58B8" w:rsidRDefault="00AB58B8">
            <w:pPr>
              <w:jc w:val="center"/>
              <w:rPr>
                <w:sz w:val="20"/>
                <w:szCs w:val="20"/>
                <w:lang w:val="es-MX"/>
              </w:rPr>
            </w:pPr>
            <w:r>
              <w:rPr>
                <w:sz w:val="20"/>
                <w:szCs w:val="20"/>
                <w:lang w:val="es-BO"/>
              </w:rPr>
              <w:t>1.615.589</w:t>
            </w:r>
          </w:p>
        </w:tc>
        <w:tc>
          <w:tcPr>
            <w:tcW w:w="154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1A" w14:textId="77777777" w:rsidR="00AB58B8" w:rsidRDefault="00AB58B8">
            <w:pPr>
              <w:jc w:val="center"/>
              <w:rPr>
                <w:sz w:val="20"/>
                <w:szCs w:val="20"/>
                <w:lang w:val="es-MX"/>
              </w:rPr>
            </w:pPr>
            <w:r>
              <w:rPr>
                <w:sz w:val="20"/>
                <w:szCs w:val="20"/>
                <w:lang w:val="es-BO"/>
              </w:rPr>
              <w:t>1.677.634</w:t>
            </w:r>
          </w:p>
        </w:tc>
        <w:tc>
          <w:tcPr>
            <w:tcW w:w="1141"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1B" w14:textId="77777777" w:rsidR="00AB58B8" w:rsidRDefault="00AB58B8">
            <w:pPr>
              <w:jc w:val="center"/>
              <w:rPr>
                <w:sz w:val="20"/>
                <w:szCs w:val="20"/>
                <w:lang w:val="es-MX"/>
              </w:rPr>
            </w:pPr>
            <w:r>
              <w:rPr>
                <w:sz w:val="20"/>
                <w:szCs w:val="20"/>
                <w:lang w:val="es-BO"/>
              </w:rPr>
              <w:t>1.863.543</w:t>
            </w:r>
          </w:p>
        </w:tc>
      </w:tr>
      <w:tr w:rsidR="00AB58B8" w14:paraId="6E6B8D22" w14:textId="77777777" w:rsidTr="00AB58B8">
        <w:trPr>
          <w:trHeight w:val="300"/>
          <w:jc w:val="center"/>
        </w:trPr>
        <w:tc>
          <w:tcPr>
            <w:tcW w:w="22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1D" w14:textId="77777777" w:rsidR="00AB58B8" w:rsidRDefault="00AB58B8">
            <w:pPr>
              <w:jc w:val="both"/>
              <w:rPr>
                <w:sz w:val="20"/>
                <w:szCs w:val="20"/>
                <w:lang w:val="es-MX"/>
              </w:rPr>
            </w:pPr>
            <w:r>
              <w:rPr>
                <w:sz w:val="20"/>
                <w:szCs w:val="20"/>
                <w:lang w:val="es-BO"/>
              </w:rPr>
              <w:t>8</w:t>
            </w:r>
          </w:p>
        </w:tc>
        <w:tc>
          <w:tcPr>
            <w:tcW w:w="880"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1E" w14:textId="77777777" w:rsidR="00AB58B8" w:rsidRDefault="00AB58B8">
            <w:pPr>
              <w:jc w:val="both"/>
              <w:rPr>
                <w:sz w:val="20"/>
                <w:szCs w:val="20"/>
                <w:lang w:val="es-MX"/>
              </w:rPr>
            </w:pPr>
            <w:r>
              <w:rPr>
                <w:sz w:val="20"/>
                <w:szCs w:val="20"/>
                <w:lang w:val="es-BO"/>
              </w:rPr>
              <w:t xml:space="preserve">Beni           </w:t>
            </w:r>
          </w:p>
        </w:tc>
        <w:tc>
          <w:tcPr>
            <w:tcW w:w="1207"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1F" w14:textId="77777777" w:rsidR="00AB58B8" w:rsidRDefault="00AB58B8">
            <w:pPr>
              <w:jc w:val="center"/>
              <w:rPr>
                <w:sz w:val="20"/>
                <w:szCs w:val="20"/>
                <w:lang w:val="es-MX"/>
              </w:rPr>
            </w:pPr>
            <w:r>
              <w:rPr>
                <w:sz w:val="20"/>
                <w:szCs w:val="20"/>
                <w:lang w:val="es-BO"/>
              </w:rPr>
              <w:t>232.248</w:t>
            </w:r>
          </w:p>
        </w:tc>
        <w:tc>
          <w:tcPr>
            <w:tcW w:w="154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20" w14:textId="77777777" w:rsidR="00AB58B8" w:rsidRDefault="00AB58B8">
            <w:pPr>
              <w:jc w:val="center"/>
              <w:rPr>
                <w:sz w:val="20"/>
                <w:szCs w:val="20"/>
                <w:lang w:val="es-MX"/>
              </w:rPr>
            </w:pPr>
            <w:r>
              <w:rPr>
                <w:sz w:val="20"/>
                <w:szCs w:val="20"/>
                <w:lang w:val="es-BO"/>
              </w:rPr>
              <w:t>240.509</w:t>
            </w:r>
          </w:p>
        </w:tc>
        <w:tc>
          <w:tcPr>
            <w:tcW w:w="1141"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21" w14:textId="77777777" w:rsidR="00AB58B8" w:rsidRDefault="00AB58B8">
            <w:pPr>
              <w:jc w:val="center"/>
              <w:rPr>
                <w:sz w:val="20"/>
                <w:szCs w:val="20"/>
                <w:lang w:val="es-MX"/>
              </w:rPr>
            </w:pPr>
            <w:r>
              <w:rPr>
                <w:sz w:val="20"/>
                <w:szCs w:val="20"/>
                <w:lang w:val="es-BO"/>
              </w:rPr>
              <w:t>265.586</w:t>
            </w:r>
          </w:p>
        </w:tc>
      </w:tr>
      <w:tr w:rsidR="00AB58B8" w14:paraId="6E6B8D28" w14:textId="77777777" w:rsidTr="00AB58B8">
        <w:trPr>
          <w:trHeight w:val="300"/>
          <w:jc w:val="center"/>
        </w:trPr>
        <w:tc>
          <w:tcPr>
            <w:tcW w:w="22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23" w14:textId="77777777" w:rsidR="00AB58B8" w:rsidRDefault="00AB58B8">
            <w:pPr>
              <w:jc w:val="both"/>
              <w:rPr>
                <w:sz w:val="20"/>
                <w:szCs w:val="20"/>
                <w:lang w:val="es-MX"/>
              </w:rPr>
            </w:pPr>
            <w:r>
              <w:rPr>
                <w:sz w:val="20"/>
                <w:szCs w:val="20"/>
                <w:lang w:val="es-BO"/>
              </w:rPr>
              <w:t>9</w:t>
            </w:r>
          </w:p>
        </w:tc>
        <w:tc>
          <w:tcPr>
            <w:tcW w:w="880"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24" w14:textId="77777777" w:rsidR="00AB58B8" w:rsidRDefault="00AB58B8">
            <w:pPr>
              <w:jc w:val="both"/>
              <w:rPr>
                <w:sz w:val="20"/>
                <w:szCs w:val="20"/>
                <w:lang w:val="es-MX"/>
              </w:rPr>
            </w:pPr>
            <w:r>
              <w:rPr>
                <w:sz w:val="20"/>
                <w:szCs w:val="20"/>
                <w:lang w:val="es-BO"/>
              </w:rPr>
              <w:t xml:space="preserve">Pando          </w:t>
            </w:r>
          </w:p>
        </w:tc>
        <w:tc>
          <w:tcPr>
            <w:tcW w:w="1207"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25" w14:textId="77777777" w:rsidR="00AB58B8" w:rsidRDefault="00AB58B8">
            <w:pPr>
              <w:jc w:val="center"/>
              <w:rPr>
                <w:sz w:val="20"/>
                <w:szCs w:val="20"/>
                <w:lang w:val="es-MX"/>
              </w:rPr>
            </w:pPr>
            <w:r>
              <w:rPr>
                <w:sz w:val="20"/>
                <w:szCs w:val="20"/>
                <w:lang w:val="es-BO"/>
              </w:rPr>
              <w:t>62.583</w:t>
            </w:r>
          </w:p>
        </w:tc>
        <w:tc>
          <w:tcPr>
            <w:tcW w:w="154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26" w14:textId="77777777" w:rsidR="00AB58B8" w:rsidRDefault="00AB58B8">
            <w:pPr>
              <w:jc w:val="center"/>
              <w:rPr>
                <w:sz w:val="20"/>
                <w:szCs w:val="20"/>
                <w:lang w:val="es-MX"/>
              </w:rPr>
            </w:pPr>
            <w:r>
              <w:rPr>
                <w:sz w:val="20"/>
                <w:szCs w:val="20"/>
                <w:lang w:val="es-BO"/>
              </w:rPr>
              <w:t>67.061</w:t>
            </w:r>
          </w:p>
        </w:tc>
        <w:tc>
          <w:tcPr>
            <w:tcW w:w="1141"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27" w14:textId="77777777" w:rsidR="00AB58B8" w:rsidRDefault="00AB58B8">
            <w:pPr>
              <w:jc w:val="center"/>
              <w:rPr>
                <w:sz w:val="20"/>
                <w:szCs w:val="20"/>
                <w:lang w:val="es-MX"/>
              </w:rPr>
            </w:pPr>
            <w:r>
              <w:rPr>
                <w:sz w:val="20"/>
                <w:szCs w:val="20"/>
                <w:lang w:val="es-BO"/>
              </w:rPr>
              <w:t>72.580</w:t>
            </w:r>
          </w:p>
        </w:tc>
      </w:tr>
      <w:tr w:rsidR="00AB58B8" w14:paraId="6E6B8D2E" w14:textId="77777777" w:rsidTr="00AB58B8">
        <w:trPr>
          <w:trHeight w:val="300"/>
          <w:jc w:val="center"/>
        </w:trPr>
        <w:tc>
          <w:tcPr>
            <w:tcW w:w="22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29" w14:textId="77777777" w:rsidR="00AB58B8" w:rsidRDefault="00AB58B8">
            <w:pPr>
              <w:jc w:val="both"/>
              <w:rPr>
                <w:sz w:val="20"/>
                <w:szCs w:val="20"/>
                <w:lang w:val="es-MX"/>
              </w:rPr>
            </w:pPr>
            <w:r>
              <w:rPr>
                <w:sz w:val="20"/>
                <w:szCs w:val="20"/>
                <w:lang w:val="es-BO"/>
              </w:rPr>
              <w:t>10</w:t>
            </w:r>
          </w:p>
        </w:tc>
        <w:tc>
          <w:tcPr>
            <w:tcW w:w="880"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2A" w14:textId="77777777" w:rsidR="00AB58B8" w:rsidRDefault="00AB58B8">
            <w:pPr>
              <w:jc w:val="both"/>
              <w:rPr>
                <w:sz w:val="20"/>
                <w:szCs w:val="20"/>
                <w:lang w:val="es-MX"/>
              </w:rPr>
            </w:pPr>
            <w:r>
              <w:rPr>
                <w:sz w:val="20"/>
                <w:szCs w:val="20"/>
                <w:lang w:val="es-BO"/>
              </w:rPr>
              <w:t>Exterior</w:t>
            </w:r>
          </w:p>
        </w:tc>
        <w:tc>
          <w:tcPr>
            <w:tcW w:w="1207"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2B" w14:textId="77777777" w:rsidR="00AB58B8" w:rsidRDefault="00AB58B8">
            <w:pPr>
              <w:jc w:val="center"/>
              <w:rPr>
                <w:sz w:val="20"/>
                <w:szCs w:val="20"/>
                <w:lang w:val="es-MX"/>
              </w:rPr>
            </w:pPr>
            <w:r>
              <w:rPr>
                <w:sz w:val="20"/>
                <w:szCs w:val="20"/>
                <w:lang w:val="es-BO"/>
              </w:rPr>
              <w:t>258.990</w:t>
            </w:r>
          </w:p>
        </w:tc>
        <w:tc>
          <w:tcPr>
            <w:tcW w:w="1546"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2C" w14:textId="77777777" w:rsidR="00AB58B8" w:rsidRDefault="00AB58B8">
            <w:pPr>
              <w:jc w:val="center"/>
              <w:rPr>
                <w:sz w:val="20"/>
                <w:szCs w:val="20"/>
                <w:lang w:val="es-MX"/>
              </w:rPr>
            </w:pPr>
            <w:r>
              <w:rPr>
                <w:sz w:val="20"/>
                <w:szCs w:val="20"/>
                <w:lang w:val="es-BO"/>
              </w:rPr>
              <w:t>246.702</w:t>
            </w:r>
          </w:p>
        </w:tc>
        <w:tc>
          <w:tcPr>
            <w:tcW w:w="1141"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E6B8D2D" w14:textId="77777777" w:rsidR="00AB58B8" w:rsidRDefault="00AB58B8">
            <w:pPr>
              <w:jc w:val="center"/>
              <w:rPr>
                <w:sz w:val="20"/>
                <w:szCs w:val="20"/>
                <w:lang w:val="es-MX"/>
              </w:rPr>
            </w:pPr>
            <w:r>
              <w:rPr>
                <w:sz w:val="20"/>
                <w:szCs w:val="20"/>
                <w:lang w:val="es-BO"/>
              </w:rPr>
              <w:t>341.001</w:t>
            </w:r>
          </w:p>
        </w:tc>
      </w:tr>
      <w:tr w:rsidR="00AB58B8" w14:paraId="6E6B8D33" w14:textId="77777777" w:rsidTr="00AB58B8">
        <w:trPr>
          <w:trHeight w:val="341"/>
          <w:jc w:val="center"/>
        </w:trPr>
        <w:tc>
          <w:tcPr>
            <w:tcW w:w="1106" w:type="pct"/>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bottom"/>
            <w:hideMark/>
          </w:tcPr>
          <w:p w14:paraId="6E6B8D2F" w14:textId="77777777" w:rsidR="00AB58B8" w:rsidRDefault="00AB58B8">
            <w:pPr>
              <w:jc w:val="both"/>
              <w:rPr>
                <w:sz w:val="20"/>
                <w:szCs w:val="20"/>
                <w:lang w:val="es-MX"/>
              </w:rPr>
            </w:pPr>
            <w:r>
              <w:rPr>
                <w:b/>
                <w:bCs/>
                <w:sz w:val="20"/>
                <w:szCs w:val="20"/>
                <w:lang w:val="es-BO"/>
              </w:rPr>
              <w:t>TOTALES</w:t>
            </w:r>
          </w:p>
        </w:tc>
        <w:tc>
          <w:tcPr>
            <w:tcW w:w="120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bottom"/>
            <w:hideMark/>
          </w:tcPr>
          <w:p w14:paraId="6E6B8D30" w14:textId="77777777" w:rsidR="00AB58B8" w:rsidRDefault="00AB58B8">
            <w:pPr>
              <w:jc w:val="center"/>
              <w:rPr>
                <w:sz w:val="20"/>
                <w:szCs w:val="20"/>
                <w:lang w:val="es-MX"/>
              </w:rPr>
            </w:pPr>
            <w:r>
              <w:rPr>
                <w:b/>
                <w:bCs/>
                <w:sz w:val="20"/>
                <w:szCs w:val="20"/>
                <w:lang w:val="es-BO"/>
              </w:rPr>
              <w:t>6.502.079</w:t>
            </w:r>
          </w:p>
        </w:tc>
        <w:tc>
          <w:tcPr>
            <w:tcW w:w="154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bottom"/>
            <w:hideMark/>
          </w:tcPr>
          <w:p w14:paraId="6E6B8D31" w14:textId="77777777" w:rsidR="00AB58B8" w:rsidRDefault="00AB58B8">
            <w:pPr>
              <w:jc w:val="center"/>
              <w:rPr>
                <w:sz w:val="20"/>
                <w:szCs w:val="20"/>
                <w:lang w:val="es-MX"/>
              </w:rPr>
            </w:pPr>
            <w:r>
              <w:rPr>
                <w:b/>
                <w:bCs/>
                <w:sz w:val="20"/>
                <w:szCs w:val="20"/>
                <w:lang w:val="es-BO"/>
              </w:rPr>
              <w:t>6.685.503</w:t>
            </w:r>
          </w:p>
        </w:tc>
        <w:tc>
          <w:tcPr>
            <w:tcW w:w="114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bottom w:w="0" w:type="dxa"/>
              <w:right w:w="15" w:type="dxa"/>
            </w:tcMar>
            <w:vAlign w:val="bottom"/>
            <w:hideMark/>
          </w:tcPr>
          <w:p w14:paraId="6E6B8D32" w14:textId="77777777" w:rsidR="00AB58B8" w:rsidRDefault="00AB58B8">
            <w:pPr>
              <w:jc w:val="center"/>
              <w:rPr>
                <w:sz w:val="20"/>
                <w:szCs w:val="20"/>
                <w:lang w:val="es-MX"/>
              </w:rPr>
            </w:pPr>
            <w:r>
              <w:rPr>
                <w:b/>
                <w:bCs/>
                <w:sz w:val="20"/>
                <w:szCs w:val="20"/>
                <w:lang w:val="es-BO"/>
              </w:rPr>
              <w:t>7.315.364</w:t>
            </w:r>
          </w:p>
        </w:tc>
      </w:tr>
    </w:tbl>
    <w:p w14:paraId="6E6B8D34" w14:textId="77777777" w:rsidR="00AB58B8" w:rsidRDefault="00AB58B8" w:rsidP="00AB58B8">
      <w:pPr>
        <w:ind w:firstLine="708"/>
        <w:jc w:val="both"/>
        <w:rPr>
          <w:sz w:val="20"/>
          <w:szCs w:val="20"/>
        </w:rPr>
      </w:pPr>
      <w:r>
        <w:rPr>
          <w:sz w:val="20"/>
          <w:szCs w:val="20"/>
        </w:rPr>
        <w:t>Fuente: Información proporcionada por la Dirección Nacional del SERECÍ.</w:t>
      </w:r>
    </w:p>
    <w:p w14:paraId="6E6B8D35" w14:textId="77777777" w:rsidR="00AB58B8" w:rsidRDefault="00AB58B8" w:rsidP="00AB58B8">
      <w:pPr>
        <w:jc w:val="both"/>
        <w:rPr>
          <w:sz w:val="22"/>
          <w:szCs w:val="22"/>
        </w:rPr>
      </w:pPr>
    </w:p>
    <w:p w14:paraId="6E6B8D36" w14:textId="77777777" w:rsidR="00AB58B8" w:rsidRDefault="00AB58B8" w:rsidP="00AB58B8">
      <w:pPr>
        <w:jc w:val="both"/>
        <w:rPr>
          <w:sz w:val="22"/>
          <w:szCs w:val="22"/>
        </w:rPr>
      </w:pPr>
      <w:r>
        <w:rPr>
          <w:sz w:val="22"/>
          <w:szCs w:val="22"/>
        </w:rPr>
        <w:t>Esta tendencia responde no sólo a un incremento poblacional, sino a la decisión del OEP de realizar campañas de empadronamiento masivo, facilitando la inscripción de los ciudadanos. Esto ha tenido un efecto particularmente visible en el exterior, donde el número de inscriptos creció un 38% respectó a la última elección.</w:t>
      </w:r>
    </w:p>
    <w:p w14:paraId="6E6B8D37" w14:textId="77777777" w:rsidR="00AB58B8" w:rsidRDefault="00AB58B8" w:rsidP="00AB58B8">
      <w:pPr>
        <w:jc w:val="both"/>
        <w:rPr>
          <w:sz w:val="22"/>
          <w:szCs w:val="22"/>
        </w:rPr>
      </w:pPr>
    </w:p>
    <w:p w14:paraId="6E6B8D38" w14:textId="77777777" w:rsidR="00AB58B8" w:rsidRDefault="00AB58B8" w:rsidP="00AB58B8">
      <w:pPr>
        <w:jc w:val="both"/>
        <w:rPr>
          <w:sz w:val="22"/>
          <w:szCs w:val="22"/>
        </w:rPr>
      </w:pPr>
      <w:r>
        <w:rPr>
          <w:sz w:val="22"/>
          <w:szCs w:val="22"/>
        </w:rPr>
        <w:t xml:space="preserve">En reuniones con partidos y representantes de la sociedad civil, distintos actores trasladaron a la Misión su preocupación por presuntas irregularidades en el padrón. Concretamente, se recibieron denuncias por la supuesta aparición de personas muertas entre los habilitados a sufragar. De acuerdo con la información del TSE, desde el último padrón nacional, utilizado para la elección de autoridades judiciales en diciembre de 2017, fueron depurados 95.308 personas fallecidas. Sin embargo, lso funcionarios del órgano electoral reconocieron que era posible que algunas personas fallecidas aparecieran habilitadas debido a que, sobre todo en el área rural, no siempre los ciudadanos y ciudadanas registran las defunciones de manera oportuna. A esto se suma que, tras el cierre de padrón (39 días antes de la elección), este no se modifica aun cuando se reporten fallecimientos. </w:t>
      </w:r>
    </w:p>
    <w:p w14:paraId="6E6B8D39" w14:textId="77777777" w:rsidR="00AB58B8" w:rsidRDefault="00AB58B8" w:rsidP="00AB58B8">
      <w:pPr>
        <w:jc w:val="both"/>
        <w:rPr>
          <w:sz w:val="22"/>
          <w:szCs w:val="22"/>
        </w:rPr>
      </w:pPr>
    </w:p>
    <w:p w14:paraId="6E6B8D3A" w14:textId="77777777" w:rsidR="00AB58B8" w:rsidRDefault="00AB58B8" w:rsidP="00AB58B8">
      <w:pPr>
        <w:jc w:val="both"/>
        <w:rPr>
          <w:sz w:val="22"/>
          <w:szCs w:val="22"/>
        </w:rPr>
      </w:pPr>
      <w:r>
        <w:rPr>
          <w:sz w:val="22"/>
          <w:szCs w:val="22"/>
        </w:rPr>
        <w:t>La Misión recibió quejas también por la aparición de personas con el mismo número de cédula de identificación. Funcionarios del Serecí explicaron a la Misión que ellos obtienen la información de las cédulas del Servicio General de Identificación de Personas por lo que, cualquier error en su base de datos, se traslada al padrón. De acuerdo con la información recibida, el número de cédulas repetidas pasó de 48.759 en 2017 a 17.350 para este proceso electoral. Asimismo, para se resolvió asignar un número extra a los documentos repetidos para diferenciarlos de sus duplicados.</w:t>
      </w:r>
    </w:p>
    <w:p w14:paraId="6E6B8D3B" w14:textId="77777777" w:rsidR="00AB58B8" w:rsidRDefault="00AB58B8" w:rsidP="00AB58B8">
      <w:pPr>
        <w:jc w:val="both"/>
        <w:rPr>
          <w:sz w:val="22"/>
          <w:szCs w:val="22"/>
        </w:rPr>
      </w:pPr>
    </w:p>
    <w:p w14:paraId="6E6B8D3C" w14:textId="77777777" w:rsidR="00AB58B8" w:rsidRDefault="00AB58B8" w:rsidP="00AB58B8">
      <w:pPr>
        <w:jc w:val="both"/>
        <w:rPr>
          <w:bCs/>
          <w:i/>
          <w:sz w:val="22"/>
          <w:szCs w:val="22"/>
          <w:u w:val="single"/>
        </w:rPr>
      </w:pPr>
      <w:r>
        <w:rPr>
          <w:bCs/>
          <w:i/>
          <w:sz w:val="22"/>
          <w:szCs w:val="22"/>
          <w:u w:val="single"/>
        </w:rPr>
        <w:t>-Sistema electoral y diseño de la papeleta de votación</w:t>
      </w:r>
    </w:p>
    <w:p w14:paraId="6E6B8D3D" w14:textId="77777777" w:rsidR="00AB58B8" w:rsidRDefault="00AB58B8" w:rsidP="00AB58B8">
      <w:pPr>
        <w:jc w:val="both"/>
        <w:rPr>
          <w:sz w:val="22"/>
          <w:szCs w:val="22"/>
        </w:rPr>
      </w:pPr>
    </w:p>
    <w:p w14:paraId="6E6B8D3E" w14:textId="77777777" w:rsidR="00AB58B8" w:rsidRDefault="00AB58B8" w:rsidP="00AB58B8">
      <w:pPr>
        <w:jc w:val="both"/>
        <w:rPr>
          <w:sz w:val="22"/>
          <w:szCs w:val="22"/>
        </w:rPr>
      </w:pPr>
      <w:r>
        <w:rPr>
          <w:sz w:val="22"/>
          <w:szCs w:val="22"/>
        </w:rPr>
        <w:t xml:space="preserve">De acuerdo con la normativa electoral, los senadores, diputados plurinominales y representantes ante parlamentos supraestatales se eligen en por departamento en función de los votos obtenidos por los binomios presidenciales en cada circunscripción. Dadas las características del sistema electoral, para las elecciones generales del 20 de octubre el  OEP diseñó una papeleta que contó exclusivamente con dos franjas: una superior, para la elección del Presidente y Vicepresidente, y otra inferior, para votar por el diputado de la respectiva circunscripción uninominal. </w:t>
      </w:r>
    </w:p>
    <w:p w14:paraId="6E6B8D3F" w14:textId="77777777" w:rsidR="00AB58B8" w:rsidRDefault="00AB58B8" w:rsidP="00AB58B8">
      <w:pPr>
        <w:jc w:val="both"/>
        <w:rPr>
          <w:sz w:val="22"/>
          <w:szCs w:val="22"/>
        </w:rPr>
      </w:pPr>
    </w:p>
    <w:p w14:paraId="6E6B8D40" w14:textId="77777777" w:rsidR="00AB58B8" w:rsidRDefault="00AB58B8" w:rsidP="00AB58B8">
      <w:pPr>
        <w:jc w:val="both"/>
        <w:rPr>
          <w:sz w:val="22"/>
          <w:szCs w:val="22"/>
        </w:rPr>
      </w:pPr>
      <w:r>
        <w:rPr>
          <w:noProof/>
          <w:sz w:val="22"/>
          <w:szCs w:val="22"/>
          <w:lang w:val="en-US"/>
        </w:rPr>
        <w:lastRenderedPageBreak/>
        <w:drawing>
          <wp:inline distT="0" distB="0" distL="0" distR="0" wp14:anchorId="6E6B8D70" wp14:editId="6E6B8D71">
            <wp:extent cx="5613400" cy="3752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3400" cy="3752850"/>
                    </a:xfrm>
                    <a:prstGeom prst="rect">
                      <a:avLst/>
                    </a:prstGeom>
                    <a:noFill/>
                    <a:ln>
                      <a:noFill/>
                    </a:ln>
                  </pic:spPr>
                </pic:pic>
              </a:graphicData>
            </a:graphic>
          </wp:inline>
        </w:drawing>
      </w:r>
    </w:p>
    <w:p w14:paraId="6E6B8D41" w14:textId="77777777" w:rsidR="00AB58B8" w:rsidRDefault="00AB58B8" w:rsidP="00AB58B8">
      <w:pPr>
        <w:jc w:val="both"/>
        <w:rPr>
          <w:sz w:val="22"/>
          <w:szCs w:val="22"/>
        </w:rPr>
      </w:pPr>
    </w:p>
    <w:p w14:paraId="6E6B8D42" w14:textId="77777777" w:rsidR="00AB58B8" w:rsidRDefault="00AB58B8" w:rsidP="00AB58B8">
      <w:pPr>
        <w:jc w:val="both"/>
        <w:rPr>
          <w:sz w:val="22"/>
          <w:szCs w:val="22"/>
        </w:rPr>
      </w:pPr>
      <w:r>
        <w:rPr>
          <w:sz w:val="22"/>
          <w:szCs w:val="22"/>
        </w:rPr>
        <w:t>La MOE constató que en ningún lugar de la papeleta aparecía información sobre la lista senadores, diputados plurinominales o representantes ante organismos supraestatales. Aun cuando el sistema electoral impide el voto cruzado, la Misión observa con preocupación que el ciudadano o ciudadana no cuente con los nombres de los candidatos/as de todas las categorías por las cuales debe votar.</w:t>
      </w:r>
    </w:p>
    <w:p w14:paraId="6E6B8D43" w14:textId="77777777" w:rsidR="00AB58B8" w:rsidRDefault="00AB58B8" w:rsidP="00AB58B8">
      <w:pPr>
        <w:jc w:val="both"/>
        <w:rPr>
          <w:bCs/>
          <w:i/>
          <w:sz w:val="22"/>
          <w:szCs w:val="22"/>
          <w:u w:val="single"/>
        </w:rPr>
      </w:pPr>
    </w:p>
    <w:p w14:paraId="6E6B8D44" w14:textId="77777777" w:rsidR="00AB58B8" w:rsidRDefault="00AB58B8" w:rsidP="00AB58B8">
      <w:pPr>
        <w:jc w:val="both"/>
        <w:rPr>
          <w:bCs/>
          <w:i/>
          <w:sz w:val="22"/>
          <w:szCs w:val="22"/>
          <w:u w:val="single"/>
        </w:rPr>
      </w:pPr>
      <w:r>
        <w:rPr>
          <w:bCs/>
          <w:i/>
          <w:sz w:val="22"/>
          <w:szCs w:val="22"/>
          <w:u w:val="single"/>
        </w:rPr>
        <w:t>Acreditación de delegados de partido en mesas de sufragio</w:t>
      </w:r>
    </w:p>
    <w:p w14:paraId="6E6B8D45" w14:textId="77777777" w:rsidR="00AB58B8" w:rsidRDefault="00AB58B8" w:rsidP="00AB58B8">
      <w:pPr>
        <w:jc w:val="both"/>
        <w:rPr>
          <w:b/>
          <w:bCs/>
          <w:i/>
          <w:iCs/>
          <w:sz w:val="22"/>
          <w:szCs w:val="22"/>
        </w:rPr>
      </w:pPr>
    </w:p>
    <w:p w14:paraId="6E6B8D46" w14:textId="77777777" w:rsidR="00AB58B8" w:rsidRDefault="00AB58B8" w:rsidP="00AB58B8">
      <w:pPr>
        <w:jc w:val="both"/>
        <w:rPr>
          <w:sz w:val="22"/>
          <w:szCs w:val="22"/>
        </w:rPr>
      </w:pPr>
      <w:r>
        <w:rPr>
          <w:sz w:val="22"/>
          <w:szCs w:val="22"/>
        </w:rPr>
        <w:t>Las delegadas o delegados de partido</w:t>
      </w:r>
      <w:r>
        <w:rPr>
          <w:rStyle w:val="FootnoteReference"/>
          <w:sz w:val="22"/>
          <w:szCs w:val="22"/>
        </w:rPr>
        <w:footnoteReference w:id="17"/>
      </w:r>
      <w:r>
        <w:rPr>
          <w:sz w:val="22"/>
          <w:szCs w:val="22"/>
        </w:rPr>
        <w:t xml:space="preserve"> pueden intervenir en todas las fases o etapas de los procesos electorales, para preservar los derechos y garantías de sus organizaciones políticas y candidaturas y verificar el desarrollo de estos procesos conforme a Ley. El día de la jornada electoral tienen derecho a firmar el acta correspondiente a su mesa y pedir una copia de la misma, una vez finalizado el escrutinio. Su ausencia o falta de participación no impide la realización de los actos y procedimientos electorales ni conlleva la invalidez de los mismos.</w:t>
      </w:r>
    </w:p>
    <w:p w14:paraId="6E6B8D47" w14:textId="77777777" w:rsidR="00AB58B8" w:rsidRDefault="00AB58B8" w:rsidP="00AB58B8">
      <w:pPr>
        <w:jc w:val="both"/>
        <w:rPr>
          <w:sz w:val="22"/>
          <w:szCs w:val="22"/>
        </w:rPr>
      </w:pPr>
    </w:p>
    <w:p w14:paraId="6E6B8D48" w14:textId="77777777" w:rsidR="00AB58B8" w:rsidRDefault="00AB58B8" w:rsidP="00AB58B8">
      <w:pPr>
        <w:jc w:val="both"/>
        <w:rPr>
          <w:sz w:val="22"/>
          <w:szCs w:val="22"/>
        </w:rPr>
      </w:pPr>
      <w:r>
        <w:rPr>
          <w:sz w:val="22"/>
          <w:szCs w:val="22"/>
        </w:rPr>
        <w:t xml:space="preserve">La Misión observó que la legislación vigente no establece el procedimiento para acreditar los delegados de partido. Por tal motivo, el 11 de octubre, mediante el instructivo número TSE-PRES-SC-055/2019, el TSE estableció que “para el voto nacional, las organizaciones políticas y/o alianzas, podrán habilitar a sus delegadas y delegados de mesas de sufragio ante los Tribunales Electorales Departamentales y ante los Jurados Electorales en la mesa de sufragio”. </w:t>
      </w:r>
    </w:p>
    <w:p w14:paraId="6E6B8D49" w14:textId="77777777" w:rsidR="00AB58B8" w:rsidRDefault="00AB58B8" w:rsidP="00AB58B8">
      <w:pPr>
        <w:jc w:val="both"/>
        <w:rPr>
          <w:sz w:val="22"/>
          <w:szCs w:val="22"/>
        </w:rPr>
      </w:pPr>
    </w:p>
    <w:p w14:paraId="6E6B8D4A" w14:textId="77777777" w:rsidR="00AB58B8" w:rsidRDefault="00AB58B8" w:rsidP="00AB58B8">
      <w:pPr>
        <w:jc w:val="both"/>
        <w:rPr>
          <w:sz w:val="22"/>
          <w:szCs w:val="22"/>
        </w:rPr>
      </w:pPr>
      <w:r>
        <w:rPr>
          <w:sz w:val="22"/>
          <w:szCs w:val="22"/>
        </w:rPr>
        <w:t xml:space="preserve">Distintos actores manifestaron a la Misión que el instructivo había sido emitido con poca antelación a la elección y sin el conocimiento oportuno de los TED. En reuniones con representantes de los distintos </w:t>
      </w:r>
      <w:r>
        <w:rPr>
          <w:sz w:val="22"/>
          <w:szCs w:val="22"/>
        </w:rPr>
        <w:lastRenderedPageBreak/>
        <w:t xml:space="preserve">partidos se constató que estos tampoco conocían los detalles del procedimiento de acreditación y que existía una clara confusión respecto a las funciones de los delegados. </w:t>
      </w:r>
    </w:p>
    <w:p w14:paraId="6E6B8D4B" w14:textId="77777777" w:rsidR="00AB58B8" w:rsidRDefault="00AB58B8" w:rsidP="00AB58B8">
      <w:pPr>
        <w:jc w:val="both"/>
        <w:rPr>
          <w:sz w:val="22"/>
          <w:szCs w:val="22"/>
        </w:rPr>
      </w:pPr>
    </w:p>
    <w:p w14:paraId="6E6B8D4C" w14:textId="77777777" w:rsidR="00AB58B8" w:rsidRDefault="00AB58B8" w:rsidP="00AB58B8">
      <w:pPr>
        <w:pStyle w:val="ListParagraph"/>
        <w:numPr>
          <w:ilvl w:val="0"/>
          <w:numId w:val="4"/>
        </w:numPr>
        <w:rPr>
          <w:b/>
          <w:bCs/>
          <w:sz w:val="22"/>
          <w:szCs w:val="22"/>
        </w:rPr>
      </w:pPr>
      <w:r>
        <w:rPr>
          <w:b/>
          <w:bCs/>
          <w:sz w:val="22"/>
          <w:szCs w:val="22"/>
        </w:rPr>
        <w:t>Recomendaciones</w:t>
      </w:r>
    </w:p>
    <w:p w14:paraId="6E6B8D4D" w14:textId="77777777" w:rsidR="00AB58B8" w:rsidRDefault="00AB58B8" w:rsidP="00AB58B8">
      <w:pPr>
        <w:ind w:left="360"/>
        <w:jc w:val="both"/>
        <w:rPr>
          <w:sz w:val="22"/>
          <w:szCs w:val="22"/>
        </w:rPr>
      </w:pPr>
    </w:p>
    <w:p w14:paraId="6E6B8D4E" w14:textId="77777777" w:rsidR="00AB58B8" w:rsidRDefault="00AB58B8" w:rsidP="00AB58B8">
      <w:pPr>
        <w:spacing w:after="160" w:line="276" w:lineRule="auto"/>
        <w:jc w:val="both"/>
        <w:rPr>
          <w:sz w:val="22"/>
          <w:szCs w:val="22"/>
        </w:rPr>
      </w:pPr>
      <w:r>
        <w:rPr>
          <w:sz w:val="22"/>
          <w:szCs w:val="22"/>
        </w:rPr>
        <w:t>-Se observaron severas limitaciones presupuestarias en todas las áreas del OEP. Se recomienda Incrementar los recursos financieros y humanos a disposición del órgano electoral, para que éste pueda realizar sus funciones de manera adecuada.</w:t>
      </w:r>
    </w:p>
    <w:p w14:paraId="6E6B8D4F" w14:textId="77777777" w:rsidR="00AB58B8" w:rsidRDefault="00AB58B8" w:rsidP="00AB58B8">
      <w:pPr>
        <w:spacing w:after="160" w:line="276" w:lineRule="auto"/>
        <w:jc w:val="both"/>
        <w:rPr>
          <w:sz w:val="22"/>
          <w:szCs w:val="22"/>
        </w:rPr>
      </w:pPr>
      <w:r>
        <w:rPr>
          <w:sz w:val="22"/>
          <w:szCs w:val="22"/>
        </w:rPr>
        <w:t>-</w:t>
      </w:r>
      <w:r>
        <w:rPr>
          <w:rFonts w:ascii="Calibri" w:hAnsi="Calibri"/>
          <w:sz w:val="22"/>
          <w:szCs w:val="22"/>
          <w:lang w:val="es-ES"/>
        </w:rPr>
        <w:t xml:space="preserve"> La Misión constató que, a comienzos del año electoral, se registraron una serie de despidos y renuncias entre quienes ocupaban puestos de dirección del órgano electoral. La Misión sugiere garantizar la continuidad de los funcionarios electorales, salvo en los casos en que estos incurran en conductas vedadas. Dada su conocimiento y experiencia, la estabilidad del personal técnico es fundamental para llevar adelante el proceso electoral.</w:t>
      </w:r>
    </w:p>
    <w:p w14:paraId="6E6B8D50" w14:textId="77777777" w:rsidR="00AB58B8" w:rsidRDefault="00AB58B8" w:rsidP="00AB58B8">
      <w:pPr>
        <w:spacing w:after="160" w:line="276" w:lineRule="auto"/>
        <w:jc w:val="both"/>
        <w:rPr>
          <w:sz w:val="22"/>
          <w:szCs w:val="22"/>
        </w:rPr>
      </w:pPr>
      <w:r>
        <w:rPr>
          <w:sz w:val="22"/>
          <w:szCs w:val="22"/>
        </w:rPr>
        <w:t>- Se observó que la información estadística y documental sobre la labor de cada área del OEP es limitada y que la publicación de las resoluciones del TSE en su página web tiene un retraso considerable. Se sugiere establecer los mecanismos necesarios para generar información estadística oportuna y pública, así como mejorar los canales de comunicación entre las distintas áreas del OEP. Se recomienda, asimismo, garantizar la publicación actualizada de las resoluciones del TSE.</w:t>
      </w:r>
    </w:p>
    <w:p w14:paraId="6E6B8D51" w14:textId="77777777" w:rsidR="00AB58B8" w:rsidRDefault="00AB58B8" w:rsidP="00AB58B8">
      <w:pPr>
        <w:spacing w:after="160" w:line="276" w:lineRule="auto"/>
        <w:jc w:val="both"/>
        <w:rPr>
          <w:sz w:val="22"/>
          <w:szCs w:val="22"/>
        </w:rPr>
      </w:pPr>
      <w:r>
        <w:rPr>
          <w:sz w:val="22"/>
          <w:szCs w:val="22"/>
        </w:rPr>
        <w:t>- La MOE constató que en ningún lugar de la papeleta aparecía información sobre la lista senadores, diputados plurinominales o representantes ante parlamentos supraestatales. Se sugiere rediseñar la papeleta para que brinde información completa sobre los candidatos y candidatas de todos los niveles de elección.</w:t>
      </w:r>
    </w:p>
    <w:p w14:paraId="6E6B8D52" w14:textId="77777777" w:rsidR="00AB58B8" w:rsidRDefault="00AB58B8" w:rsidP="00AB58B8">
      <w:pPr>
        <w:jc w:val="both"/>
        <w:rPr>
          <w:sz w:val="22"/>
          <w:szCs w:val="22"/>
        </w:rPr>
      </w:pPr>
      <w:r>
        <w:rPr>
          <w:sz w:val="22"/>
          <w:szCs w:val="22"/>
        </w:rPr>
        <w:t>-Distintos actores manifestaron a la Misión que los plazos para la inscripción de candidaturas a senadurías y diputaciones (1 día) así como para la presentación de enmiendas (3 días) fueron insuficientes. A raíz de lo anterior y teniendo en cuenta el alto número de candidaturas inhabilitadas, se sugiere ampliar los plazos para subsanar las observaciones que la autoridad electoral hace a las listas presentadas por los partidos.</w:t>
      </w:r>
    </w:p>
    <w:p w14:paraId="6E6B8D53" w14:textId="77777777" w:rsidR="00AB58B8" w:rsidRDefault="00AB58B8" w:rsidP="00AB58B8">
      <w:pPr>
        <w:jc w:val="both"/>
        <w:rPr>
          <w:sz w:val="22"/>
          <w:szCs w:val="22"/>
        </w:rPr>
      </w:pPr>
    </w:p>
    <w:p w14:paraId="6E6B8D54" w14:textId="77777777" w:rsidR="00AB58B8" w:rsidRDefault="00AB58B8" w:rsidP="00AB58B8">
      <w:pPr>
        <w:jc w:val="both"/>
        <w:rPr>
          <w:sz w:val="22"/>
          <w:szCs w:val="22"/>
        </w:rPr>
      </w:pPr>
      <w:r>
        <w:rPr>
          <w:sz w:val="22"/>
          <w:szCs w:val="22"/>
        </w:rPr>
        <w:t>- En seguimiento de las fechas preestablecidas por la autoridad electoral, la lista final de candidaturas habilitadas se dio a conocer recién el 19 de octubre. Se sugiere modificar los plazos del calendario de modo tal que los ciudadanos puedan conocer con mayor anticipación el listado definitivo de quienes participarán de la elección.</w:t>
      </w:r>
    </w:p>
    <w:p w14:paraId="6E6B8D55" w14:textId="77777777" w:rsidR="00AB58B8" w:rsidRDefault="00AB58B8" w:rsidP="00AB58B8">
      <w:pPr>
        <w:jc w:val="both"/>
        <w:rPr>
          <w:sz w:val="22"/>
          <w:szCs w:val="22"/>
        </w:rPr>
      </w:pPr>
    </w:p>
    <w:p w14:paraId="6E6B8D56" w14:textId="77777777" w:rsidR="00AB58B8" w:rsidRDefault="00AB58B8" w:rsidP="00AB58B8">
      <w:pPr>
        <w:jc w:val="both"/>
        <w:rPr>
          <w:sz w:val="22"/>
          <w:szCs w:val="22"/>
          <w:lang w:val="es-ES"/>
        </w:rPr>
      </w:pPr>
      <w:r>
        <w:rPr>
          <w:sz w:val="22"/>
          <w:szCs w:val="22"/>
        </w:rPr>
        <w:t>- La Misión observó que, tanto en las zonas de almacenamiento de los materiales electorales como a lo largo de la cadena de distribución, la infraestructura de la que disponían los tribunales departamentales no era la adecuada. Se sugiere fomentar una</w:t>
      </w:r>
      <w:r>
        <w:rPr>
          <w:sz w:val="22"/>
          <w:szCs w:val="22"/>
          <w:lang w:val="es-ES"/>
        </w:rPr>
        <w:t xml:space="preserve"> mayor comunicación entre las instancias de seguridad pública y los TED´s que permitan elegir adecuadamente los espacios en los que se concentran las maletas electorales previo a su distribución y posterior repliegue. Se recomienda, asimismo, determinar lugares con fácil acceso, mayores controles de seguridad y que cumplan con todas las medidas de protección civil necesarias para lograr un efectivo resguardo.</w:t>
      </w:r>
    </w:p>
    <w:p w14:paraId="6E6B8D57" w14:textId="77777777" w:rsidR="00AB58B8" w:rsidRDefault="00AB58B8" w:rsidP="00AB58B8">
      <w:pPr>
        <w:jc w:val="both"/>
        <w:rPr>
          <w:sz w:val="22"/>
          <w:szCs w:val="22"/>
          <w:lang w:val="es-ES"/>
        </w:rPr>
      </w:pPr>
    </w:p>
    <w:p w14:paraId="6E6B8D58" w14:textId="77777777" w:rsidR="00AB58B8" w:rsidRDefault="00AB58B8" w:rsidP="00AB58B8">
      <w:pPr>
        <w:jc w:val="both"/>
        <w:rPr>
          <w:sz w:val="22"/>
          <w:szCs w:val="22"/>
        </w:rPr>
      </w:pPr>
      <w:r>
        <w:rPr>
          <w:sz w:val="22"/>
          <w:szCs w:val="22"/>
        </w:rPr>
        <w:t>-</w:t>
      </w:r>
      <w:r>
        <w:t xml:space="preserve"> </w:t>
      </w:r>
      <w:r>
        <w:rPr>
          <w:sz w:val="22"/>
          <w:szCs w:val="22"/>
        </w:rPr>
        <w:t xml:space="preserve">La Misión constató que no hubo plazos ni procedimientos homogéneos para llevar a cabo la distribución del material y que, en algunos casos, los TED iniciaron de manera temprana el reparto hacia </w:t>
      </w:r>
      <w:r>
        <w:rPr>
          <w:sz w:val="22"/>
          <w:szCs w:val="22"/>
        </w:rPr>
        <w:lastRenderedPageBreak/>
        <w:t>las zonas rurales, lo que llevó a que las maletas quedaran bajo custodia de los notarios durante más de diez días.</w:t>
      </w:r>
      <w:r>
        <w:t xml:space="preserve"> </w:t>
      </w:r>
      <w:r>
        <w:rPr>
          <w:sz w:val="22"/>
          <w:szCs w:val="22"/>
        </w:rPr>
        <w:t>La Misión recomienda definir un lineamiento específico de envío anticipado a los notarios de maletas electorales en zonas rurales o de difícil acceso que evite que las maletas permanezcan en lugares sin el resguardo necesario.</w:t>
      </w:r>
    </w:p>
    <w:p w14:paraId="6E6B8D59" w14:textId="77777777" w:rsidR="00AB58B8" w:rsidRDefault="00AB58B8" w:rsidP="00AB58B8">
      <w:pPr>
        <w:jc w:val="both"/>
        <w:rPr>
          <w:sz w:val="22"/>
          <w:szCs w:val="22"/>
        </w:rPr>
      </w:pPr>
    </w:p>
    <w:p w14:paraId="6E6B8D5A" w14:textId="77777777" w:rsidR="00AB58B8" w:rsidRDefault="00AB58B8" w:rsidP="00AB58B8">
      <w:pPr>
        <w:jc w:val="both"/>
        <w:rPr>
          <w:sz w:val="22"/>
          <w:szCs w:val="22"/>
        </w:rPr>
      </w:pPr>
      <w:r>
        <w:rPr>
          <w:sz w:val="22"/>
          <w:szCs w:val="22"/>
        </w:rPr>
        <w:t>-En cuanto al repliegue de materiales tras los escrutinios en las mesas, la Misión constató que la cadena de custodia fue frágil</w:t>
      </w:r>
      <w:r>
        <w:t xml:space="preserve"> </w:t>
      </w:r>
      <w:r>
        <w:rPr>
          <w:sz w:val="22"/>
          <w:szCs w:val="22"/>
        </w:rPr>
        <w:t>dado que los traslados se hicieron de manera heterogénea y sin las medidas de seguridad correspondientes. Se recomienda definir operativos y rutas de seguridad para el repliegue de todo el material electoral a los TED, con acompañamiento permanente de las fuerzas de seguridad.</w:t>
      </w:r>
    </w:p>
    <w:p w14:paraId="6E6B8D5B" w14:textId="77777777" w:rsidR="00AB58B8" w:rsidRDefault="00AB58B8" w:rsidP="00AB58B8">
      <w:pPr>
        <w:jc w:val="both"/>
        <w:rPr>
          <w:sz w:val="22"/>
          <w:szCs w:val="22"/>
        </w:rPr>
      </w:pPr>
    </w:p>
    <w:p w14:paraId="6E6B8D5C" w14:textId="77777777" w:rsidR="00AB58B8" w:rsidRDefault="00AB58B8" w:rsidP="00AB58B8">
      <w:pPr>
        <w:jc w:val="both"/>
        <w:rPr>
          <w:sz w:val="22"/>
          <w:szCs w:val="22"/>
        </w:rPr>
      </w:pPr>
      <w:r>
        <w:rPr>
          <w:sz w:val="22"/>
          <w:szCs w:val="22"/>
        </w:rPr>
        <w:t>- De acuerdo con la información recibida, a tres días de la elección se había logrado capacitar únicamente a 117.932 jurados, es decir, a un 59.4% del total.</w:t>
      </w:r>
      <w:r>
        <w:t xml:space="preserve"> </w:t>
      </w:r>
      <w:r>
        <w:rPr>
          <w:sz w:val="22"/>
          <w:szCs w:val="22"/>
        </w:rPr>
        <w:t>Frente a los altos niveles de ausentismo, se recomienda que las jornadas de capacitación sean realizadas en etapas y con la antelación necesaria para monitorear el alcance de las mismas.</w:t>
      </w:r>
      <w:r>
        <w:t xml:space="preserve"> </w:t>
      </w:r>
      <w:r>
        <w:rPr>
          <w:sz w:val="22"/>
          <w:szCs w:val="22"/>
        </w:rPr>
        <w:t>Esto permitirá focalizar el esfuerzo en las localidades o centros más críticos. Se sugiere, además, considerar la posibilidad de ofrecer incentivos a los jurados que participen de las capacitaciones.</w:t>
      </w:r>
    </w:p>
    <w:p w14:paraId="6E6B8D5D" w14:textId="77777777" w:rsidR="00AB58B8" w:rsidRDefault="00AB58B8" w:rsidP="00AB58B8">
      <w:pPr>
        <w:jc w:val="both"/>
        <w:rPr>
          <w:sz w:val="22"/>
          <w:szCs w:val="22"/>
        </w:rPr>
      </w:pPr>
    </w:p>
    <w:p w14:paraId="6E6B8D5E" w14:textId="77777777" w:rsidR="00AB58B8" w:rsidRDefault="00AB58B8" w:rsidP="00AB58B8">
      <w:pPr>
        <w:jc w:val="both"/>
        <w:rPr>
          <w:sz w:val="22"/>
          <w:szCs w:val="22"/>
        </w:rPr>
      </w:pPr>
      <w:r>
        <w:rPr>
          <w:sz w:val="22"/>
          <w:szCs w:val="22"/>
        </w:rPr>
        <w:t>-La Misión observó que, en algunas zonas, la información ingresó al sistema de monitoreo electoral con retraso debido a que los notarios no estaban bien capacitados en el uso de la correspondiente aplicación. La Misión recomienda redoblar los esfuerzos de capacitación, enfatizando la importancia de un reporte continuo y oportuno de información.</w:t>
      </w:r>
    </w:p>
    <w:p w14:paraId="6E6B8D5F" w14:textId="77777777" w:rsidR="00AB58B8" w:rsidRDefault="00AB58B8" w:rsidP="00AB58B8">
      <w:pPr>
        <w:jc w:val="both"/>
        <w:rPr>
          <w:sz w:val="22"/>
          <w:szCs w:val="22"/>
        </w:rPr>
      </w:pPr>
    </w:p>
    <w:p w14:paraId="6E6B8D60" w14:textId="77777777" w:rsidR="00AB58B8" w:rsidRDefault="00AB58B8" w:rsidP="00AB58B8">
      <w:pPr>
        <w:jc w:val="both"/>
        <w:rPr>
          <w:sz w:val="22"/>
          <w:szCs w:val="22"/>
        </w:rPr>
      </w:pPr>
      <w:r>
        <w:rPr>
          <w:sz w:val="22"/>
          <w:szCs w:val="22"/>
        </w:rPr>
        <w:t>-</w:t>
      </w:r>
      <w:r>
        <w:t xml:space="preserve"> </w:t>
      </w:r>
      <w:r>
        <w:rPr>
          <w:sz w:val="22"/>
          <w:szCs w:val="22"/>
        </w:rPr>
        <w:t>La Misión observó que la falta de una regulación clara sobre el procedimiento de acreditación de los delegados partidarios, y sobre las funciones de los mismos provocó confusión entre algunas fuerzas políticas. Se recomienda emitir, con la debida anticipación, lineamientos o reglamentos específicos sobre esta materia para facilitar la plena participación de los delegados de las organizaciones políticas en las mesas de sufragio durante la jornada electoral y en las diferentes fases del proceso de organización de los comicios.</w:t>
      </w:r>
    </w:p>
    <w:p w14:paraId="6E6B8D61" w14:textId="77777777" w:rsidR="00AB58B8" w:rsidRDefault="00AB58B8" w:rsidP="00AB58B8">
      <w:pPr>
        <w:jc w:val="both"/>
        <w:rPr>
          <w:sz w:val="22"/>
          <w:szCs w:val="22"/>
        </w:rPr>
      </w:pPr>
    </w:p>
    <w:p w14:paraId="6E6B8D62" w14:textId="77777777" w:rsidR="00AB58B8" w:rsidRDefault="00AB58B8" w:rsidP="00AB58B8">
      <w:pPr>
        <w:jc w:val="both"/>
        <w:rPr>
          <w:sz w:val="22"/>
          <w:szCs w:val="22"/>
        </w:rPr>
      </w:pPr>
    </w:p>
    <w:p w14:paraId="6E6B8D63" w14:textId="77777777" w:rsidR="00D86522" w:rsidRDefault="00D86522"/>
    <w:sectPr w:rsidR="00D865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6B8D74" w14:textId="77777777" w:rsidR="00AB58B8" w:rsidRDefault="00AB58B8" w:rsidP="00AB58B8">
      <w:r>
        <w:separator/>
      </w:r>
    </w:p>
  </w:endnote>
  <w:endnote w:type="continuationSeparator" w:id="0">
    <w:p w14:paraId="6E6B8D75" w14:textId="77777777" w:rsidR="00AB58B8" w:rsidRDefault="00AB58B8" w:rsidP="00AB5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6B8D72" w14:textId="77777777" w:rsidR="00AB58B8" w:rsidRDefault="00AB58B8" w:rsidP="00AB58B8">
      <w:r>
        <w:separator/>
      </w:r>
    </w:p>
  </w:footnote>
  <w:footnote w:type="continuationSeparator" w:id="0">
    <w:p w14:paraId="6E6B8D73" w14:textId="77777777" w:rsidR="00AB58B8" w:rsidRDefault="00AB58B8" w:rsidP="00AB58B8">
      <w:r>
        <w:continuationSeparator/>
      </w:r>
    </w:p>
  </w:footnote>
  <w:footnote w:id="1">
    <w:p w14:paraId="6E6B8D76" w14:textId="77777777" w:rsidR="00AB58B8" w:rsidRDefault="00AB58B8" w:rsidP="00AB58B8">
      <w:pPr>
        <w:pStyle w:val="FootnoteText"/>
        <w:rPr>
          <w:lang w:val="es-ES"/>
        </w:rPr>
      </w:pPr>
      <w:r>
        <w:rPr>
          <w:rStyle w:val="FootnoteReference"/>
        </w:rPr>
        <w:footnoteRef/>
      </w:r>
      <w:r>
        <w:t xml:space="preserve"> </w:t>
      </w:r>
      <w:r>
        <w:rPr>
          <w:lang w:val="es-ES"/>
        </w:rPr>
        <w:t xml:space="preserve">Las circunscripciones especiales corresponden a las naciones o pueblos IOC minoritarios. </w:t>
      </w:r>
    </w:p>
  </w:footnote>
  <w:footnote w:id="2">
    <w:p w14:paraId="6E6B8D77" w14:textId="77777777" w:rsidR="00AB58B8" w:rsidRDefault="00AB58B8" w:rsidP="00AB58B8">
      <w:pPr>
        <w:pStyle w:val="FootnoteText"/>
      </w:pPr>
      <w:r>
        <w:rPr>
          <w:rStyle w:val="FootnoteReference"/>
        </w:rPr>
        <w:footnoteRef/>
      </w:r>
      <w:r>
        <w:t xml:space="preserve"> Ver artículo 59 de la ley 026</w:t>
      </w:r>
    </w:p>
  </w:footnote>
  <w:footnote w:id="3">
    <w:p w14:paraId="6E6B8D78" w14:textId="77777777" w:rsidR="00AB58B8" w:rsidRDefault="00AB58B8" w:rsidP="00AB58B8">
      <w:pPr>
        <w:pStyle w:val="FootnoteText"/>
        <w:rPr>
          <w:lang w:val="es-US"/>
        </w:rPr>
      </w:pPr>
      <w:r>
        <w:rPr>
          <w:rStyle w:val="FootnoteReference"/>
        </w:rPr>
        <w:footnoteRef/>
      </w:r>
      <w:r>
        <w:t xml:space="preserve"> </w:t>
      </w:r>
      <w:r>
        <w:rPr>
          <w:lang w:val="es-US"/>
        </w:rPr>
        <w:t>Ley de elección directa de representantes ante organismos parlamentarios supraestatales.</w:t>
      </w:r>
    </w:p>
  </w:footnote>
  <w:footnote w:id="4">
    <w:p w14:paraId="6E6B8D79" w14:textId="77777777" w:rsidR="00AB58B8" w:rsidRDefault="00AB58B8" w:rsidP="00AB58B8">
      <w:pPr>
        <w:pStyle w:val="FootnoteText"/>
        <w:rPr>
          <w:lang w:val="es-ES"/>
        </w:rPr>
      </w:pPr>
      <w:r>
        <w:rPr>
          <w:rStyle w:val="FootnoteReference"/>
        </w:rPr>
        <w:footnoteRef/>
      </w:r>
      <w:r>
        <w:t xml:space="preserve"> Arts. 2, Ley N. 018 del Órgano Electoral.</w:t>
      </w:r>
    </w:p>
  </w:footnote>
  <w:footnote w:id="5">
    <w:p w14:paraId="6E6B8D7A" w14:textId="77777777" w:rsidR="00AB58B8" w:rsidRDefault="00AB58B8" w:rsidP="00AB58B8">
      <w:pPr>
        <w:pStyle w:val="FootnoteText"/>
        <w:rPr>
          <w:lang w:val="es-ES"/>
        </w:rPr>
      </w:pPr>
      <w:r>
        <w:rPr>
          <w:rStyle w:val="FootnoteReference"/>
        </w:rPr>
        <w:footnoteRef/>
      </w:r>
      <w:r>
        <w:t xml:space="preserve"> Art. 11 y 17, Ley N. 018.</w:t>
      </w:r>
    </w:p>
  </w:footnote>
  <w:footnote w:id="6">
    <w:p w14:paraId="6E6B8D7B" w14:textId="77777777" w:rsidR="00AB58B8" w:rsidRDefault="00AB58B8" w:rsidP="00AB58B8">
      <w:pPr>
        <w:pStyle w:val="FootnoteText"/>
        <w:rPr>
          <w:lang w:val="es-ES"/>
        </w:rPr>
      </w:pPr>
      <w:r>
        <w:rPr>
          <w:rStyle w:val="FootnoteReference"/>
        </w:rPr>
        <w:footnoteRef/>
      </w:r>
      <w:r>
        <w:t xml:space="preserve"> Constitución Política Plurinacional de Bolivia, Artículo</w:t>
      </w:r>
      <w:r>
        <w:rPr>
          <w:lang w:val="es-ES"/>
        </w:rPr>
        <w:t xml:space="preserve"> 6.</w:t>
      </w:r>
    </w:p>
  </w:footnote>
  <w:footnote w:id="7">
    <w:p w14:paraId="6E6B8D7C" w14:textId="77777777" w:rsidR="00AB58B8" w:rsidRDefault="00AB58B8" w:rsidP="00AB58B8">
      <w:pPr>
        <w:pStyle w:val="FootnoteText"/>
        <w:rPr>
          <w:lang w:val="es-ES"/>
        </w:rPr>
      </w:pPr>
      <w:r>
        <w:rPr>
          <w:rStyle w:val="FootnoteReference"/>
        </w:rPr>
        <w:footnoteRef/>
      </w:r>
      <w:r>
        <w:t xml:space="preserve"> </w:t>
      </w:r>
      <w:r>
        <w:rPr>
          <w:lang w:val="es-ES"/>
        </w:rPr>
        <w:t>Desde la convocatoria del proceso hasta la Jornada Electoral.</w:t>
      </w:r>
    </w:p>
  </w:footnote>
  <w:footnote w:id="8">
    <w:p w14:paraId="6E6B8D7D" w14:textId="77777777" w:rsidR="00AB58B8" w:rsidRDefault="00AB58B8" w:rsidP="00AB58B8">
      <w:pPr>
        <w:pStyle w:val="FootnoteText"/>
        <w:rPr>
          <w:lang w:val="es-US"/>
        </w:rPr>
      </w:pPr>
      <w:r>
        <w:rPr>
          <w:rStyle w:val="FootnoteReference"/>
        </w:rPr>
        <w:footnoteRef/>
      </w:r>
      <w:r>
        <w:t xml:space="preserve"> El jurado se constituye por tres titulares y tres suplentes registrados como electores en la mesa de sufragio.  </w:t>
      </w:r>
    </w:p>
  </w:footnote>
  <w:footnote w:id="9">
    <w:p w14:paraId="6E6B8D7E" w14:textId="77777777" w:rsidR="00AB58B8" w:rsidRDefault="00AB58B8" w:rsidP="00AB58B8">
      <w:pPr>
        <w:pStyle w:val="FootnoteText"/>
        <w:rPr>
          <w:lang w:val="es-ES"/>
        </w:rPr>
      </w:pPr>
      <w:r>
        <w:rPr>
          <w:rStyle w:val="FootnoteReference"/>
        </w:rPr>
        <w:footnoteRef/>
      </w:r>
      <w:r>
        <w:t xml:space="preserve"> </w:t>
      </w:r>
      <w:r>
        <w:rPr>
          <w:lang w:val="es-ES"/>
        </w:rPr>
        <w:t>Art. 60, Ley 018.</w:t>
      </w:r>
    </w:p>
  </w:footnote>
  <w:footnote w:id="10">
    <w:p w14:paraId="6E6B8D7F" w14:textId="77777777" w:rsidR="00AB58B8" w:rsidRDefault="00AB58B8" w:rsidP="00AB58B8">
      <w:pPr>
        <w:pStyle w:val="FootnoteText"/>
        <w:rPr>
          <w:lang w:val="es-AR"/>
        </w:rPr>
      </w:pPr>
      <w:r>
        <w:rPr>
          <w:rStyle w:val="FootnoteReference"/>
        </w:rPr>
        <w:footnoteRef/>
      </w:r>
      <w:r>
        <w:rPr>
          <w:lang w:val="es-AR"/>
        </w:rPr>
        <w:t xml:space="preserve"> Disponible en: </w:t>
      </w:r>
      <w:hyperlink r:id="rId1" w:history="1">
        <w:r>
          <w:rPr>
            <w:rStyle w:val="Hyperlink"/>
            <w:lang w:val="es-AR"/>
          </w:rPr>
          <w:t>https://www.eldeber.com.bo/bolivia/Esta-es-la-carta-de-renuncia-presentada-por-Katia-Uriona-20181022-9463.html</w:t>
        </w:r>
      </w:hyperlink>
      <w:r>
        <w:rPr>
          <w:lang w:val="es-AR"/>
        </w:rPr>
        <w:t xml:space="preserve"> </w:t>
      </w:r>
    </w:p>
  </w:footnote>
  <w:footnote w:id="11">
    <w:p w14:paraId="6E6B8D80" w14:textId="77777777" w:rsidR="00AB58B8" w:rsidRDefault="00AB58B8" w:rsidP="00AB58B8">
      <w:pPr>
        <w:pStyle w:val="FootnoteText"/>
        <w:rPr>
          <w:lang w:val="es-BO"/>
        </w:rPr>
      </w:pPr>
      <w:r>
        <w:rPr>
          <w:rStyle w:val="FootnoteReference"/>
        </w:rPr>
        <w:footnoteRef/>
      </w:r>
      <w:r>
        <w:t xml:space="preserve"> </w:t>
      </w:r>
      <w:r>
        <w:rPr>
          <w:lang w:val="es-BO"/>
        </w:rPr>
        <w:t xml:space="preserve">Comunicado de prensa. Misión de Observación Electoral de la OEA para las elecciones generales de Bolivia 2014. Disponible en: </w:t>
      </w:r>
      <w:hyperlink r:id="rId2" w:history="1">
        <w:r>
          <w:rPr>
            <w:rStyle w:val="Hyperlink"/>
            <w:lang w:val="es-BO"/>
          </w:rPr>
          <w:t>https://www.oas.org/eomdatabase/GetFileA.aspx?id=168-1112-36-0</w:t>
        </w:r>
      </w:hyperlink>
      <w:r>
        <w:rPr>
          <w:lang w:val="es-BO"/>
        </w:rPr>
        <w:t xml:space="preserve"> </w:t>
      </w:r>
    </w:p>
  </w:footnote>
  <w:footnote w:id="12">
    <w:p w14:paraId="6E6B8D81" w14:textId="77777777" w:rsidR="00AB58B8" w:rsidRDefault="00AB58B8" w:rsidP="00AB58B8">
      <w:pPr>
        <w:pStyle w:val="FootnoteText"/>
        <w:rPr>
          <w:lang w:val="en-US"/>
        </w:rPr>
      </w:pPr>
      <w:r>
        <w:rPr>
          <w:rStyle w:val="FootnoteReference"/>
        </w:rPr>
        <w:footnoteRef/>
      </w:r>
      <w:r>
        <w:rPr>
          <w:lang w:val="en-US"/>
        </w:rPr>
        <w:t xml:space="preserve"> Art. 97, Ley 026.</w:t>
      </w:r>
    </w:p>
  </w:footnote>
  <w:footnote w:id="13">
    <w:p w14:paraId="6E6B8D82" w14:textId="77777777" w:rsidR="00AB58B8" w:rsidRDefault="00AB58B8" w:rsidP="00AB58B8">
      <w:pPr>
        <w:pStyle w:val="FootnoteText"/>
        <w:rPr>
          <w:lang w:val="en-US"/>
        </w:rPr>
      </w:pPr>
      <w:r>
        <w:rPr>
          <w:rStyle w:val="FootnoteReference"/>
        </w:rPr>
        <w:footnoteRef/>
      </w:r>
      <w:r>
        <w:rPr>
          <w:lang w:val="en-US"/>
        </w:rPr>
        <w:t xml:space="preserve"> Art. 24, Reglamento del material electoral.</w:t>
      </w:r>
    </w:p>
  </w:footnote>
  <w:footnote w:id="14">
    <w:p w14:paraId="6E6B8D83" w14:textId="77777777" w:rsidR="00AB58B8" w:rsidRDefault="00AB58B8" w:rsidP="00AB58B8">
      <w:pPr>
        <w:pStyle w:val="FootnoteText"/>
        <w:rPr>
          <w:lang w:val="en-US"/>
        </w:rPr>
      </w:pPr>
      <w:r>
        <w:rPr>
          <w:rStyle w:val="FootnoteReference"/>
        </w:rPr>
        <w:footnoteRef/>
      </w:r>
      <w:r>
        <w:rPr>
          <w:lang w:val="en-US"/>
        </w:rPr>
        <w:t xml:space="preserve"> Art. 98, Ley 026.</w:t>
      </w:r>
    </w:p>
  </w:footnote>
  <w:footnote w:id="15">
    <w:p w14:paraId="6E6B8D84" w14:textId="77777777" w:rsidR="00AB58B8" w:rsidRDefault="00AB58B8" w:rsidP="00AB58B8">
      <w:pPr>
        <w:pStyle w:val="FootnoteText"/>
        <w:rPr>
          <w:lang w:val="en-US"/>
        </w:rPr>
      </w:pPr>
      <w:r>
        <w:rPr>
          <w:rStyle w:val="FootnoteReference"/>
        </w:rPr>
        <w:footnoteRef/>
      </w:r>
      <w:r>
        <w:rPr>
          <w:lang w:val="en-US"/>
        </w:rPr>
        <w:t xml:space="preserve"> Art. 99, Ley 026.</w:t>
      </w:r>
    </w:p>
  </w:footnote>
  <w:footnote w:id="16">
    <w:p w14:paraId="6E6B8D85" w14:textId="77777777" w:rsidR="00AB58B8" w:rsidRDefault="00AB58B8" w:rsidP="00AB58B8">
      <w:pPr>
        <w:pStyle w:val="FootnoteText"/>
        <w:jc w:val="both"/>
        <w:rPr>
          <w:sz w:val="18"/>
          <w:szCs w:val="18"/>
          <w:lang w:val="es-MX"/>
        </w:rPr>
      </w:pPr>
      <w:r>
        <w:rPr>
          <w:rStyle w:val="FootnoteReference"/>
          <w:sz w:val="18"/>
          <w:szCs w:val="18"/>
        </w:rPr>
        <w:footnoteRef/>
      </w:r>
      <w:r>
        <w:rPr>
          <w:sz w:val="18"/>
          <w:szCs w:val="18"/>
          <w:lang w:val="en-US"/>
        </w:rPr>
        <w:t xml:space="preserve"> Art. 77, Ley 018. </w:t>
      </w:r>
      <w:r>
        <w:rPr>
          <w:sz w:val="18"/>
          <w:szCs w:val="18"/>
          <w:lang w:val="es-BO"/>
        </w:rPr>
        <w:t>Serán Inhabilitados las personas que no hayan emitido su voto de forma consecutiva, en dos procesos electorales, referendos o revocatorias de mandato o no hayan cumplido su obligación de ser jurados electorales.</w:t>
      </w:r>
    </w:p>
    <w:p w14:paraId="6E6B8D86" w14:textId="77777777" w:rsidR="00AB58B8" w:rsidRDefault="00AB58B8" w:rsidP="00AB58B8">
      <w:pPr>
        <w:pStyle w:val="FootnoteText"/>
        <w:rPr>
          <w:lang w:val="es-ES"/>
        </w:rPr>
      </w:pPr>
    </w:p>
  </w:footnote>
  <w:footnote w:id="17">
    <w:p w14:paraId="6E6B8D87" w14:textId="77777777" w:rsidR="00AB58B8" w:rsidRDefault="00AB58B8" w:rsidP="00AB58B8">
      <w:pPr>
        <w:pStyle w:val="FootnoteText"/>
        <w:rPr>
          <w:lang w:val="es-US"/>
        </w:rPr>
      </w:pPr>
      <w:r>
        <w:rPr>
          <w:rStyle w:val="FootnoteReference"/>
        </w:rPr>
        <w:footnoteRef/>
      </w:r>
      <w:r>
        <w:rPr>
          <w:lang w:val="es-US"/>
        </w:rPr>
        <w:t xml:space="preserve"> Art. 151, Ley 026.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92DE5"/>
    <w:multiLevelType w:val="hybridMultilevel"/>
    <w:tmpl w:val="E2EE50FC"/>
    <w:lvl w:ilvl="0" w:tplc="72C21C6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2086CFD"/>
    <w:multiLevelType w:val="hybridMultilevel"/>
    <w:tmpl w:val="C99ABD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702A446C"/>
    <w:multiLevelType w:val="hybridMultilevel"/>
    <w:tmpl w:val="A95A7148"/>
    <w:lvl w:ilvl="0" w:tplc="66228270">
      <w:start w:val="6"/>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FC3"/>
    <w:rsid w:val="007E3FC3"/>
    <w:rsid w:val="00AB58B8"/>
    <w:rsid w:val="00D86522"/>
    <w:rsid w:val="00DA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B8"/>
    <w:pPr>
      <w:spacing w:after="0" w:line="240" w:lineRule="auto"/>
    </w:pPr>
    <w:rPr>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58B8"/>
    <w:rPr>
      <w:color w:val="0563C1" w:themeColor="hyperlink"/>
      <w:u w:val="single"/>
    </w:rPr>
  </w:style>
  <w:style w:type="character" w:styleId="FollowedHyperlink">
    <w:name w:val="FollowedHyperlink"/>
    <w:basedOn w:val="DefaultParagraphFont"/>
    <w:uiPriority w:val="99"/>
    <w:semiHidden/>
    <w:unhideWhenUsed/>
    <w:rsid w:val="00AB58B8"/>
    <w:rPr>
      <w:color w:val="954F72" w:themeColor="followedHyperlink"/>
      <w:u w:val="single"/>
    </w:rPr>
  </w:style>
  <w:style w:type="paragraph" w:customStyle="1" w:styleId="msonormal0">
    <w:name w:val="msonormal"/>
    <w:basedOn w:val="Normal"/>
    <w:uiPriority w:val="99"/>
    <w:rsid w:val="00AB58B8"/>
    <w:pPr>
      <w:spacing w:before="100" w:beforeAutospacing="1" w:after="100" w:afterAutospacing="1"/>
    </w:pPr>
    <w:rPr>
      <w:rFonts w:ascii="Times New Roman" w:eastAsia="Times New Roman" w:hAnsi="Times New Roman" w:cs="Times New Roman"/>
      <w:lang w:val="es-MX" w:eastAsia="es-MX"/>
    </w:rPr>
  </w:style>
  <w:style w:type="paragraph" w:styleId="NormalWeb">
    <w:name w:val="Normal (Web)"/>
    <w:basedOn w:val="Normal"/>
    <w:uiPriority w:val="99"/>
    <w:semiHidden/>
    <w:unhideWhenUsed/>
    <w:rsid w:val="00AB58B8"/>
    <w:pPr>
      <w:spacing w:before="100" w:beforeAutospacing="1" w:after="100" w:afterAutospacing="1"/>
    </w:pPr>
    <w:rPr>
      <w:rFonts w:ascii="Times New Roman" w:eastAsia="Times New Roman" w:hAnsi="Times New Roman" w:cs="Times New Roman"/>
      <w:lang w:val="es-MX" w:eastAsia="es-MX"/>
    </w:rPr>
  </w:style>
  <w:style w:type="paragraph" w:styleId="FootnoteText">
    <w:name w:val="footnote text"/>
    <w:basedOn w:val="Normal"/>
    <w:link w:val="FootnoteTextChar"/>
    <w:uiPriority w:val="99"/>
    <w:semiHidden/>
    <w:unhideWhenUsed/>
    <w:rsid w:val="00AB58B8"/>
    <w:rPr>
      <w:sz w:val="20"/>
      <w:szCs w:val="20"/>
    </w:rPr>
  </w:style>
  <w:style w:type="character" w:customStyle="1" w:styleId="FootnoteTextChar">
    <w:name w:val="Footnote Text Char"/>
    <w:basedOn w:val="DefaultParagraphFont"/>
    <w:link w:val="FootnoteText"/>
    <w:uiPriority w:val="99"/>
    <w:semiHidden/>
    <w:rsid w:val="00AB58B8"/>
    <w:rPr>
      <w:sz w:val="20"/>
      <w:szCs w:val="20"/>
      <w:lang w:val="es-ES_tradnl"/>
    </w:rPr>
  </w:style>
  <w:style w:type="paragraph" w:styleId="CommentText">
    <w:name w:val="annotation text"/>
    <w:basedOn w:val="Normal"/>
    <w:link w:val="CommentTextChar"/>
    <w:uiPriority w:val="99"/>
    <w:semiHidden/>
    <w:unhideWhenUsed/>
    <w:rsid w:val="00AB58B8"/>
    <w:rPr>
      <w:sz w:val="20"/>
      <w:szCs w:val="20"/>
    </w:rPr>
  </w:style>
  <w:style w:type="character" w:customStyle="1" w:styleId="CommentTextChar">
    <w:name w:val="Comment Text Char"/>
    <w:basedOn w:val="DefaultParagraphFont"/>
    <w:link w:val="CommentText"/>
    <w:uiPriority w:val="99"/>
    <w:semiHidden/>
    <w:rsid w:val="00AB58B8"/>
    <w:rPr>
      <w:sz w:val="20"/>
      <w:szCs w:val="20"/>
      <w:lang w:val="es-ES_tradnl"/>
    </w:rPr>
  </w:style>
  <w:style w:type="paragraph" w:styleId="Header">
    <w:name w:val="header"/>
    <w:basedOn w:val="Normal"/>
    <w:link w:val="HeaderChar"/>
    <w:uiPriority w:val="99"/>
    <w:semiHidden/>
    <w:unhideWhenUsed/>
    <w:rsid w:val="00AB58B8"/>
    <w:pPr>
      <w:tabs>
        <w:tab w:val="center" w:pos="4419"/>
        <w:tab w:val="right" w:pos="8838"/>
      </w:tabs>
    </w:pPr>
  </w:style>
  <w:style w:type="character" w:customStyle="1" w:styleId="HeaderChar">
    <w:name w:val="Header Char"/>
    <w:basedOn w:val="DefaultParagraphFont"/>
    <w:link w:val="Header"/>
    <w:uiPriority w:val="99"/>
    <w:semiHidden/>
    <w:rsid w:val="00AB58B8"/>
    <w:rPr>
      <w:sz w:val="24"/>
      <w:szCs w:val="24"/>
      <w:lang w:val="es-ES_tradnl"/>
    </w:rPr>
  </w:style>
  <w:style w:type="paragraph" w:styleId="Footer">
    <w:name w:val="footer"/>
    <w:basedOn w:val="Normal"/>
    <w:link w:val="FooterChar"/>
    <w:uiPriority w:val="99"/>
    <w:semiHidden/>
    <w:unhideWhenUsed/>
    <w:rsid w:val="00AB58B8"/>
    <w:pPr>
      <w:tabs>
        <w:tab w:val="center" w:pos="4419"/>
        <w:tab w:val="right" w:pos="8838"/>
      </w:tabs>
    </w:pPr>
  </w:style>
  <w:style w:type="character" w:customStyle="1" w:styleId="FooterChar">
    <w:name w:val="Footer Char"/>
    <w:basedOn w:val="DefaultParagraphFont"/>
    <w:link w:val="Footer"/>
    <w:uiPriority w:val="99"/>
    <w:semiHidden/>
    <w:rsid w:val="00AB58B8"/>
    <w:rPr>
      <w:sz w:val="24"/>
      <w:szCs w:val="24"/>
      <w:lang w:val="es-ES_tradnl"/>
    </w:rPr>
  </w:style>
  <w:style w:type="paragraph" w:styleId="EndnoteText">
    <w:name w:val="endnote text"/>
    <w:basedOn w:val="Normal"/>
    <w:link w:val="EndnoteTextChar"/>
    <w:uiPriority w:val="99"/>
    <w:semiHidden/>
    <w:unhideWhenUsed/>
    <w:rsid w:val="00AB58B8"/>
    <w:rPr>
      <w:sz w:val="20"/>
      <w:szCs w:val="20"/>
    </w:rPr>
  </w:style>
  <w:style w:type="character" w:customStyle="1" w:styleId="EndnoteTextChar">
    <w:name w:val="Endnote Text Char"/>
    <w:basedOn w:val="DefaultParagraphFont"/>
    <w:link w:val="EndnoteText"/>
    <w:uiPriority w:val="99"/>
    <w:semiHidden/>
    <w:rsid w:val="00AB58B8"/>
    <w:rPr>
      <w:sz w:val="20"/>
      <w:szCs w:val="20"/>
      <w:lang w:val="es-ES_tradnl"/>
    </w:rPr>
  </w:style>
  <w:style w:type="paragraph" w:styleId="CommentSubject">
    <w:name w:val="annotation subject"/>
    <w:basedOn w:val="CommentText"/>
    <w:next w:val="CommentText"/>
    <w:link w:val="CommentSubjectChar"/>
    <w:uiPriority w:val="99"/>
    <w:semiHidden/>
    <w:unhideWhenUsed/>
    <w:rsid w:val="00AB58B8"/>
    <w:rPr>
      <w:b/>
      <w:bCs/>
    </w:rPr>
  </w:style>
  <w:style w:type="character" w:customStyle="1" w:styleId="CommentSubjectChar">
    <w:name w:val="Comment Subject Char"/>
    <w:basedOn w:val="CommentTextChar"/>
    <w:link w:val="CommentSubject"/>
    <w:uiPriority w:val="99"/>
    <w:semiHidden/>
    <w:rsid w:val="00AB58B8"/>
    <w:rPr>
      <w:b/>
      <w:bCs/>
      <w:sz w:val="20"/>
      <w:szCs w:val="20"/>
      <w:lang w:val="es-ES_tradnl"/>
    </w:rPr>
  </w:style>
  <w:style w:type="paragraph" w:styleId="BalloonText">
    <w:name w:val="Balloon Text"/>
    <w:basedOn w:val="Normal"/>
    <w:link w:val="BalloonTextChar"/>
    <w:uiPriority w:val="99"/>
    <w:semiHidden/>
    <w:unhideWhenUsed/>
    <w:rsid w:val="00AB58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8B8"/>
    <w:rPr>
      <w:rFonts w:ascii="Segoe UI" w:hAnsi="Segoe UI" w:cs="Segoe UI"/>
      <w:sz w:val="18"/>
      <w:szCs w:val="18"/>
      <w:lang w:val="es-ES_tradnl"/>
    </w:rPr>
  </w:style>
  <w:style w:type="paragraph" w:styleId="ListParagraph">
    <w:name w:val="List Paragraph"/>
    <w:basedOn w:val="Normal"/>
    <w:uiPriority w:val="34"/>
    <w:qFormat/>
    <w:rsid w:val="00AB58B8"/>
    <w:pPr>
      <w:ind w:left="720"/>
      <w:contextualSpacing/>
    </w:pPr>
  </w:style>
  <w:style w:type="paragraph" w:customStyle="1" w:styleId="Default">
    <w:name w:val="Default"/>
    <w:uiPriority w:val="99"/>
    <w:rsid w:val="00AB58B8"/>
    <w:pPr>
      <w:autoSpaceDE w:val="0"/>
      <w:autoSpaceDN w:val="0"/>
      <w:adjustRightInd w:val="0"/>
      <w:spacing w:after="0" w:line="240" w:lineRule="auto"/>
    </w:pPr>
    <w:rPr>
      <w:rFonts w:ascii="Calibri" w:hAnsi="Calibri" w:cs="Calibri"/>
      <w:color w:val="000000"/>
      <w:sz w:val="24"/>
      <w:szCs w:val="24"/>
      <w:lang w:val="es-MX"/>
    </w:rPr>
  </w:style>
  <w:style w:type="paragraph" w:customStyle="1" w:styleId="mce">
    <w:name w:val="mce"/>
    <w:basedOn w:val="Normal"/>
    <w:uiPriority w:val="99"/>
    <w:rsid w:val="00AB58B8"/>
    <w:pPr>
      <w:spacing w:before="100" w:beforeAutospacing="1" w:after="100" w:afterAutospacing="1"/>
    </w:pPr>
    <w:rPr>
      <w:rFonts w:ascii="Times New Roman" w:eastAsia="Times New Roman" w:hAnsi="Times New Roman" w:cs="Times New Roman"/>
      <w:lang w:val="es-MX" w:eastAsia="es-MX"/>
    </w:rPr>
  </w:style>
  <w:style w:type="character" w:styleId="FootnoteReference">
    <w:name w:val="footnote reference"/>
    <w:basedOn w:val="DefaultParagraphFont"/>
    <w:uiPriority w:val="99"/>
    <w:semiHidden/>
    <w:unhideWhenUsed/>
    <w:rsid w:val="00AB58B8"/>
    <w:rPr>
      <w:vertAlign w:val="superscript"/>
    </w:rPr>
  </w:style>
  <w:style w:type="character" w:styleId="CommentReference">
    <w:name w:val="annotation reference"/>
    <w:basedOn w:val="DefaultParagraphFont"/>
    <w:uiPriority w:val="99"/>
    <w:semiHidden/>
    <w:unhideWhenUsed/>
    <w:rsid w:val="00AB58B8"/>
    <w:rPr>
      <w:sz w:val="16"/>
      <w:szCs w:val="16"/>
    </w:rPr>
  </w:style>
  <w:style w:type="character" w:styleId="EndnoteReference">
    <w:name w:val="endnote reference"/>
    <w:basedOn w:val="DefaultParagraphFont"/>
    <w:uiPriority w:val="99"/>
    <w:semiHidden/>
    <w:unhideWhenUsed/>
    <w:rsid w:val="00AB58B8"/>
    <w:rPr>
      <w:vertAlign w:val="superscript"/>
    </w:rPr>
  </w:style>
  <w:style w:type="character" w:customStyle="1" w:styleId="UnresolvedMention">
    <w:name w:val="Unresolved Mention"/>
    <w:basedOn w:val="DefaultParagraphFont"/>
    <w:uiPriority w:val="99"/>
    <w:semiHidden/>
    <w:rsid w:val="00AB58B8"/>
    <w:rPr>
      <w:color w:val="605E5C"/>
      <w:shd w:val="clear" w:color="auto" w:fill="E1DFDD"/>
    </w:rPr>
  </w:style>
  <w:style w:type="table" w:styleId="TableGrid">
    <w:name w:val="Table Grid"/>
    <w:basedOn w:val="TableNormal"/>
    <w:uiPriority w:val="39"/>
    <w:rsid w:val="00AB58B8"/>
    <w:pPr>
      <w:spacing w:after="0" w:line="240" w:lineRule="auto"/>
    </w:pPr>
    <w:rPr>
      <w:lang w:val="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B8"/>
    <w:pPr>
      <w:spacing w:after="0" w:line="240" w:lineRule="auto"/>
    </w:pPr>
    <w:rPr>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58B8"/>
    <w:rPr>
      <w:color w:val="0563C1" w:themeColor="hyperlink"/>
      <w:u w:val="single"/>
    </w:rPr>
  </w:style>
  <w:style w:type="character" w:styleId="FollowedHyperlink">
    <w:name w:val="FollowedHyperlink"/>
    <w:basedOn w:val="DefaultParagraphFont"/>
    <w:uiPriority w:val="99"/>
    <w:semiHidden/>
    <w:unhideWhenUsed/>
    <w:rsid w:val="00AB58B8"/>
    <w:rPr>
      <w:color w:val="954F72" w:themeColor="followedHyperlink"/>
      <w:u w:val="single"/>
    </w:rPr>
  </w:style>
  <w:style w:type="paragraph" w:customStyle="1" w:styleId="msonormal0">
    <w:name w:val="msonormal"/>
    <w:basedOn w:val="Normal"/>
    <w:uiPriority w:val="99"/>
    <w:rsid w:val="00AB58B8"/>
    <w:pPr>
      <w:spacing w:before="100" w:beforeAutospacing="1" w:after="100" w:afterAutospacing="1"/>
    </w:pPr>
    <w:rPr>
      <w:rFonts w:ascii="Times New Roman" w:eastAsia="Times New Roman" w:hAnsi="Times New Roman" w:cs="Times New Roman"/>
      <w:lang w:val="es-MX" w:eastAsia="es-MX"/>
    </w:rPr>
  </w:style>
  <w:style w:type="paragraph" w:styleId="NormalWeb">
    <w:name w:val="Normal (Web)"/>
    <w:basedOn w:val="Normal"/>
    <w:uiPriority w:val="99"/>
    <w:semiHidden/>
    <w:unhideWhenUsed/>
    <w:rsid w:val="00AB58B8"/>
    <w:pPr>
      <w:spacing w:before="100" w:beforeAutospacing="1" w:after="100" w:afterAutospacing="1"/>
    </w:pPr>
    <w:rPr>
      <w:rFonts w:ascii="Times New Roman" w:eastAsia="Times New Roman" w:hAnsi="Times New Roman" w:cs="Times New Roman"/>
      <w:lang w:val="es-MX" w:eastAsia="es-MX"/>
    </w:rPr>
  </w:style>
  <w:style w:type="paragraph" w:styleId="FootnoteText">
    <w:name w:val="footnote text"/>
    <w:basedOn w:val="Normal"/>
    <w:link w:val="FootnoteTextChar"/>
    <w:uiPriority w:val="99"/>
    <w:semiHidden/>
    <w:unhideWhenUsed/>
    <w:rsid w:val="00AB58B8"/>
    <w:rPr>
      <w:sz w:val="20"/>
      <w:szCs w:val="20"/>
    </w:rPr>
  </w:style>
  <w:style w:type="character" w:customStyle="1" w:styleId="FootnoteTextChar">
    <w:name w:val="Footnote Text Char"/>
    <w:basedOn w:val="DefaultParagraphFont"/>
    <w:link w:val="FootnoteText"/>
    <w:uiPriority w:val="99"/>
    <w:semiHidden/>
    <w:rsid w:val="00AB58B8"/>
    <w:rPr>
      <w:sz w:val="20"/>
      <w:szCs w:val="20"/>
      <w:lang w:val="es-ES_tradnl"/>
    </w:rPr>
  </w:style>
  <w:style w:type="paragraph" w:styleId="CommentText">
    <w:name w:val="annotation text"/>
    <w:basedOn w:val="Normal"/>
    <w:link w:val="CommentTextChar"/>
    <w:uiPriority w:val="99"/>
    <w:semiHidden/>
    <w:unhideWhenUsed/>
    <w:rsid w:val="00AB58B8"/>
    <w:rPr>
      <w:sz w:val="20"/>
      <w:szCs w:val="20"/>
    </w:rPr>
  </w:style>
  <w:style w:type="character" w:customStyle="1" w:styleId="CommentTextChar">
    <w:name w:val="Comment Text Char"/>
    <w:basedOn w:val="DefaultParagraphFont"/>
    <w:link w:val="CommentText"/>
    <w:uiPriority w:val="99"/>
    <w:semiHidden/>
    <w:rsid w:val="00AB58B8"/>
    <w:rPr>
      <w:sz w:val="20"/>
      <w:szCs w:val="20"/>
      <w:lang w:val="es-ES_tradnl"/>
    </w:rPr>
  </w:style>
  <w:style w:type="paragraph" w:styleId="Header">
    <w:name w:val="header"/>
    <w:basedOn w:val="Normal"/>
    <w:link w:val="HeaderChar"/>
    <w:uiPriority w:val="99"/>
    <w:semiHidden/>
    <w:unhideWhenUsed/>
    <w:rsid w:val="00AB58B8"/>
    <w:pPr>
      <w:tabs>
        <w:tab w:val="center" w:pos="4419"/>
        <w:tab w:val="right" w:pos="8838"/>
      </w:tabs>
    </w:pPr>
  </w:style>
  <w:style w:type="character" w:customStyle="1" w:styleId="HeaderChar">
    <w:name w:val="Header Char"/>
    <w:basedOn w:val="DefaultParagraphFont"/>
    <w:link w:val="Header"/>
    <w:uiPriority w:val="99"/>
    <w:semiHidden/>
    <w:rsid w:val="00AB58B8"/>
    <w:rPr>
      <w:sz w:val="24"/>
      <w:szCs w:val="24"/>
      <w:lang w:val="es-ES_tradnl"/>
    </w:rPr>
  </w:style>
  <w:style w:type="paragraph" w:styleId="Footer">
    <w:name w:val="footer"/>
    <w:basedOn w:val="Normal"/>
    <w:link w:val="FooterChar"/>
    <w:uiPriority w:val="99"/>
    <w:semiHidden/>
    <w:unhideWhenUsed/>
    <w:rsid w:val="00AB58B8"/>
    <w:pPr>
      <w:tabs>
        <w:tab w:val="center" w:pos="4419"/>
        <w:tab w:val="right" w:pos="8838"/>
      </w:tabs>
    </w:pPr>
  </w:style>
  <w:style w:type="character" w:customStyle="1" w:styleId="FooterChar">
    <w:name w:val="Footer Char"/>
    <w:basedOn w:val="DefaultParagraphFont"/>
    <w:link w:val="Footer"/>
    <w:uiPriority w:val="99"/>
    <w:semiHidden/>
    <w:rsid w:val="00AB58B8"/>
    <w:rPr>
      <w:sz w:val="24"/>
      <w:szCs w:val="24"/>
      <w:lang w:val="es-ES_tradnl"/>
    </w:rPr>
  </w:style>
  <w:style w:type="paragraph" w:styleId="EndnoteText">
    <w:name w:val="endnote text"/>
    <w:basedOn w:val="Normal"/>
    <w:link w:val="EndnoteTextChar"/>
    <w:uiPriority w:val="99"/>
    <w:semiHidden/>
    <w:unhideWhenUsed/>
    <w:rsid w:val="00AB58B8"/>
    <w:rPr>
      <w:sz w:val="20"/>
      <w:szCs w:val="20"/>
    </w:rPr>
  </w:style>
  <w:style w:type="character" w:customStyle="1" w:styleId="EndnoteTextChar">
    <w:name w:val="Endnote Text Char"/>
    <w:basedOn w:val="DefaultParagraphFont"/>
    <w:link w:val="EndnoteText"/>
    <w:uiPriority w:val="99"/>
    <w:semiHidden/>
    <w:rsid w:val="00AB58B8"/>
    <w:rPr>
      <w:sz w:val="20"/>
      <w:szCs w:val="20"/>
      <w:lang w:val="es-ES_tradnl"/>
    </w:rPr>
  </w:style>
  <w:style w:type="paragraph" w:styleId="CommentSubject">
    <w:name w:val="annotation subject"/>
    <w:basedOn w:val="CommentText"/>
    <w:next w:val="CommentText"/>
    <w:link w:val="CommentSubjectChar"/>
    <w:uiPriority w:val="99"/>
    <w:semiHidden/>
    <w:unhideWhenUsed/>
    <w:rsid w:val="00AB58B8"/>
    <w:rPr>
      <w:b/>
      <w:bCs/>
    </w:rPr>
  </w:style>
  <w:style w:type="character" w:customStyle="1" w:styleId="CommentSubjectChar">
    <w:name w:val="Comment Subject Char"/>
    <w:basedOn w:val="CommentTextChar"/>
    <w:link w:val="CommentSubject"/>
    <w:uiPriority w:val="99"/>
    <w:semiHidden/>
    <w:rsid w:val="00AB58B8"/>
    <w:rPr>
      <w:b/>
      <w:bCs/>
      <w:sz w:val="20"/>
      <w:szCs w:val="20"/>
      <w:lang w:val="es-ES_tradnl"/>
    </w:rPr>
  </w:style>
  <w:style w:type="paragraph" w:styleId="BalloonText">
    <w:name w:val="Balloon Text"/>
    <w:basedOn w:val="Normal"/>
    <w:link w:val="BalloonTextChar"/>
    <w:uiPriority w:val="99"/>
    <w:semiHidden/>
    <w:unhideWhenUsed/>
    <w:rsid w:val="00AB58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8B8"/>
    <w:rPr>
      <w:rFonts w:ascii="Segoe UI" w:hAnsi="Segoe UI" w:cs="Segoe UI"/>
      <w:sz w:val="18"/>
      <w:szCs w:val="18"/>
      <w:lang w:val="es-ES_tradnl"/>
    </w:rPr>
  </w:style>
  <w:style w:type="paragraph" w:styleId="ListParagraph">
    <w:name w:val="List Paragraph"/>
    <w:basedOn w:val="Normal"/>
    <w:uiPriority w:val="34"/>
    <w:qFormat/>
    <w:rsid w:val="00AB58B8"/>
    <w:pPr>
      <w:ind w:left="720"/>
      <w:contextualSpacing/>
    </w:pPr>
  </w:style>
  <w:style w:type="paragraph" w:customStyle="1" w:styleId="Default">
    <w:name w:val="Default"/>
    <w:uiPriority w:val="99"/>
    <w:rsid w:val="00AB58B8"/>
    <w:pPr>
      <w:autoSpaceDE w:val="0"/>
      <w:autoSpaceDN w:val="0"/>
      <w:adjustRightInd w:val="0"/>
      <w:spacing w:after="0" w:line="240" w:lineRule="auto"/>
    </w:pPr>
    <w:rPr>
      <w:rFonts w:ascii="Calibri" w:hAnsi="Calibri" w:cs="Calibri"/>
      <w:color w:val="000000"/>
      <w:sz w:val="24"/>
      <w:szCs w:val="24"/>
      <w:lang w:val="es-MX"/>
    </w:rPr>
  </w:style>
  <w:style w:type="paragraph" w:customStyle="1" w:styleId="mce">
    <w:name w:val="mce"/>
    <w:basedOn w:val="Normal"/>
    <w:uiPriority w:val="99"/>
    <w:rsid w:val="00AB58B8"/>
    <w:pPr>
      <w:spacing w:before="100" w:beforeAutospacing="1" w:after="100" w:afterAutospacing="1"/>
    </w:pPr>
    <w:rPr>
      <w:rFonts w:ascii="Times New Roman" w:eastAsia="Times New Roman" w:hAnsi="Times New Roman" w:cs="Times New Roman"/>
      <w:lang w:val="es-MX" w:eastAsia="es-MX"/>
    </w:rPr>
  </w:style>
  <w:style w:type="character" w:styleId="FootnoteReference">
    <w:name w:val="footnote reference"/>
    <w:basedOn w:val="DefaultParagraphFont"/>
    <w:uiPriority w:val="99"/>
    <w:semiHidden/>
    <w:unhideWhenUsed/>
    <w:rsid w:val="00AB58B8"/>
    <w:rPr>
      <w:vertAlign w:val="superscript"/>
    </w:rPr>
  </w:style>
  <w:style w:type="character" w:styleId="CommentReference">
    <w:name w:val="annotation reference"/>
    <w:basedOn w:val="DefaultParagraphFont"/>
    <w:uiPriority w:val="99"/>
    <w:semiHidden/>
    <w:unhideWhenUsed/>
    <w:rsid w:val="00AB58B8"/>
    <w:rPr>
      <w:sz w:val="16"/>
      <w:szCs w:val="16"/>
    </w:rPr>
  </w:style>
  <w:style w:type="character" w:styleId="EndnoteReference">
    <w:name w:val="endnote reference"/>
    <w:basedOn w:val="DefaultParagraphFont"/>
    <w:uiPriority w:val="99"/>
    <w:semiHidden/>
    <w:unhideWhenUsed/>
    <w:rsid w:val="00AB58B8"/>
    <w:rPr>
      <w:vertAlign w:val="superscript"/>
    </w:rPr>
  </w:style>
  <w:style w:type="character" w:customStyle="1" w:styleId="UnresolvedMention">
    <w:name w:val="Unresolved Mention"/>
    <w:basedOn w:val="DefaultParagraphFont"/>
    <w:uiPriority w:val="99"/>
    <w:semiHidden/>
    <w:rsid w:val="00AB58B8"/>
    <w:rPr>
      <w:color w:val="605E5C"/>
      <w:shd w:val="clear" w:color="auto" w:fill="E1DFDD"/>
    </w:rPr>
  </w:style>
  <w:style w:type="table" w:styleId="TableGrid">
    <w:name w:val="Table Grid"/>
    <w:basedOn w:val="TableNormal"/>
    <w:uiPriority w:val="39"/>
    <w:rsid w:val="00AB58B8"/>
    <w:pPr>
      <w:spacing w:after="0" w:line="240" w:lineRule="auto"/>
    </w:pPr>
    <w:rPr>
      <w:lang w:val="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56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file:///G:\var\folders\fv\3t5_vfxn0xq946gzpd2876kr0000gn\T\com.microsoft.Word\WebArchiveCopyPasteTempFiles\vocal_iriarte.jpg" TargetMode="Externa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image" Target="https://www.oep.org.bo/wp-content/uploads/2017/01/vocal_choque-225x300.jpg"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file:///G:\var\folders\fv\3t5_vfxn0xq946gzpd2876kr0000gn\T\com.microsoft.Word\WebArchiveCopyPasteTempFiles\vocal_cruz.jpg" TargetMode="External"/><Relationship Id="rId20" Type="http://schemas.openxmlformats.org/officeDocument/2006/relationships/image" Target="file:///G:\var\folders\fv\3t5_vfxn0xq946gzpd2876kr0000gn\T\com.microsoft.Word\WebArchiveCopyPasteTempFiles\vocal_mamani.jp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image" Target="media/image7.jpeg"/><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https://www.oep.org.bo/wp-content/uploads/2017/01/vicepresidente-225x300.jpg" TargetMode="External"/><Relationship Id="rId22" Type="http://schemas.openxmlformats.org/officeDocument/2006/relationships/image" Target="file:///G:\var\folders\fv\3t5_vfxn0xq946gzpd2876kr0000gn\T\com.microsoft.Word\WebArchiveCopyPasteTempFiles\vocal_gonzales.jp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oas.org/eomdatabase/GetFileA.aspx?id=168-1112-36-0" TargetMode="External"/><Relationship Id="rId1" Type="http://schemas.openxmlformats.org/officeDocument/2006/relationships/hyperlink" Target="https://www.eldeber.com.bo/bolivia/Esta-es-la-carta-de-renuncia-presentada-por-Katia-Uriona-20181022-946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D035A163BC0046A41C2EBE1E58AFFF" ma:contentTypeVersion="1" ma:contentTypeDescription="Create a new document." ma:contentTypeScope="" ma:versionID="413af19bcb59ebd614d4f80392d470c1">
  <xsd:schema xmlns:xsd="http://www.w3.org/2001/XMLSchema" xmlns:xs="http://www.w3.org/2001/XMLSchema" xmlns:p="http://schemas.microsoft.com/office/2006/metadata/properties" xmlns:ns2="89f4cd83-a2d3-4405-9b45-6aff5241ff81" targetNamespace="http://schemas.microsoft.com/office/2006/metadata/properties" ma:root="true" ma:fieldsID="4b0342c81372e05998e770e64ad0cf8c" ns2:_="">
    <xsd:import namespace="89f4cd83-a2d3-4405-9b45-6aff5241ff8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f4cd83-a2d3-4405-9b45-6aff5241ff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F96C06-ADB1-4621-A7F3-558AC08D0F47}">
  <ds:schemaRefs>
    <ds:schemaRef ds:uri="http://schemas.openxmlformats.org/package/2006/metadata/core-properties"/>
    <ds:schemaRef ds:uri="http://schemas.microsoft.com/office/2006/documentManagement/types"/>
    <ds:schemaRef ds:uri="http://schemas.microsoft.com/office/2006/metadata/properties"/>
    <ds:schemaRef ds:uri="http://purl.org/dc/terms/"/>
    <ds:schemaRef ds:uri="http://purl.org/dc/dcmitype/"/>
    <ds:schemaRef ds:uri="http://schemas.microsoft.com/office/infopath/2007/PartnerControls"/>
    <ds:schemaRef ds:uri="89f4cd83-a2d3-4405-9b45-6aff5241ff81"/>
    <ds:schemaRef ds:uri="http://www.w3.org/XML/1998/namespace"/>
    <ds:schemaRef ds:uri="http://purl.org/dc/elements/1.1/"/>
  </ds:schemaRefs>
</ds:datastoreItem>
</file>

<file path=customXml/itemProps2.xml><?xml version="1.0" encoding="utf-8"?>
<ds:datastoreItem xmlns:ds="http://schemas.openxmlformats.org/officeDocument/2006/customXml" ds:itemID="{8C4E44D1-6AB7-4478-8511-1D651BE40D95}">
  <ds:schemaRefs>
    <ds:schemaRef ds:uri="http://schemas.microsoft.com/sharepoint/v3/contenttype/forms"/>
  </ds:schemaRefs>
</ds:datastoreItem>
</file>

<file path=customXml/itemProps3.xml><?xml version="1.0" encoding="utf-8"?>
<ds:datastoreItem xmlns:ds="http://schemas.openxmlformats.org/officeDocument/2006/customXml" ds:itemID="{3FAA7ABB-51FD-4DEE-9DC0-F6D3DFD81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f4cd83-a2d3-4405-9b45-6aff5241ff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6803</Words>
  <Characters>38779</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Ferreiro, Martin</dc:creator>
  <cp:lastModifiedBy>Glynn, Melene</cp:lastModifiedBy>
  <cp:revision>2</cp:revision>
  <dcterms:created xsi:type="dcterms:W3CDTF">2020-10-27T22:28:00Z</dcterms:created>
  <dcterms:modified xsi:type="dcterms:W3CDTF">2020-10-27T22:28:00Z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0x01010076D035A163BC0046A41C2EBE1E58AFFF</vt:lpwstr>
  </property>
</Properties>
</file>