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604A">
      <w:pPr>
        <w:jc w:val="both"/>
        <w:rPr>
          <w:lang w:val="es-ES"/>
        </w:rPr>
      </w:pPr>
      <w:bookmarkStart w:id="0" w:name="_GoBack"/>
      <w:bookmarkEnd w:id="0"/>
    </w:p>
    <w:p w14:paraId="1E03A013">
      <w:pPr>
        <w:jc w:val="both"/>
        <w:rPr>
          <w:lang w:val="es-ES"/>
        </w:rPr>
      </w:pPr>
    </w:p>
    <w:p w14:paraId="0971521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ENSAYOS DE COMPATIBILIDAD ELECTROMAGNÉTICA CEM</w:t>
      </w:r>
    </w:p>
    <w:p w14:paraId="5B66BAC8">
      <w:pPr>
        <w:jc w:val="both"/>
        <w:rPr>
          <w:lang w:val="es-ES"/>
        </w:rPr>
      </w:pPr>
      <w:r>
        <w:rPr>
          <w:lang w:val="es-ES"/>
        </w:rPr>
        <w:t>Todos los dispositivos eléctricos y electrónicos pueden generar interferencias de tipo electromagnética y ser susceptibles a ellas. La capacidad de un dispositivo para funcionar dentro de los límites de inmunidad y supresión de interferencias se conoce como compatibilidad electromagnética (CEM).</w:t>
      </w:r>
    </w:p>
    <w:p w14:paraId="0F186B9E">
      <w:pPr>
        <w:jc w:val="both"/>
        <w:rPr>
          <w:lang w:val="es-ES"/>
        </w:rPr>
      </w:pPr>
    </w:p>
    <w:p w14:paraId="36E54186">
      <w:pPr>
        <w:jc w:val="both"/>
        <w:rPr>
          <w:lang w:val="es-ES"/>
        </w:rPr>
      </w:pPr>
      <w:r>
        <w:rPr>
          <w:lang w:val="es-ES"/>
        </w:rPr>
        <w:t>La CEM se ocupa de dos aspectos:</w:t>
      </w:r>
    </w:p>
    <w:p w14:paraId="32292D58">
      <w:pPr>
        <w:pStyle w:val="30"/>
        <w:numPr>
          <w:ilvl w:val="0"/>
          <w:numId w:val="1"/>
        </w:numPr>
        <w:spacing w:after="0" w:line="240" w:lineRule="auto"/>
        <w:jc w:val="both"/>
        <w:rPr>
          <w:lang w:val="es-ES"/>
        </w:rPr>
      </w:pPr>
      <w:r>
        <w:rPr>
          <w:lang w:val="es-ES"/>
        </w:rPr>
        <w:t>Garantizar que otros usuarios del espectro radioeléctrico y, en consecuencia, el suministro eléctrico público, no se vean afectados por el funcionamiento de otro equipo estando en funcionamiento, y</w:t>
      </w:r>
    </w:p>
    <w:p w14:paraId="2C0316B1">
      <w:pPr>
        <w:pStyle w:val="30"/>
        <w:numPr>
          <w:ilvl w:val="0"/>
          <w:numId w:val="1"/>
        </w:numPr>
        <w:jc w:val="both"/>
      </w:pPr>
      <w:r>
        <w:rPr>
          <w:lang w:val="es-ES"/>
        </w:rPr>
        <w:t>que el funcionamiento de dicho equipo no se vea afectado de forma inaceptable por interferencias externas de otros equipos que estén a su alrededor.</w:t>
      </w:r>
    </w:p>
    <w:p w14:paraId="682FC416">
      <w:pPr>
        <w:jc w:val="both"/>
      </w:pPr>
    </w:p>
    <w:p w14:paraId="72213D53">
      <w:pPr>
        <w:pStyle w:val="30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 w:eastAsia="Times New Roman" w:cs="Courier New"/>
          <w:color w:val="1F1F1F"/>
          <w:kern w:val="0"/>
          <w:lang w:eastAsia="es-CO"/>
          <w14:ligatures w14:val="none"/>
        </w:rPr>
      </w:pPr>
      <w:r>
        <w:rPr>
          <w:rFonts w:ascii="inherit" w:hAnsi="inherit" w:eastAsia="Times New Roman" w:cs="Courier New"/>
          <w:color w:val="1F1F1F"/>
          <w:kern w:val="0"/>
          <w:lang w:val="es-ES" w:eastAsia="es-CO"/>
          <w14:ligatures w14:val="none"/>
        </w:rPr>
        <w:t>Pero para efectos prácticos tenemos que clasificar los posibles fenómenos para poder tratarlos. Se clasifican en dos grandes grupos:</w:t>
      </w:r>
    </w:p>
    <w:p w14:paraId="1A051CA2">
      <w:pPr>
        <w:pStyle w:val="30"/>
        <w:rPr>
          <w:rFonts w:ascii="inherit" w:hAnsi="inherit" w:eastAsia="Times New Roman" w:cs="Courier New"/>
          <w:color w:val="1F1F1F"/>
          <w:kern w:val="0"/>
          <w:lang w:eastAsia="es-CO"/>
          <w14:ligatures w14:val="none"/>
        </w:rPr>
      </w:pPr>
    </w:p>
    <w:p w14:paraId="6C086B31">
      <w:pPr>
        <w:pStyle w:val="30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 w:eastAsia="Times New Roman" w:cs="Courier New"/>
          <w:color w:val="1F1F1F"/>
          <w:kern w:val="0"/>
          <w:lang w:eastAsia="es-CO"/>
          <w14:ligatures w14:val="none"/>
        </w:rPr>
      </w:pPr>
    </w:p>
    <w:p w14:paraId="57DBA5ED">
      <w:pPr>
        <w:spacing w:after="0"/>
        <w:jc w:val="both"/>
      </w:pPr>
      <w:r>
        <w:rPr>
          <w:b/>
          <w:bCs/>
        </w:rPr>
        <w:t>EMISIONES</w:t>
      </w:r>
      <w:r>
        <w:t>:</w:t>
      </w:r>
    </w:p>
    <w:p w14:paraId="1ED0BDCF">
      <w:pPr>
        <w:pStyle w:val="30"/>
        <w:numPr>
          <w:ilvl w:val="0"/>
          <w:numId w:val="1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En frecuencias de radio </w:t>
      </w:r>
    </w:p>
    <w:p w14:paraId="71B2D9A6">
      <w:pPr>
        <w:pStyle w:val="37"/>
        <w:numPr>
          <w:ilvl w:val="0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rStyle w:val="38"/>
          <w:rFonts w:ascii="Verdana" w:hAnsi="Verdana" w:eastAsiaTheme="majorEastAsia"/>
          <w:color w:val="000000"/>
          <w:sz w:val="20"/>
          <w:szCs w:val="20"/>
        </w:rPr>
        <w:t>RF radiado</w:t>
      </w:r>
    </w:p>
    <w:p w14:paraId="7554B428">
      <w:pPr>
        <w:pStyle w:val="37"/>
        <w:numPr>
          <w:ilvl w:val="0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rStyle w:val="38"/>
          <w:rFonts w:ascii="Verdana" w:hAnsi="Verdana" w:eastAsiaTheme="majorEastAsia"/>
          <w:color w:val="000000"/>
          <w:sz w:val="20"/>
          <w:szCs w:val="20"/>
        </w:rPr>
        <w:t>RF conducido, en el puerto de potencia</w:t>
      </w:r>
    </w:p>
    <w:p w14:paraId="4D905BD7">
      <w:pPr>
        <w:pStyle w:val="37"/>
        <w:numPr>
          <w:ilvl w:val="0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rStyle w:val="38"/>
          <w:rFonts w:ascii="Verdana" w:hAnsi="Verdana" w:eastAsiaTheme="majorEastAsia"/>
          <w:color w:val="000000"/>
          <w:sz w:val="20"/>
          <w:szCs w:val="20"/>
        </w:rPr>
        <w:t>RF conducido, en otros puertos (ej. de comunicaciones)</w:t>
      </w:r>
    </w:p>
    <w:p w14:paraId="362023F1">
      <w:pPr>
        <w:pStyle w:val="37"/>
        <w:numPr>
          <w:ilvl w:val="0"/>
          <w:numId w:val="2"/>
        </w:numPr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rStyle w:val="38"/>
          <w:rFonts w:ascii="Verdana" w:hAnsi="Verdana" w:eastAsiaTheme="majorEastAsia"/>
          <w:color w:val="000000"/>
          <w:sz w:val="20"/>
          <w:szCs w:val="20"/>
        </w:rPr>
        <w:t>Transitorios (la mayoría de los electrodomésticos)</w:t>
      </w:r>
    </w:p>
    <w:p w14:paraId="24EF0892">
      <w:pPr>
        <w:pStyle w:val="30"/>
        <w:spacing w:after="0"/>
        <w:jc w:val="both"/>
      </w:pPr>
    </w:p>
    <w:p w14:paraId="641CD95D">
      <w:pPr>
        <w:pStyle w:val="30"/>
        <w:numPr>
          <w:ilvl w:val="0"/>
          <w:numId w:val="1"/>
        </w:numPr>
        <w:spacing w:after="0"/>
        <w:jc w:val="both"/>
        <w:rPr>
          <w:b/>
          <w:bCs/>
        </w:rPr>
      </w:pPr>
      <w:r>
        <w:rPr>
          <w:b/>
          <w:bCs/>
        </w:rPr>
        <w:t>En baja frecuencia</w:t>
      </w:r>
    </w:p>
    <w:p w14:paraId="1329977D">
      <w:pPr>
        <w:pStyle w:val="30"/>
        <w:numPr>
          <w:ilvl w:val="0"/>
          <w:numId w:val="2"/>
        </w:numPr>
        <w:jc w:val="both"/>
      </w:pPr>
      <w:r>
        <w:t>Campos magnéticos radiados</w:t>
      </w:r>
    </w:p>
    <w:p w14:paraId="470C0588">
      <w:pPr>
        <w:pStyle w:val="30"/>
        <w:numPr>
          <w:ilvl w:val="0"/>
          <w:numId w:val="2"/>
        </w:numPr>
        <w:jc w:val="both"/>
      </w:pPr>
      <w:r>
        <w:t>Campos eléctricos radiados</w:t>
      </w:r>
    </w:p>
    <w:p w14:paraId="6D24F374">
      <w:pPr>
        <w:pStyle w:val="30"/>
        <w:numPr>
          <w:ilvl w:val="0"/>
          <w:numId w:val="2"/>
        </w:numPr>
        <w:jc w:val="both"/>
      </w:pPr>
      <w:r>
        <w:t>Disturbios conducidos en frecuencia de audio</w:t>
      </w:r>
    </w:p>
    <w:p w14:paraId="5D05BDF9">
      <w:pPr>
        <w:pStyle w:val="30"/>
        <w:numPr>
          <w:ilvl w:val="0"/>
          <w:numId w:val="2"/>
        </w:numPr>
        <w:jc w:val="both"/>
      </w:pPr>
      <w:r>
        <w:t>Perturbaciones en el suministro de potencia: armónicos y parpadeo</w:t>
      </w:r>
    </w:p>
    <w:p w14:paraId="0C49560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INMUNIDAD</w:t>
      </w:r>
    </w:p>
    <w:p w14:paraId="159B11CB">
      <w:pPr>
        <w:pStyle w:val="30"/>
        <w:numPr>
          <w:ilvl w:val="0"/>
          <w:numId w:val="3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Ante frecuencias de radio</w:t>
      </w:r>
    </w:p>
    <w:p w14:paraId="0629D09C">
      <w:pPr>
        <w:pStyle w:val="30"/>
        <w:numPr>
          <w:ilvl w:val="0"/>
          <w:numId w:val="4"/>
        </w:numPr>
        <w:spacing w:after="0" w:line="240" w:lineRule="auto"/>
        <w:jc w:val="both"/>
      </w:pPr>
      <w:r>
        <w:t>Inmunidad conducida aplica la norma IEC 61000-4-6</w:t>
      </w:r>
    </w:p>
    <w:p w14:paraId="2DE80E22">
      <w:pPr>
        <w:pStyle w:val="30"/>
        <w:numPr>
          <w:ilvl w:val="0"/>
          <w:numId w:val="4"/>
        </w:numPr>
        <w:spacing w:after="0" w:line="240" w:lineRule="auto"/>
        <w:jc w:val="both"/>
      </w:pPr>
      <w:r>
        <w:t>Inmunidad Radiada aplica la norma IEC 61000-4-3</w:t>
      </w:r>
    </w:p>
    <w:p w14:paraId="0342F970">
      <w:pPr>
        <w:pStyle w:val="30"/>
        <w:numPr>
          <w:ilvl w:val="0"/>
          <w:numId w:val="3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Ante bajas frecuencias</w:t>
      </w:r>
    </w:p>
    <w:p w14:paraId="46BDA5BB">
      <w:pPr>
        <w:pStyle w:val="30"/>
        <w:numPr>
          <w:ilvl w:val="0"/>
          <w:numId w:val="4"/>
        </w:numPr>
        <w:spacing w:after="0" w:line="240" w:lineRule="auto"/>
        <w:jc w:val="both"/>
      </w:pPr>
      <w:r>
        <w:t>Inmunidad a frecuencias de 60 Hz, aplica la norma IEC 61000-4-8</w:t>
      </w:r>
    </w:p>
    <w:p w14:paraId="6C4B3344">
      <w:pPr>
        <w:pStyle w:val="30"/>
        <w:numPr>
          <w:ilvl w:val="0"/>
          <w:numId w:val="3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Ante eventos transitorios</w:t>
      </w:r>
    </w:p>
    <w:p w14:paraId="7AEAF1B9">
      <w:pPr>
        <w:pStyle w:val="30"/>
        <w:numPr>
          <w:ilvl w:val="0"/>
          <w:numId w:val="4"/>
        </w:numPr>
        <w:spacing w:after="0" w:line="240" w:lineRule="auto"/>
        <w:jc w:val="both"/>
      </w:pPr>
      <w:r>
        <w:t>Descargas electrostáticas (ESD) aplica la norma IEC 61000-4-2</w:t>
      </w:r>
    </w:p>
    <w:p w14:paraId="1F7E80A1">
      <w:pPr>
        <w:pStyle w:val="30"/>
        <w:numPr>
          <w:ilvl w:val="0"/>
          <w:numId w:val="4"/>
        </w:numPr>
        <w:spacing w:after="0" w:line="240" w:lineRule="auto"/>
        <w:jc w:val="both"/>
      </w:pPr>
      <w:r>
        <w:t>Variaciones en la fuente de potencia, aplica la norma IEC 61000-4-11</w:t>
      </w:r>
    </w:p>
    <w:p w14:paraId="5FBD0C6D">
      <w:pPr>
        <w:pStyle w:val="30"/>
        <w:numPr>
          <w:ilvl w:val="0"/>
          <w:numId w:val="4"/>
        </w:numPr>
        <w:spacing w:after="0" w:line="240" w:lineRule="auto"/>
        <w:jc w:val="both"/>
      </w:pPr>
      <w:r>
        <w:t>Aumento de la fuente de potencia (SURGE), aplica la norma IEC 61000-4-5</w:t>
      </w:r>
    </w:p>
    <w:p w14:paraId="200D7697">
      <w:pPr>
        <w:spacing w:after="0" w:line="240" w:lineRule="auto"/>
        <w:jc w:val="both"/>
      </w:pPr>
    </w:p>
    <w:p w14:paraId="64610CCE">
      <w:pPr>
        <w:spacing w:after="0" w:line="240" w:lineRule="auto"/>
        <w:jc w:val="both"/>
      </w:pPr>
      <w:r>
        <w:drawing>
          <wp:inline distT="0" distB="0" distL="0" distR="0">
            <wp:extent cx="3916045" cy="2937510"/>
            <wp:effectExtent l="0" t="0" r="8255" b="0"/>
            <wp:docPr id="5039674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67481" name="Imagen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303" cy="293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BCF6">
      <w:pPr>
        <w:spacing w:after="0" w:line="240" w:lineRule="auto"/>
        <w:jc w:val="both"/>
      </w:pPr>
      <w:r>
        <w:t xml:space="preserve">Se muestra el alistamiento para el ensayo de inmunidad ante eventos de descargas electrostáticas aplicando la norma IEC 61000-4-2. Nótese los planos de descarga VERTCAL y HORIZONTAL. </w:t>
      </w:r>
    </w:p>
    <w:p w14:paraId="2290B026">
      <w:pPr>
        <w:spacing w:after="0" w:line="240" w:lineRule="auto"/>
        <w:jc w:val="both"/>
      </w:pPr>
    </w:p>
    <w:p w14:paraId="716E1B67">
      <w:pPr>
        <w:spacing w:after="0" w:line="240" w:lineRule="auto"/>
        <w:jc w:val="both"/>
      </w:pPr>
      <w:r>
        <w:drawing>
          <wp:inline distT="0" distB="0" distL="0" distR="0">
            <wp:extent cx="3562350" cy="4751070"/>
            <wp:effectExtent l="0" t="0" r="0" b="0"/>
            <wp:docPr id="7236892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9279" name="Imagen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672" cy="47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330E">
      <w:pPr>
        <w:spacing w:after="0" w:line="240" w:lineRule="auto"/>
        <w:jc w:val="both"/>
      </w:pPr>
      <w:r>
        <w:t xml:space="preserve">Se muestra el alistamiento para el ensayo de Inmunidad radiada a frecuencias de radio entre 80MHz a 1.5 GHz. El dispositivo bajo ensayo se evalúa en los tres planos. </w:t>
      </w:r>
    </w:p>
    <w:p w14:paraId="6BDFBC85">
      <w:pPr>
        <w:spacing w:after="0" w:line="240" w:lineRule="auto"/>
        <w:jc w:val="both"/>
      </w:pPr>
    </w:p>
    <w:p w14:paraId="1E387AE1">
      <w:pPr>
        <w:spacing w:after="0" w:line="240" w:lineRule="auto"/>
        <w:jc w:val="both"/>
      </w:pPr>
      <w:r>
        <w:drawing>
          <wp:inline distT="0" distB="0" distL="0" distR="0">
            <wp:extent cx="5612130" cy="4209415"/>
            <wp:effectExtent l="0" t="0" r="7620" b="635"/>
            <wp:docPr id="17815436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3671" name="Imagen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83CE">
      <w:pPr>
        <w:spacing w:after="0" w:line="240" w:lineRule="auto"/>
        <w:jc w:val="both"/>
      </w:pPr>
      <w:r>
        <w:t xml:space="preserve">Dispositivo médico evaluado ante presencia de campo RF cercano a frecuencias entre 80 MHz a 1.5 GHz. </w:t>
      </w:r>
    </w:p>
    <w:p w14:paraId="46F954EC">
      <w:pPr>
        <w:spacing w:after="0" w:line="240" w:lineRule="auto"/>
        <w:jc w:val="both"/>
      </w:pPr>
      <w:r>
        <w:drawing>
          <wp:inline distT="0" distB="0" distL="0" distR="0">
            <wp:extent cx="5612130" cy="4209415"/>
            <wp:effectExtent l="0" t="0" r="7620" b="635"/>
            <wp:docPr id="18856061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6171" name="Imagen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2FC0">
      <w:pPr>
        <w:spacing w:after="0" w:line="240" w:lineRule="auto"/>
        <w:jc w:val="both"/>
      </w:pPr>
      <w:r>
        <w:t>Inmunidad radiada a un equipo tipo industrial (OATS) esta medición es realizada en campo abierto.</w:t>
      </w:r>
    </w:p>
    <w:p w14:paraId="4BEDCC5E"/>
    <w:p w14:paraId="56E60223"/>
    <w:p w14:paraId="2C4A35BD"/>
    <w:p w14:paraId="2B448FC0"/>
    <w:p w14:paraId="6A5B2988">
      <w:pPr>
        <w:tabs>
          <w:tab w:val="left" w:pos="6222"/>
        </w:tabs>
      </w:pPr>
      <w:r>
        <w:tab/>
      </w:r>
    </w:p>
    <w:p w14:paraId="0BE4DFBD">
      <w:pPr>
        <w:tabs>
          <w:tab w:val="left" w:pos="6222"/>
        </w:tabs>
      </w:pPr>
      <w:r>
        <w:drawing>
          <wp:inline distT="0" distB="0" distL="0" distR="0">
            <wp:extent cx="4511040" cy="3383915"/>
            <wp:effectExtent l="0" t="0" r="3810" b="6985"/>
            <wp:docPr id="11441529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2941" name="Imagen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665" cy="338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65A4">
      <w:pPr>
        <w:tabs>
          <w:tab w:val="left" w:pos="6222"/>
        </w:tabs>
      </w:pPr>
      <w:r>
        <w:t xml:space="preserve">Se muestra a un dispositivo bajo prueba para aplicar la norma IEC 61000-4-8 de inmunidad ante presencia de Campo Magnético a frecuencia de 60 Hz. </w:t>
      </w:r>
    </w:p>
    <w:p w14:paraId="228C5366">
      <w:pPr>
        <w:tabs>
          <w:tab w:val="left" w:pos="6222"/>
        </w:tabs>
      </w:pPr>
    </w:p>
    <w:p w14:paraId="45EADEC1">
      <w:pPr>
        <w:tabs>
          <w:tab w:val="left" w:pos="6222"/>
        </w:tabs>
      </w:pPr>
    </w:p>
    <w:p w14:paraId="19F0010E">
      <w:pPr>
        <w:tabs>
          <w:tab w:val="left" w:pos="6222"/>
        </w:tabs>
      </w:pPr>
    </w:p>
    <w:p w14:paraId="736A97C5">
      <w:pPr>
        <w:tabs>
          <w:tab w:val="left" w:pos="6222"/>
        </w:tabs>
      </w:pPr>
    </w:p>
    <w:p w14:paraId="3F5B9BC9">
      <w:pPr>
        <w:tabs>
          <w:tab w:val="left" w:pos="6222"/>
        </w:tabs>
      </w:pPr>
    </w:p>
    <w:p w14:paraId="5CDF1828">
      <w:pPr>
        <w:tabs>
          <w:tab w:val="left" w:pos="6222"/>
        </w:tabs>
      </w:pPr>
    </w:p>
    <w:p w14:paraId="47F05B23">
      <w:pPr>
        <w:tabs>
          <w:tab w:val="left" w:pos="6222"/>
        </w:tabs>
      </w:pPr>
    </w:p>
    <w:p w14:paraId="73790C46">
      <w:pPr>
        <w:tabs>
          <w:tab w:val="left" w:pos="6222"/>
        </w:tabs>
      </w:pPr>
    </w:p>
    <w:p w14:paraId="691C84E0">
      <w:pPr>
        <w:tabs>
          <w:tab w:val="left" w:pos="6222"/>
        </w:tabs>
      </w:pPr>
    </w:p>
    <w:p w14:paraId="72941127">
      <w:pPr>
        <w:tabs>
          <w:tab w:val="left" w:pos="6222"/>
        </w:tabs>
      </w:pPr>
    </w:p>
    <w:p w14:paraId="33C63431">
      <w:pPr>
        <w:tabs>
          <w:tab w:val="left" w:pos="6222"/>
        </w:tabs>
      </w:pPr>
    </w:p>
    <w:p w14:paraId="36F22FB1">
      <w:pPr>
        <w:tabs>
          <w:tab w:val="left" w:pos="6222"/>
        </w:tabs>
      </w:pPr>
    </w:p>
    <w:p w14:paraId="517FE900">
      <w:pPr>
        <w:tabs>
          <w:tab w:val="left" w:pos="6222"/>
        </w:tabs>
      </w:pPr>
    </w:p>
    <w:p w14:paraId="1C6C59AA">
      <w:pPr>
        <w:tabs>
          <w:tab w:val="left" w:pos="6222"/>
        </w:tabs>
      </w:pPr>
    </w:p>
    <w:p w14:paraId="5BF84079">
      <w:pPr>
        <w:tabs>
          <w:tab w:val="left" w:pos="6222"/>
        </w:tabs>
      </w:pPr>
    </w:p>
    <w:p w14:paraId="4B79F70C">
      <w:pPr>
        <w:tabs>
          <w:tab w:val="left" w:pos="622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ENSAYOS EN SEGURIDAD ELÉCTRICA</w:t>
      </w:r>
    </w:p>
    <w:p w14:paraId="44AC80F4">
      <w:pPr>
        <w:tabs>
          <w:tab w:val="left" w:pos="622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evaluar la seguridad eléctrica en equipos médicos, se debe realizar una serie de pruebas usando un analizador de seguridad eléctrica, cumpliendo con normativas como la </w:t>
      </w:r>
      <w:r>
        <w:fldChar w:fldCharType="begin"/>
      </w:r>
      <w:r>
        <w:instrText xml:space="preserve"> HYPERLINK "https://www.vde.com/topics-en/health/consulting/electrical-safety-in-active-medical-devices--the-iec-60601-1-standard" \t "_blank" </w:instrText>
      </w:r>
      <w:r>
        <w:fldChar w:fldCharType="separate"/>
      </w:r>
      <w:r>
        <w:rPr>
          <w:rStyle w:val="13"/>
          <w:rFonts w:ascii="Arial" w:hAnsi="Arial" w:cs="Arial"/>
          <w:sz w:val="20"/>
          <w:szCs w:val="20"/>
        </w:rPr>
        <w:t>IEC 60601</w:t>
      </w:r>
      <w:r>
        <w:rPr>
          <w:rStyle w:val="13"/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o la </w:t>
      </w:r>
      <w:r>
        <w:rPr>
          <w:rFonts w:ascii="Arial" w:hAnsi="Arial" w:cs="Arial"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  <w:t>IEC 62353</w:t>
      </w:r>
      <w:r>
        <w:rPr>
          <w:rFonts w:ascii="Arial" w:hAnsi="Arial" w:cs="Arial"/>
          <w:sz w:val="20"/>
          <w:szCs w:val="20"/>
        </w:rPr>
        <w:t>. Las pruebas incluyen la inspección visual, la medición de la resistencia de tierra de protección, la resistencia de aislamiento y las corrientes de fuga (tanto al paciente como a chasis), y los resultados deben ser documentados detalladamente para asegurar que están dentro de los límites permitidos.</w:t>
      </w:r>
    </w:p>
    <w:p w14:paraId="0D6716B3">
      <w:pPr>
        <w:pStyle w:val="30"/>
        <w:numPr>
          <w:ilvl w:val="0"/>
          <w:numId w:val="5"/>
        </w:numPr>
        <w:tabs>
          <w:tab w:val="left" w:pos="622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Ensayos que se realizan:</w:t>
      </w:r>
    </w:p>
    <w:p w14:paraId="1D5D164E">
      <w:pPr>
        <w:pStyle w:val="30"/>
        <w:numPr>
          <w:ilvl w:val="0"/>
          <w:numId w:val="4"/>
        </w:numPr>
        <w:shd w:val="clear" w:color="auto" w:fill="FFFFFF"/>
        <w:spacing w:before="360" w:after="360" w:line="240" w:lineRule="auto"/>
        <w:textAlignment w:val="baseline"/>
        <w:outlineLvl w:val="1"/>
        <w:rPr>
          <w:rFonts w:ascii="Arial" w:hAnsi="Arial" w:eastAsia="Times New Roman" w:cs="Arial"/>
          <w:color w:val="333333"/>
          <w:kern w:val="0"/>
          <w:sz w:val="20"/>
          <w:szCs w:val="20"/>
          <w:lang w:eastAsia="es-CO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0"/>
          <w:szCs w:val="20"/>
          <w:lang w:eastAsia="es-CO"/>
          <w14:ligatures w14:val="none"/>
        </w:rPr>
        <w:t>Inspección Visual y Resistencia de Tierra</w:t>
      </w:r>
    </w:p>
    <w:p w14:paraId="5722C28C">
      <w:pPr>
        <w:pStyle w:val="30"/>
        <w:numPr>
          <w:ilvl w:val="0"/>
          <w:numId w:val="4"/>
        </w:numPr>
        <w:tabs>
          <w:tab w:val="left" w:pos="622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Pruebas de corrientes de fuga</w:t>
      </w:r>
    </w:p>
    <w:p w14:paraId="07F7C4C2">
      <w:pPr>
        <w:pStyle w:val="30"/>
        <w:numPr>
          <w:ilvl w:val="0"/>
          <w:numId w:val="4"/>
        </w:numPr>
        <w:tabs>
          <w:tab w:val="left" w:pos="622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Corrientes de fuga del equipo</w:t>
      </w:r>
    </w:p>
    <w:p w14:paraId="32F91A1D">
      <w:pPr>
        <w:pStyle w:val="30"/>
        <w:numPr>
          <w:ilvl w:val="0"/>
          <w:numId w:val="4"/>
        </w:numPr>
        <w:tabs>
          <w:tab w:val="left" w:pos="622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Corrientes de fuga a partes aplicadas al paciente</w:t>
      </w:r>
    </w:p>
    <w:p w14:paraId="1FF1AE42">
      <w:pPr>
        <w:pStyle w:val="30"/>
        <w:numPr>
          <w:ilvl w:val="0"/>
          <w:numId w:val="4"/>
        </w:numPr>
        <w:tabs>
          <w:tab w:val="left" w:pos="622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Pruebas aplicando altas tensiones</w:t>
      </w:r>
    </w:p>
    <w:p w14:paraId="7A2A5CCB">
      <w:pPr>
        <w:spacing w:after="0" w:line="240" w:lineRule="auto"/>
        <w:jc w:val="both"/>
      </w:pPr>
      <w:r>
        <w:drawing>
          <wp:inline distT="0" distB="0" distL="0" distR="0">
            <wp:extent cx="3226435" cy="6986905"/>
            <wp:effectExtent l="0" t="0" r="0" b="4445"/>
            <wp:docPr id="17331654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5491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018" cy="699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777C">
      <w:pPr>
        <w:spacing w:after="0" w:line="240" w:lineRule="auto"/>
        <w:jc w:val="both"/>
      </w:pPr>
      <w:r>
        <w:t xml:space="preserve">En esta fotografía se muestra el set-up o alistamiento para ensayo en SEGURIDAD ELÉCTRICA a un dispositivo de tipo médico. Se utiliza un instrumento para evaluar CORRIENTES DE FUGA A ENVOLVENTE. </w:t>
      </w:r>
    </w:p>
    <w:p w14:paraId="5F92939A">
      <w:pPr>
        <w:jc w:val="both"/>
      </w:pPr>
    </w:p>
    <w:p w14:paraId="00B2335C">
      <w:pPr>
        <w:jc w:val="both"/>
      </w:pPr>
      <w:r>
        <w:drawing>
          <wp:inline distT="0" distB="0" distL="0" distR="0">
            <wp:extent cx="5612130" cy="4210050"/>
            <wp:effectExtent l="0" t="0" r="7620" b="0"/>
            <wp:docPr id="2273885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8586" name="Imagen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95D2">
      <w:pPr>
        <w:jc w:val="both"/>
      </w:pPr>
      <w:r>
        <w:t xml:space="preserve">Equipo utilizado para mediciones de corrientes de fuga a tierra. Se aplica la norma general IEC 60601-1 para SEGURIDAD ELÉCTRICA en dispositivos médicos. 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570F4"/>
    <w:multiLevelType w:val="multilevel"/>
    <w:tmpl w:val="04E570F4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58F20D2"/>
    <w:multiLevelType w:val="multilevel"/>
    <w:tmpl w:val="258F20D2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E05AC2"/>
    <w:multiLevelType w:val="multilevel"/>
    <w:tmpl w:val="37E05A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CC50528"/>
    <w:multiLevelType w:val="multilevel"/>
    <w:tmpl w:val="3CC505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2C97529"/>
    <w:multiLevelType w:val="multilevel"/>
    <w:tmpl w:val="62C975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738"/>
    <w:rsid w:val="00067738"/>
    <w:rsid w:val="001B3E5C"/>
    <w:rsid w:val="002A4D00"/>
    <w:rsid w:val="00354F60"/>
    <w:rsid w:val="003E46EA"/>
    <w:rsid w:val="00427017"/>
    <w:rsid w:val="00557E93"/>
    <w:rsid w:val="005F287A"/>
    <w:rsid w:val="006568ED"/>
    <w:rsid w:val="006913E3"/>
    <w:rsid w:val="0089485D"/>
    <w:rsid w:val="008D0BAD"/>
    <w:rsid w:val="00CB313D"/>
    <w:rsid w:val="00CC4B66"/>
    <w:rsid w:val="00D02672"/>
    <w:rsid w:val="00E1553A"/>
    <w:rsid w:val="49D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HTML Preformatted"/>
    <w:basedOn w:val="1"/>
    <w:link w:val="3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CO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TML con formato previo Car"/>
    <w:basedOn w:val="11"/>
    <w:link w:val="14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s-CO"/>
      <w14:ligatures w14:val="none"/>
    </w:rPr>
  </w:style>
  <w:style w:type="character" w:customStyle="1" w:styleId="36">
    <w:name w:val="y2iqfc"/>
    <w:basedOn w:val="11"/>
    <w:uiPriority w:val="0"/>
  </w:style>
  <w:style w:type="paragraph" w:customStyle="1" w:styleId="37">
    <w:name w:val="ps4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38">
    <w:name w:val="ts4"/>
    <w:basedOn w:val="11"/>
    <w:uiPriority w:val="0"/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563</Words>
  <Characters>3102</Characters>
  <Lines>25</Lines>
  <Paragraphs>7</Paragraphs>
  <TotalTime>74</TotalTime>
  <ScaleCrop>false</ScaleCrop>
  <LinksUpToDate>false</LinksUpToDate>
  <CharactersWithSpaces>3658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2025-11-23T14:59:00Z</dcterms:created>
  <dc:creator>BVS Lab</dc:creator>
  <cp:lastModifiedBy>Emmanuel Cano Preciado</cp:lastModifiedBy>
  <dcterms:modified xsi:type="dcterms:W3CDTF">2025-12-06T02:30:14Z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ED5B9B42866F4168A3869CFE44957E56_12</vt:lpwstr>
  </property>
</Properties>
</file>