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01 — Corporate</w:t>
      </w:r>
    </w:p>
    <w:p>
      <w:pPr>
        <w:pStyle w:val="IntenseQuote"/>
      </w:pPr>
      <w:r>
        <w:rPr>
          <w:i/>
        </w:rPr>
        <w:t>Sample folder. Contains organizational, governance, and material agreement documentation establishing HealthCo's corporate existence and contractual perimeter.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formation-summary.md</w:t>
      </w:r>
      <w:r>
        <w:rPr/>
        <w:t xml:space="preserve"> — Delaware C-Corp formation, equity holders, charter highlights</w:t>
      </w:r>
    </w:p>
    <w:p>
      <w:pPr>
        <w:pStyle w:val="ListBullet"/>
      </w:pPr>
      <w:r>
        <w:rPr>
          <w:rFonts w:ascii="Consolas" w:hAnsi="Consolas"/>
          <w:sz w:val="20"/>
        </w:rPr>
        <w:t>current-cap-table.md</w:t>
      </w:r>
      <w:r>
        <w:rPr/>
        <w:t xml:space="preserve"> — narrative cap table summary; pointer to </w:t>
      </w:r>
      <w:r>
        <w:rPr>
          <w:rFonts w:ascii="Consolas" w:hAnsi="Consolas"/>
          <w:sz w:val="20"/>
        </w:rPr>
        <w:t>../model/proforma.xlsx</w:t>
      </w:r>
    </w:p>
    <w:p>
      <w:pPr>
        <w:pStyle w:val="ListBullet"/>
      </w:pPr>
      <w:r>
        <w:rPr>
          <w:rFonts w:ascii="Consolas" w:hAnsi="Consolas"/>
          <w:sz w:val="20"/>
        </w:rPr>
        <w:t>material-agreements-index.md</w:t>
      </w:r>
      <w:r>
        <w:rPr/>
        <w:t xml:space="preserve"> — index of pilot MSAs, EHR partnerships, advisor agreements</w:t>
      </w:r>
    </w:p>
    <w:p>
      <w:pPr>
        <w:pStyle w:val="Heading1"/>
      </w:pPr>
      <w:r/>
      <w:r>
        <w:rPr/>
        <w:t>Tier mapping</w:t>
      </w:r>
    </w:p>
    <w:p>
      <w:r>
        <w:rPr/>
        <w:t>| Document | NDA (Tier 1) | CDA (Tier 2) | Diligence (Tier 3) | |----------|:-:|:-:|:-:| | formation-summary.md | x | x | x | | current-cap-table.md |   | x | x | | material-agreements-index.md (index) |   | x | x | | Executed agreement PDFs |   |   | x |</w:t>
      </w:r>
    </w:p>
    <w:p>
      <w:r>
        <w:rPr/>
        <w:t>Executed copies of MSAs, EHR integration agreements, and advisor agreements are released to Tier 3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