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Current Cap Table — Narrative Summary</w:t>
      </w:r>
    </w:p>
    <w:p>
      <w:pPr>
        <w:pStyle w:val="IntenseQuote"/>
      </w:pPr>
      <w:r>
        <w:rPr>
          <w:i/>
        </w:rPr>
        <w:t xml:space="preserve">Sample document. Live cap table is in </w:t>
      </w:r>
      <w:r>
        <w:rPr>
          <w:rFonts w:ascii="Consolas" w:hAnsi="Consolas"/>
          <w:sz w:val="20"/>
        </w:rPr>
        <w:t>../../model/proforma.xlsx</w:t>
      </w:r>
      <w:r>
        <w:rPr>
          <w:i/>
        </w:rPr>
        <w:t>.</w:t>
      </w:r>
    </w:p>
    <w:p>
      <w:pPr>
        <w:pStyle w:val="Heading1"/>
      </w:pPr>
      <w:r/>
      <w:r>
        <w:rPr/>
        <w:t>Pre-Series-A Snapshot (as of March 2026)</w:t>
      </w:r>
    </w:p>
    <w:p>
      <w:r>
        <w:rPr/>
        <w:t>The capitalization reflects the 2021 founding issuance, the September 2022 Series Seed financing, the 2023 SAFE bridge, and option grants through Q1 2026.</w:t>
      </w:r>
    </w:p>
    <w:p>
      <w:pPr>
        <w:pStyle w:val="Heading2"/>
      </w:pPr>
      <w:r/>
      <w:r>
        <w:rPr/>
        <w:t>Issued and Outstanding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Security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Shares (FD)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% FD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Common Stock — Founders</w:t>
            </w:r>
          </w:p>
        </w:tc>
        <w:tc>
          <w:tcPr>
            <w:tcW w:type="dxa" w:w="2880"/>
          </w:tcPr>
          <w:p>
            <w:r/>
            <w:r>
              <w:rPr/>
              <w:t>9,400,000</w:t>
            </w:r>
          </w:p>
        </w:tc>
        <w:tc>
          <w:tcPr>
            <w:tcW w:type="dxa" w:w="2880"/>
          </w:tcPr>
          <w:p>
            <w:r/>
            <w:r>
              <w:rPr/>
              <w:t>58.4%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Series Seed Preferred</w:t>
            </w:r>
          </w:p>
        </w:tc>
        <w:tc>
          <w:tcPr>
            <w:tcW w:type="dxa" w:w="2880"/>
          </w:tcPr>
          <w:p>
            <w:r/>
            <w:r>
              <w:rPr/>
              <w:t>3,490,000</w:t>
            </w:r>
          </w:p>
        </w:tc>
        <w:tc>
          <w:tcPr>
            <w:tcW w:type="dxa" w:w="2880"/>
          </w:tcPr>
          <w:p>
            <w:r/>
            <w:r>
              <w:rPr/>
              <w:t>21.7%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SAFEs (as-converted at Series A)</w:t>
            </w:r>
          </w:p>
        </w:tc>
        <w:tc>
          <w:tcPr>
            <w:tcW w:type="dxa" w:w="2880"/>
          </w:tcPr>
          <w:p>
            <w:r/>
            <w:r>
              <w:rPr/>
              <w:t>982,000</w:t>
            </w:r>
          </w:p>
        </w:tc>
        <w:tc>
          <w:tcPr>
            <w:tcW w:type="dxa" w:w="2880"/>
          </w:tcPr>
          <w:p>
            <w:r/>
            <w:r>
              <w:rPr/>
              <w:t>6.1%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Options outstanding</w:t>
            </w:r>
          </w:p>
        </w:tc>
        <w:tc>
          <w:tcPr>
            <w:tcW w:type="dxa" w:w="2880"/>
          </w:tcPr>
          <w:p>
            <w:r/>
            <w:r>
              <w:rPr/>
              <w:t>1,432,000</w:t>
            </w:r>
          </w:p>
        </w:tc>
        <w:tc>
          <w:tcPr>
            <w:tcW w:type="dxa" w:w="2880"/>
          </w:tcPr>
          <w:p>
            <w:r/>
            <w:r>
              <w:rPr/>
              <w:t>8.9%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Pool unallocated</w:t>
            </w:r>
          </w:p>
        </w:tc>
        <w:tc>
          <w:tcPr>
            <w:tcW w:type="dxa" w:w="2880"/>
          </w:tcPr>
          <w:p>
            <w:r/>
            <w:r>
              <w:rPr/>
              <w:t>789,000</w:t>
            </w:r>
          </w:p>
        </w:tc>
        <w:tc>
          <w:tcPr>
            <w:tcW w:type="dxa" w:w="2880"/>
          </w:tcPr>
          <w:p>
            <w:r/>
            <w:r>
              <w:rPr/>
              <w:t>4.9%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fully diluted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16,093,000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100.0%</w:t>
            </w:r>
          </w:p>
        </w:tc>
      </w:tr>
    </w:tbl>
    <w:p>
      <w:pPr>
        <w:pStyle w:val="Heading2"/>
      </w:pPr>
      <w:r/>
      <w:r>
        <w:rPr/>
        <w:t>Founder Splits</w:t>
      </w:r>
    </w:p>
    <w:p>
      <w:pPr>
        <w:pStyle w:val="ListBullet"/>
      </w:pPr>
      <w:r>
        <w:rPr/>
        <w:t>Maya Chen (CEO): 4,200,000 shares</w:t>
      </w:r>
    </w:p>
    <w:p>
      <w:pPr>
        <w:pStyle w:val="ListBullet"/>
      </w:pPr>
      <w:r>
        <w:rPr/>
        <w:t>Raj Iyer (CTO): 3,600,000 shares</w:t>
      </w:r>
    </w:p>
    <w:p>
      <w:pPr>
        <w:pStyle w:val="ListBullet"/>
      </w:pPr>
      <w:r>
        <w:rPr/>
        <w:t>Sarah Whittaker (COO): 1,600,000 shares</w:t>
      </w:r>
    </w:p>
    <w:p>
      <w:r>
        <w:rPr/>
        <w:t>All three are subject to standard 4-year monthly vest with a 1-year cliff from March 2021. Approximately 80% vested as of March 2026.</w:t>
      </w:r>
    </w:p>
    <w:p>
      <w:pPr>
        <w:pStyle w:val="Heading2"/>
      </w:pPr>
      <w:r/>
      <w:r>
        <w:rPr/>
        <w:t>Series Seed Lead and Participants</w:t>
      </w:r>
    </w:p>
    <w:p>
      <w:pPr>
        <w:pStyle w:val="ListBullet"/>
      </w:pPr>
      <w:r>
        <w:rPr>
          <w:b/>
        </w:rPr>
        <w:t>Lead:</w:t>
      </w:r>
      <w:r>
        <w:rPr/>
        <w:t xml:space="preserve"> Frontier Health Ventures — $4.0M of $6.5M round</w:t>
      </w:r>
    </w:p>
    <w:p>
      <w:pPr>
        <w:pStyle w:val="ListBullet"/>
      </w:pPr>
      <w:r>
        <w:rPr>
          <w:b/>
        </w:rPr>
        <w:t>Participants:</w:t>
      </w:r>
      <w:r>
        <w:rPr/>
        <w:t xml:space="preserve"> Boston Angel Collective, Atlas Health Angels, three individual angels (medical-device executives)</w:t>
      </w:r>
    </w:p>
    <w:p>
      <w:pPr>
        <w:pStyle w:val="ListBullet"/>
      </w:pPr>
      <w:r>
        <w:rPr>
          <w:b/>
        </w:rPr>
        <w:t>Round terms:</w:t>
      </w:r>
      <w:r>
        <w:rPr/>
        <w:t xml:space="preserve"> $25M post-money, 1x non-participating liquidation preference, standard NVCA seed-extended docs</w:t>
      </w:r>
    </w:p>
    <w:p>
      <w:pPr>
        <w:pStyle w:val="Heading2"/>
      </w:pPr>
      <w:r/>
      <w:r>
        <w:rPr/>
        <w:t>2023 SAFE Bridge</w:t>
      </w:r>
    </w:p>
    <w:p>
      <w:r>
        <w:rPr/>
        <w:t>$2.0M aggregate, $25M post-money cap, 20% discount, MFN. Nine investors. The notes convert into the Series A at the more favorable of cap or discount on the lead price.</w:t>
      </w:r>
    </w:p>
    <w:p>
      <w:pPr>
        <w:pStyle w:val="Heading1"/>
      </w:pPr>
      <w:r/>
      <w:r>
        <w:rPr/>
        <w:t>Series A Pro-Forma Highlights</w:t>
      </w:r>
    </w:p>
    <w:p>
      <w:r>
        <w:rPr/>
        <w:t xml:space="preserve">The proposed Series A is </w:t>
      </w:r>
      <w:r>
        <w:rPr>
          <w:b/>
        </w:rPr>
        <w:t>$15.0M at $50.0M pre-money / $65.0M post-money</w:t>
      </w:r>
      <w:r>
        <w:rPr/>
        <w:t xml:space="preserve">, with a refresh of the option pool to </w:t>
      </w:r>
      <w:r>
        <w:rPr>
          <w:b/>
        </w:rPr>
        <w:t>15% post-close</w:t>
      </w:r>
      <w:r>
        <w:rPr/>
        <w:t>. Pro-forma effects:</w:t>
      </w:r>
    </w:p>
    <w:p>
      <w:pPr>
        <w:pStyle w:val="ListBullet"/>
      </w:pPr>
      <w:r>
        <w:rPr/>
        <w:t>New investors take ~23.1% of post-close FD</w:t>
      </w:r>
    </w:p>
    <w:p>
      <w:pPr>
        <w:pStyle w:val="ListBullet"/>
      </w:pPr>
      <w:r>
        <w:rPr/>
        <w:t>Existing holders dilute pro-rata to ~76.9% (founders to ~44.9%)</w:t>
      </w:r>
    </w:p>
    <w:p>
      <w:pPr>
        <w:pStyle w:val="ListBullet"/>
      </w:pPr>
      <w:r>
        <w:rPr/>
        <w:t>SAFEs convert at the cap (discount disfavored at $50M pre)</w:t>
      </w:r>
    </w:p>
    <w:p>
      <w:pPr>
        <w:pStyle w:val="ListBullet"/>
      </w:pPr>
      <w:r>
        <w:rPr/>
        <w:t>Pool top-up creates ~1,250,000 new option shares; refresh cost borne pre-money per term sheet</w:t>
      </w:r>
    </w:p>
    <w:p>
      <w:r>
        <w:rPr/>
        <w:t xml:space="preserve">The full waterfall, including 1x preference stack, conversion mechanics, and exit-scenario distributions, is modeled in </w:t>
      </w:r>
      <w:r>
        <w:rPr>
          <w:rFonts w:ascii="Consolas" w:hAnsi="Consolas"/>
          <w:sz w:val="20"/>
        </w:rPr>
        <w:t>../../model/proforma.xlsx</w:t>
      </w:r>
      <w:r>
        <w:rPr/>
        <w:t xml:space="preserve"> (tabs: Current, ProForma, Waterfall).</w:t>
      </w:r>
    </w:p>
    <w:p>
      <w:pPr>
        <w:pStyle w:val="Heading1"/>
      </w:pPr>
      <w:r/>
      <w:r>
        <w:rPr/>
        <w:t>409A and Strike Prices</w:t>
      </w:r>
    </w:p>
    <w:p>
      <w:r>
        <w:rPr/>
        <w:t xml:space="preserve">Most recent 409A: </w:t>
      </w:r>
      <w:r>
        <w:rPr>
          <w:b/>
        </w:rPr>
        <w:t>November 2025</w:t>
      </w:r>
      <w:r>
        <w:rPr/>
        <w:t xml:space="preserve"> (Carta), Common FMV $0.94. Q1 2026 grants priced at this FMV. A refresh 409A will be commissioned post-Series-A close.</w:t>
      </w:r>
    </w:p>
    <w:p>
      <w:pPr>
        <w:pStyle w:val="Heading1"/>
      </w:pPr>
      <w:r/>
      <w:r>
        <w:rPr/>
        <w:t>Notes for Investors</w:t>
      </w:r>
    </w:p>
    <w:p>
      <w:pPr>
        <w:pStyle w:val="ListBullet"/>
      </w:pPr>
      <w:r>
        <w:rPr/>
        <w:t>No outstanding warrants or other convertible instruments beyond the SAFEs above</w:t>
      </w:r>
    </w:p>
    <w:p>
      <w:pPr>
        <w:pStyle w:val="ListBullet"/>
      </w:pPr>
      <w:r>
        <w:rPr/>
        <w:t>No promised-but-ungranted equity to founders, employees, or advisors</w:t>
      </w:r>
    </w:p>
    <w:p>
      <w:pPr>
        <w:pStyle w:val="ListBullet"/>
      </w:pPr>
      <w:r>
        <w:rPr/>
        <w:t>Advisor equity (KOL board, Section 09) is captured within the option pool and reflected in allocated counts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