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Formation Summary</w:t>
      </w:r>
    </w:p>
    <w:p>
      <w:pPr>
        <w:pStyle w:val="IntenseQuote"/>
      </w:pPr>
      <w:r>
        <w:rPr>
          <w:i/>
        </w:rPr>
        <w:t>Sample document for advisory-practice website. Illustrative only.</w:t>
      </w:r>
    </w:p>
    <w:p>
      <w:pPr>
        <w:pStyle w:val="Heading1"/>
      </w:pPr>
      <w:r/>
      <w:r>
        <w:rPr/>
        <w:t>Entity</w:t>
      </w:r>
    </w:p>
    <w:p>
      <w:r>
        <w:rPr>
          <w:b/>
        </w:rPr>
        <w:t>HealthCo, Inc.</w:t>
      </w:r>
      <w:r>
        <w:rPr/>
        <w:t xml:space="preserve"> — a Delaware corporation, incorporated </w:t>
      </w:r>
      <w:r>
        <w:rPr>
          <w:b/>
        </w:rPr>
        <w:t>March 14, 2021</w:t>
      </w:r>
      <w:r>
        <w:rPr/>
        <w:t>, file number 7842XXX. The company elected C-Corp tax treatment from inception. Principal office: 175 Federal Street, 12th Floor, Boston, MA 02110. Registered agent: Corporation Service Company, Wilmington DE.</w:t>
      </w:r>
    </w:p>
    <w:p>
      <w:r>
        <w:rPr/>
        <w:t xml:space="preserve">The company has one wholly owned subsidiary, </w:t>
      </w:r>
      <w:r>
        <w:rPr>
          <w:b/>
        </w:rPr>
        <w:t>HealthCo Clinical Services, LLC</w:t>
      </w:r>
      <w:r>
        <w:rPr/>
        <w:t xml:space="preserve"> (Delaware, formed Q2 2024), used as the contracting entity for clinical pilot agreements that require a services-LLC structure for hospital procurement reasons. All IP and substantially all operating activity sit at the parent C-Corp.</w:t>
      </w:r>
    </w:p>
    <w:p>
      <w:pPr>
        <w:pStyle w:val="Heading1"/>
      </w:pPr>
      <w:r/>
      <w:r>
        <w:rPr/>
        <w:t>Charter and Bylaws</w:t>
      </w:r>
    </w:p>
    <w:p>
      <w:r>
        <w:rPr/>
        <w:t>The Amended and Restated Certificate of Incorporation was filed September 2022 in connection with the seed round. Key provisions:</w:t>
      </w:r>
    </w:p>
    <w:p>
      <w:pPr>
        <w:pStyle w:val="ListBullet"/>
      </w:pPr>
      <w:r>
        <w:rPr/>
        <w:t>Authorized capital: 25,000,000 shares of Common Stock; 12,500,000 shares of Preferred Stock (5,500,000 designated Series Seed)</w:t>
      </w:r>
    </w:p>
    <w:p>
      <w:pPr>
        <w:pStyle w:val="ListBullet"/>
      </w:pPr>
      <w:r>
        <w:rPr/>
        <w:t>Series Seed Preferred: 1x non-participating liquidation preference, broad-based weighted-average anti-dilution, standard protective provisions</w:t>
      </w:r>
    </w:p>
    <w:p>
      <w:pPr>
        <w:pStyle w:val="ListBullet"/>
      </w:pPr>
      <w:r>
        <w:rPr/>
        <w:t>Board: three seats — two Common (founders) and one Preferred (lead seed investor designee)</w:t>
      </w:r>
    </w:p>
    <w:p>
      <w:r>
        <w:rPr/>
        <w:t>The bylaws follow standard NVCA model form. Annual stockholder meeting in May; quarterly board meetings.</w:t>
      </w:r>
    </w:p>
    <w:p>
      <w:pPr>
        <w:pStyle w:val="Heading1"/>
      </w:pPr>
      <w:r/>
      <w:r>
        <w:rPr/>
        <w:t>Equity Holders Summary (pre-Series-A)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Holder Class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Holders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Fully Diluted Ownership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Founders (Common)</w:t>
            </w:r>
          </w:p>
        </w:tc>
        <w:tc>
          <w:tcPr>
            <w:tcW w:type="dxa" w:w="2880"/>
          </w:tcPr>
          <w:p>
            <w:r/>
            <w:r>
              <w:rPr/>
              <w:t>3 (Chen, Iyer, Whittaker)</w:t>
            </w:r>
          </w:p>
        </w:tc>
        <w:tc>
          <w:tcPr>
            <w:tcW w:type="dxa" w:w="2880"/>
          </w:tcPr>
          <w:p>
            <w:r/>
            <w:r>
              <w:rPr/>
              <w:t>58.4%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Series Seed Preferred</w:t>
            </w:r>
          </w:p>
        </w:tc>
        <w:tc>
          <w:tcPr>
            <w:tcW w:type="dxa" w:w="2880"/>
          </w:tcPr>
          <w:p>
            <w:r/>
            <w:r>
              <w:rPr/>
              <w:t>1 lead + 6 participants</w:t>
            </w:r>
          </w:p>
        </w:tc>
        <w:tc>
          <w:tcPr>
            <w:tcW w:type="dxa" w:w="2880"/>
          </w:tcPr>
          <w:p>
            <w:r/>
            <w:r>
              <w:rPr/>
              <w:t>21.7%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SAFE / convertible note holders</w:t>
            </w:r>
          </w:p>
        </w:tc>
        <w:tc>
          <w:tcPr>
            <w:tcW w:type="dxa" w:w="2880"/>
          </w:tcPr>
          <w:p>
            <w:r/>
            <w:r>
              <w:rPr/>
              <w:t>9 (2023 bridge)</w:t>
            </w:r>
          </w:p>
        </w:tc>
        <w:tc>
          <w:tcPr>
            <w:tcW w:type="dxa" w:w="2880"/>
          </w:tcPr>
          <w:p>
            <w:r/>
            <w:r>
              <w:rPr/>
              <w:t>6.1%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Employee Option Pool (allocated)</w:t>
            </w:r>
          </w:p>
        </w:tc>
        <w:tc>
          <w:tcPr>
            <w:tcW w:type="dxa" w:w="2880"/>
          </w:tcPr>
          <w:p>
            <w:r/>
            <w:r>
              <w:rPr/>
              <w:t>14 employees</w:t>
            </w:r>
          </w:p>
        </w:tc>
        <w:tc>
          <w:tcPr>
            <w:tcW w:type="dxa" w:w="2880"/>
          </w:tcPr>
          <w:p>
            <w:r/>
            <w:r>
              <w:rPr/>
              <w:t>8.9%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Employee Option Pool (unallocated)</w:t>
            </w:r>
          </w:p>
        </w:tc>
        <w:tc>
          <w:tcPr>
            <w:tcW w:type="dxa" w:w="2880"/>
          </w:tcPr>
          <w:p>
            <w:r/>
            <w:r>
              <w:rPr/>
              <w:t>n/a</w:t>
            </w:r>
          </w:p>
        </w:tc>
        <w:tc>
          <w:tcPr>
            <w:tcW w:type="dxa" w:w="2880"/>
          </w:tcPr>
          <w:p>
            <w:r/>
            <w:r>
              <w:rPr/>
              <w:t>4.9%</w:t>
            </w:r>
          </w:p>
        </w:tc>
      </w:tr>
    </w:tbl>
    <w:p>
      <w:r>
        <w:rPr/>
        <w:t>Founder vesting: 4-year monthly vest with 1-year cliff, commencing March 2021; all three founders are past their cliffs and approximately 80% vested as of the Series A. No acceleration provisions outside double-trigger on change of control.</w:t>
      </w:r>
    </w:p>
    <w:p>
      <w:r>
        <w:rPr/>
        <w:t>The 2023 SAFE bridge ($2.0M aggregate) was issued at a $25M post-money cap with a 20% discount and will convert into the Series A at the more favorable of cap or discount.</w:t>
      </w:r>
    </w:p>
    <w:p>
      <w:r>
        <w:rPr/>
        <w:t xml:space="preserve">See </w:t>
      </w:r>
      <w:r>
        <w:rPr>
          <w:rFonts w:ascii="Consolas" w:hAnsi="Consolas"/>
          <w:sz w:val="20"/>
        </w:rPr>
        <w:t>current-cap-table.md</w:t>
      </w:r>
      <w:r>
        <w:rPr/>
        <w:t xml:space="preserve"> and the live proforma at </w:t>
      </w:r>
      <w:r>
        <w:rPr>
          <w:rFonts w:ascii="Consolas" w:hAnsi="Consolas"/>
          <w:sz w:val="20"/>
        </w:rPr>
        <w:t>../../model/proforma.xlsx</w:t>
      </w:r>
      <w:r>
        <w:rPr/>
        <w:t xml:space="preserve"> for fully-diluted post-Series-A figures.</w:t>
      </w:r>
    </w:p>
    <w:p>
      <w:pPr>
        <w:pStyle w:val="Heading1"/>
      </w:pPr>
      <w:r/>
      <w:r>
        <w:rPr/>
        <w:t>Good Standing</w:t>
      </w:r>
    </w:p>
    <w:p>
      <w:r>
        <w:rPr/>
        <w:t>HealthCo is in good standing in Delaware (verified March 2026) and registered to do business as a foreign corporation in Massachusetts and California. Federal EIN obtained; state tax registrations current. No outstanding franchise tax balances.</w:t>
      </w:r>
    </w:p>
    <w:p>
      <w:pPr>
        <w:pStyle w:val="Heading1"/>
      </w:pPr>
      <w:r/>
      <w:r>
        <w:rPr/>
        <w:t>Counsel</w:t>
      </w:r>
    </w:p>
    <w:p>
      <w:pPr>
        <w:pStyle w:val="ListBullet"/>
      </w:pPr>
      <w:r>
        <w:rPr/>
        <w:t xml:space="preserve">Corporate / securities: </w:t>
      </w:r>
      <w:r>
        <w:rPr>
          <w:b/>
        </w:rPr>
        <w:t>Cooley LLP</w:t>
      </w:r>
      <w:r>
        <w:rPr/>
        <w:t xml:space="preserve"> (Boston) — engaged since formation</w:t>
      </w:r>
    </w:p>
    <w:p>
      <w:pPr>
        <w:pStyle w:val="ListBullet"/>
      </w:pPr>
      <w:r>
        <w:rPr/>
        <w:t xml:space="preserve">IP: </w:t>
      </w:r>
      <w:r>
        <w:rPr>
          <w:b/>
        </w:rPr>
        <w:t>Wilmer Cutler Pickering Hale and Dorr LLP</w:t>
      </w:r>
      <w:r>
        <w:rPr/>
        <w:t xml:space="preserve"> (Boston)</w:t>
      </w:r>
    </w:p>
    <w:p>
      <w:pPr>
        <w:pStyle w:val="ListBullet"/>
      </w:pPr>
      <w:r>
        <w:rPr/>
        <w:t xml:space="preserve">Regulatory: </w:t>
      </w:r>
      <w:r>
        <w:rPr>
          <w:b/>
        </w:rPr>
        <w:t>Hogan Lovells US LLP</w:t>
      </w:r>
      <w:r>
        <w:rPr/>
        <w:t xml:space="preserve"> (FDA practice)</w:t>
      </w:r>
    </w:p>
    <w:p>
      <w:pPr>
        <w:pStyle w:val="Heading1"/>
      </w:pPr>
      <w:r/>
      <w:r>
        <w:rPr/>
        <w:t>Material Litigation</w:t>
      </w:r>
    </w:p>
    <w:p>
      <w:r>
        <w:rPr/>
        <w:t>None. No threatened or pending litigation, no employment claims, no IP disputes. A standard rep &amp; warranty diligence call with Cooley confirms.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