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Material Agreements — Index</w:t>
      </w:r>
    </w:p>
    <w:p>
      <w:pPr>
        <w:pStyle w:val="IntenseQuote"/>
      </w:pPr>
      <w:r>
        <w:rPr>
          <w:i/>
        </w:rPr>
        <w:t>Sample document. Executed copies are released at Tier 3 (post-term-sheet diligence room).</w:t>
      </w:r>
    </w:p>
    <w:p>
      <w:r>
        <w:rPr/>
        <w:t>This index lists all agreements material to HealthCo's operations, IP perimeter, or revenue. "Material" is defined here as any contract with annual value &gt; $50,000, exclusivity or non-compete provisions, IP assignment or license effects, or ability to materially harm operations if terminated.</w:t>
      </w:r>
    </w:p>
    <w:p>
      <w:pPr>
        <w:pStyle w:val="Heading1"/>
      </w:pPr>
      <w:r/>
      <w:r>
        <w:rPr/>
        <w:t>Pilot / Health-System MSAs</w:t>
      </w:r>
    </w:p>
    <w:p>
      <w:r>
        <w:rPr/>
        <w:t>All seven pilots operate under a HealthCo Master Services Agreement plus a site-specific Statement of Work. Standard terms: 12-month pilot with two automatic 6-month renewals, mutual termination on 90 days' notice, BAA attached, fee-for-service plus per-study analysis fee.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Health System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Effective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Pilot Lead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Annual Contract Value (sample)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1</w:t>
            </w:r>
          </w:p>
        </w:tc>
        <w:tc>
          <w:tcPr>
            <w:tcW w:type="dxa" w:w="1440"/>
          </w:tcPr>
          <w:p>
            <w:r/>
            <w:r>
              <w:rPr/>
              <w:t>Mass General Brigham</w:t>
            </w:r>
          </w:p>
        </w:tc>
        <w:tc>
          <w:tcPr>
            <w:tcW w:type="dxa" w:w="1440"/>
          </w:tcPr>
          <w:p>
            <w:r/>
            <w:r>
              <w:rPr/>
              <w:t>2023-04</w:t>
            </w:r>
          </w:p>
        </w:tc>
        <w:tc>
          <w:tcPr>
            <w:tcW w:type="dxa" w:w="1440"/>
          </w:tcPr>
          <w:p>
            <w:r/>
            <w:r>
              <w:rPr/>
              <w:t>24 mo + renewals</w:t>
            </w:r>
          </w:p>
        </w:tc>
        <w:tc>
          <w:tcPr>
            <w:tcW w:type="dxa" w:w="1440"/>
          </w:tcPr>
          <w:p>
            <w:r/>
            <w:r>
              <w:rPr/>
              <w:t>Dr. Rodney Falk (Brigham Cardiac Amyloidosis Program)</w:t>
            </w:r>
          </w:p>
        </w:tc>
        <w:tc>
          <w:tcPr>
            <w:tcW w:type="dxa" w:w="1440"/>
          </w:tcPr>
          <w:p>
            <w:r/>
            <w:r>
              <w:rPr/>
              <w:t>$185K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2</w:t>
            </w:r>
          </w:p>
        </w:tc>
        <w:tc>
          <w:tcPr>
            <w:tcW w:type="dxa" w:w="1440"/>
          </w:tcPr>
          <w:p>
            <w:r/>
            <w:r>
              <w:rPr/>
              <w:t>Cleveland Clinic</w:t>
            </w:r>
          </w:p>
        </w:tc>
        <w:tc>
          <w:tcPr>
            <w:tcW w:type="dxa" w:w="1440"/>
          </w:tcPr>
          <w:p>
            <w:r/>
            <w:r>
              <w:rPr/>
              <w:t>2023-09</w:t>
            </w:r>
          </w:p>
        </w:tc>
        <w:tc>
          <w:tcPr>
            <w:tcW w:type="dxa" w:w="1440"/>
          </w:tcPr>
          <w:p>
            <w:r/>
            <w:r>
              <w:rPr/>
              <w:t>24 mo + renewals</w:t>
            </w:r>
          </w:p>
        </w:tc>
        <w:tc>
          <w:tcPr>
            <w:tcW w:type="dxa" w:w="1440"/>
          </w:tcPr>
          <w:p>
            <w:r/>
            <w:r>
              <w:rPr/>
              <w:t>Heart, Vascular &amp; Thoracic Institute</w:t>
            </w:r>
          </w:p>
        </w:tc>
        <w:tc>
          <w:tcPr>
            <w:tcW w:type="dxa" w:w="1440"/>
          </w:tcPr>
          <w:p>
            <w:r/>
            <w:r>
              <w:rPr/>
              <w:t>$210K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3</w:t>
            </w:r>
          </w:p>
        </w:tc>
        <w:tc>
          <w:tcPr>
            <w:tcW w:type="dxa" w:w="1440"/>
          </w:tcPr>
          <w:p>
            <w:r/>
            <w:r>
              <w:rPr/>
              <w:t>Mayo Clinic</w:t>
            </w:r>
          </w:p>
        </w:tc>
        <w:tc>
          <w:tcPr>
            <w:tcW w:type="dxa" w:w="1440"/>
          </w:tcPr>
          <w:p>
            <w:r/>
            <w:r>
              <w:rPr/>
              <w:t>2024-01</w:t>
            </w:r>
          </w:p>
        </w:tc>
        <w:tc>
          <w:tcPr>
            <w:tcW w:type="dxa" w:w="1440"/>
          </w:tcPr>
          <w:p>
            <w:r/>
            <w:r>
              <w:rPr/>
              <w:t>18 mo</w:t>
            </w:r>
          </w:p>
        </w:tc>
        <w:tc>
          <w:tcPr>
            <w:tcW w:type="dxa" w:w="1440"/>
          </w:tcPr>
          <w:p>
            <w:r/>
            <w:r>
              <w:rPr/>
              <w:t>Cardiovascular Medicine</w:t>
            </w:r>
          </w:p>
        </w:tc>
        <w:tc>
          <w:tcPr>
            <w:tcW w:type="dxa" w:w="1440"/>
          </w:tcPr>
          <w:p>
            <w:r/>
            <w:r>
              <w:rPr/>
              <w:t>$165K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4</w:t>
            </w:r>
          </w:p>
        </w:tc>
        <w:tc>
          <w:tcPr>
            <w:tcW w:type="dxa" w:w="1440"/>
          </w:tcPr>
          <w:p>
            <w:r/>
            <w:r>
              <w:rPr/>
              <w:t>Atrium Health</w:t>
            </w:r>
          </w:p>
        </w:tc>
        <w:tc>
          <w:tcPr>
            <w:tcW w:type="dxa" w:w="1440"/>
          </w:tcPr>
          <w:p>
            <w:r/>
            <w:r>
              <w:rPr/>
              <w:t>2024-03</w:t>
            </w:r>
          </w:p>
        </w:tc>
        <w:tc>
          <w:tcPr>
            <w:tcW w:type="dxa" w:w="1440"/>
          </w:tcPr>
          <w:p>
            <w:r/>
            <w:r>
              <w:rPr/>
              <w:t>12 mo + renewals</w:t>
            </w:r>
          </w:p>
        </w:tc>
        <w:tc>
          <w:tcPr>
            <w:tcW w:type="dxa" w:w="1440"/>
          </w:tcPr>
          <w:p>
            <w:r/>
            <w:r>
              <w:rPr/>
              <w:t>Sanger Heart Institute</w:t>
            </w:r>
          </w:p>
        </w:tc>
        <w:tc>
          <w:tcPr>
            <w:tcW w:type="dxa" w:w="1440"/>
          </w:tcPr>
          <w:p>
            <w:r/>
            <w:r>
              <w:rPr/>
              <w:t>$95K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5</w:t>
            </w:r>
          </w:p>
        </w:tc>
        <w:tc>
          <w:tcPr>
            <w:tcW w:type="dxa" w:w="1440"/>
          </w:tcPr>
          <w:p>
            <w:r/>
            <w:r>
              <w:rPr/>
              <w:t>Banner Health</w:t>
            </w:r>
          </w:p>
        </w:tc>
        <w:tc>
          <w:tcPr>
            <w:tcW w:type="dxa" w:w="1440"/>
          </w:tcPr>
          <w:p>
            <w:r/>
            <w:r>
              <w:rPr/>
              <w:t>2024-06</w:t>
            </w:r>
          </w:p>
        </w:tc>
        <w:tc>
          <w:tcPr>
            <w:tcW w:type="dxa" w:w="1440"/>
          </w:tcPr>
          <w:p>
            <w:r/>
            <w:r>
              <w:rPr/>
              <w:t>12 mo + renewals</w:t>
            </w:r>
          </w:p>
        </w:tc>
        <w:tc>
          <w:tcPr>
            <w:tcW w:type="dxa" w:w="1440"/>
          </w:tcPr>
          <w:p>
            <w:r/>
            <w:r>
              <w:rPr/>
              <w:t>Banner – University Medical Center</w:t>
            </w:r>
          </w:p>
        </w:tc>
        <w:tc>
          <w:tcPr>
            <w:tcW w:type="dxa" w:w="1440"/>
          </w:tcPr>
          <w:p>
            <w:r/>
            <w:r>
              <w:rPr/>
              <w:t>$80K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6</w:t>
            </w:r>
          </w:p>
        </w:tc>
        <w:tc>
          <w:tcPr>
            <w:tcW w:type="dxa" w:w="1440"/>
          </w:tcPr>
          <w:p>
            <w:r/>
            <w:r>
              <w:rPr/>
              <w:t>Intermountain Health</w:t>
            </w:r>
          </w:p>
        </w:tc>
        <w:tc>
          <w:tcPr>
            <w:tcW w:type="dxa" w:w="1440"/>
          </w:tcPr>
          <w:p>
            <w:r/>
            <w:r>
              <w:rPr/>
              <w:t>2024-09</w:t>
            </w:r>
          </w:p>
        </w:tc>
        <w:tc>
          <w:tcPr>
            <w:tcW w:type="dxa" w:w="1440"/>
          </w:tcPr>
          <w:p>
            <w:r/>
            <w:r>
              <w:rPr/>
              <w:t>12 mo + renewals</w:t>
            </w:r>
          </w:p>
        </w:tc>
        <w:tc>
          <w:tcPr>
            <w:tcW w:type="dxa" w:w="1440"/>
          </w:tcPr>
          <w:p>
            <w:r/>
            <w:r>
              <w:rPr/>
              <w:t>Intermountain Heart Institute</w:t>
            </w:r>
          </w:p>
        </w:tc>
        <w:tc>
          <w:tcPr>
            <w:tcW w:type="dxa" w:w="1440"/>
          </w:tcPr>
          <w:p>
            <w:r/>
            <w:r>
              <w:rPr/>
              <w:t>$90K</w:t>
            </w:r>
          </w:p>
        </w:tc>
      </w:tr>
      <w:tr>
        <w:tc>
          <w:tcPr>
            <w:tcW w:type="dxa" w:w="1440"/>
          </w:tcPr>
          <w:p>
            <w:r/>
            <w:r>
              <w:rPr/>
              <w:t>7</w:t>
            </w:r>
          </w:p>
        </w:tc>
        <w:tc>
          <w:tcPr>
            <w:tcW w:type="dxa" w:w="1440"/>
          </w:tcPr>
          <w:p>
            <w:r/>
            <w:r>
              <w:rPr/>
              <w:t>Henry Ford Health</w:t>
            </w:r>
          </w:p>
        </w:tc>
        <w:tc>
          <w:tcPr>
            <w:tcW w:type="dxa" w:w="1440"/>
          </w:tcPr>
          <w:p>
            <w:r/>
            <w:r>
              <w:rPr/>
              <w:t>2024-11</w:t>
            </w:r>
          </w:p>
        </w:tc>
        <w:tc>
          <w:tcPr>
            <w:tcW w:type="dxa" w:w="1440"/>
          </w:tcPr>
          <w:p>
            <w:r/>
            <w:r>
              <w:rPr/>
              <w:t>12 mo + renewals</w:t>
            </w:r>
          </w:p>
        </w:tc>
        <w:tc>
          <w:tcPr>
            <w:tcW w:type="dxa" w:w="1440"/>
          </w:tcPr>
          <w:p>
            <w:r/>
            <w:r>
              <w:rPr/>
              <w:t>Center for Structural Heart Disease</w:t>
            </w:r>
          </w:p>
        </w:tc>
        <w:tc>
          <w:tcPr>
            <w:tcW w:type="dxa" w:w="1440"/>
          </w:tcPr>
          <w:p>
            <w:r/>
            <w:r>
              <w:rPr/>
              <w:t>$85K</w:t>
            </w:r>
          </w:p>
        </w:tc>
      </w:tr>
    </w:tbl>
    <w:p>
      <w:r>
        <w:rPr/>
        <w:t>All MSAs include a non-exclusive license to deploy EchoPilot in the contracted facilities, BAAs (HIPAA), and standard indemnities. None contain MFN, exclusivity, or right-of-first-refusal language that would constrain a Series A or future M&amp;A.</w:t>
      </w:r>
    </w:p>
    <w:p>
      <w:pPr>
        <w:pStyle w:val="Heading1"/>
      </w:pPr>
      <w:r/>
      <w:r>
        <w:rPr/>
        <w:t>EHR / Platform Integration Agreements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Counterparty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Effective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Epic</w:t>
            </w:r>
          </w:p>
        </w:tc>
        <w:tc>
          <w:tcPr>
            <w:tcW w:type="dxa" w:w="2160"/>
          </w:tcPr>
          <w:p>
            <w:r/>
            <w:r>
              <w:rPr/>
              <w:t>App Orchard (now Showroom) listing agreement</w:t>
            </w:r>
          </w:p>
        </w:tc>
        <w:tc>
          <w:tcPr>
            <w:tcW w:type="dxa" w:w="2160"/>
          </w:tcPr>
          <w:p>
            <w:r/>
            <w:r>
              <w:rPr/>
              <w:t>2023-07</w:t>
            </w:r>
          </w:p>
        </w:tc>
        <w:tc>
          <w:tcPr>
            <w:tcW w:type="dxa" w:w="2160"/>
          </w:tcPr>
          <w:p>
            <w:r/>
            <w:r>
              <w:rPr/>
              <w:t>Standard developer terms; per-customer activation fee passed through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Oracle Health (Cerner)</w:t>
            </w:r>
          </w:p>
        </w:tc>
        <w:tc>
          <w:tcPr>
            <w:tcW w:type="dxa" w:w="2160"/>
          </w:tcPr>
          <w:p>
            <w:r/>
            <w:r>
              <w:rPr/>
              <w:t>Open Marketplace developer agreement</w:t>
            </w:r>
          </w:p>
        </w:tc>
        <w:tc>
          <w:tcPr>
            <w:tcW w:type="dxa" w:w="2160"/>
          </w:tcPr>
          <w:p>
            <w:r/>
            <w:r>
              <w:rPr/>
              <w:t>2024-02</w:t>
            </w:r>
          </w:p>
        </w:tc>
        <w:tc>
          <w:tcPr>
            <w:tcW w:type="dxa" w:w="2160"/>
          </w:tcPr>
          <w:p>
            <w:r/>
            <w:r>
              <w:rPr/>
              <w:t>Currently in Bronze tier; integrated at 3 of 7 pilot sites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Change Healthcare / TrueBridge PACS</w:t>
            </w:r>
          </w:p>
        </w:tc>
        <w:tc>
          <w:tcPr>
            <w:tcW w:type="dxa" w:w="2160"/>
          </w:tcPr>
          <w:p>
            <w:r/>
            <w:r>
              <w:rPr/>
              <w:t>Integration partnership letter</w:t>
            </w:r>
          </w:p>
        </w:tc>
        <w:tc>
          <w:tcPr>
            <w:tcW w:type="dxa" w:w="2160"/>
          </w:tcPr>
          <w:p>
            <w:r/>
            <w:r>
              <w:rPr/>
              <w:t>2024-05</w:t>
            </w:r>
          </w:p>
        </w:tc>
        <w:tc>
          <w:tcPr>
            <w:tcW w:type="dxa" w:w="2160"/>
          </w:tcPr>
          <w:p>
            <w:r/>
            <w:r>
              <w:rPr/>
              <w:t>Reciprocal referral; non-exclusive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</w:t>
            </w:r>
          </w:p>
        </w:tc>
        <w:tc>
          <w:tcPr>
            <w:tcW w:type="dxa" w:w="2160"/>
          </w:tcPr>
          <w:p>
            <w:r/>
            <w:r>
              <w:rPr/>
              <w:t>Enterprise Discount Program + BAA</w:t>
            </w:r>
          </w:p>
        </w:tc>
        <w:tc>
          <w:tcPr>
            <w:tcW w:type="dxa" w:w="2160"/>
          </w:tcPr>
          <w:p>
            <w:r/>
            <w:r>
              <w:rPr/>
              <w:t>2023-01</w:t>
            </w:r>
          </w:p>
        </w:tc>
        <w:tc>
          <w:tcPr>
            <w:tcW w:type="dxa" w:w="2160"/>
          </w:tcPr>
          <w:p>
            <w:r/>
            <w:r>
              <w:rPr/>
              <w:t>HIPAA-eligible services; SOC 2 in scope</w:t>
            </w:r>
          </w:p>
        </w:tc>
      </w:tr>
    </w:tbl>
    <w:p>
      <w:pPr>
        <w:pStyle w:val="Heading1"/>
      </w:pPr>
      <w:r/>
      <w:r>
        <w:rPr/>
        <w:t>Advisor Agreements</w:t>
      </w:r>
    </w:p>
    <w:p>
      <w:r>
        <w:rPr/>
        <w:t xml:space="preserve">Standard form advisor agreements; 0.10–0.25% common-stock options vesting monthly over 24 months; 2-year confidentiality; IP assignment of work product. Counterparties include the three named clinical KOLs in </w:t>
      </w:r>
      <w:r>
        <w:rPr>
          <w:rFonts w:ascii="Consolas" w:hAnsi="Consolas"/>
          <w:sz w:val="20"/>
        </w:rPr>
        <w:t>08-Team/advisor-board-roster.md</w:t>
      </w:r>
      <w:r>
        <w:rPr/>
        <w:t xml:space="preserve"> and two GTM/strategy advisors.</w:t>
      </w:r>
    </w:p>
    <w:p>
      <w:pPr>
        <w:pStyle w:val="Heading1"/>
      </w:pPr>
      <w:r/>
      <w:r>
        <w:rPr/>
        <w:t>Vendor Agreements (Material Only)</w:t>
      </w:r>
    </w:p>
    <w:p>
      <w:pPr>
        <w:pStyle w:val="ListBullet"/>
      </w:pPr>
      <w:r>
        <w:rPr>
          <w:b/>
        </w:rPr>
        <w:t>Carta</w:t>
      </w:r>
      <w:r>
        <w:rPr/>
        <w:t xml:space="preserve"> — equity administration and 409A</w:t>
      </w:r>
    </w:p>
    <w:p>
      <w:pPr>
        <w:pStyle w:val="ListBullet"/>
      </w:pPr>
      <w:r>
        <w:rPr>
          <w:b/>
        </w:rPr>
        <w:t>Rippling</w:t>
      </w:r>
      <w:r>
        <w:rPr/>
        <w:t xml:space="preserve"> — payroll and HRIS</w:t>
      </w:r>
    </w:p>
    <w:p>
      <w:pPr>
        <w:pStyle w:val="ListBullet"/>
      </w:pPr>
      <w:r>
        <w:rPr>
          <w:b/>
        </w:rPr>
        <w:t>Datasite</w:t>
      </w:r>
      <w:r>
        <w:rPr/>
        <w:t xml:space="preserve"> — diligence room hosting</w:t>
      </w:r>
    </w:p>
    <w:p>
      <w:pPr>
        <w:pStyle w:val="ListBullet"/>
      </w:pPr>
      <w:r>
        <w:rPr>
          <w:b/>
        </w:rPr>
        <w:t>Verily Labs (data partnership)</w:t>
      </w:r>
      <w:r>
        <w:rPr/>
        <w:t xml:space="preserve"> — non-exclusive de-identified echo data access for model improvement; royalty-free, two-year term</w:t>
      </w:r>
    </w:p>
    <w:p>
      <w:pPr>
        <w:pStyle w:val="Heading1"/>
      </w:pPr>
      <w:r/>
      <w:r>
        <w:rPr/>
        <w:t>IP Assignments</w:t>
      </w:r>
    </w:p>
    <w:p>
      <w:r>
        <w:rPr/>
        <w:t>All employees execute a Proprietary Information and Inventions Assignment Agreement (PIIA) on Day 1. All contractors execute a contractor-form IP assignment. The founders re-executed PIIAs at incorporation covering pre-incorporation work product. No outstanding gaps identified in the most recent IP audit (Wilmer Hale, Q4 2025).</w:t>
      </w:r>
    </w:p>
    <w:p>
      <w:pPr>
        <w:pStyle w:val="Heading1"/>
      </w:pPr>
      <w:r/>
      <w:r>
        <w:rPr/>
        <w:t>Indebtedness</w:t>
      </w:r>
    </w:p>
    <w:p>
      <w:r>
        <w:rPr/>
        <w:t>None. No venture debt, no SVB-style line of credit, no equipment leases above $25K. The 2023 SAFEs (</w:t>
      </w:r>
      <w:r>
        <w:rPr>
          <w:rFonts w:ascii="Consolas" w:hAnsi="Consolas"/>
          <w:sz w:val="20"/>
        </w:rPr>
        <w:t>current-cap-table.md</w:t>
      </w:r>
      <w:r>
        <w:rPr/>
        <w:t>) are the only outstanding convertible instrument and resolve at Series A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